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65"/>
        <w:tblW w:w="10206" w:type="dxa"/>
        <w:tblLayout w:type="fixed"/>
        <w:tblCellMar>
          <w:left w:w="0" w:type="dxa"/>
          <w:right w:w="0" w:type="dxa"/>
        </w:tblCellMar>
        <w:tblLook w:val="0000" w:firstRow="0" w:lastRow="0" w:firstColumn="0" w:lastColumn="0" w:noHBand="0" w:noVBand="0"/>
      </w:tblPr>
      <w:tblGrid>
        <w:gridCol w:w="1350"/>
        <w:gridCol w:w="3527"/>
        <w:gridCol w:w="5329"/>
      </w:tblGrid>
      <w:tr w:rsidR="007B6316" w14:paraId="04946DEA" w14:textId="77777777" w:rsidTr="006A06C5">
        <w:trPr>
          <w:cantSplit/>
          <w:trHeight w:val="340"/>
        </w:trPr>
        <w:tc>
          <w:tcPr>
            <w:tcW w:w="1350" w:type="dxa"/>
          </w:tcPr>
          <w:p w14:paraId="57B655A6" w14:textId="77777777" w:rsidR="007B6316" w:rsidRDefault="007B6316" w:rsidP="006A06C5">
            <w:pPr>
              <w:tabs>
                <w:tab w:val="left" w:pos="4111"/>
              </w:tabs>
              <w:spacing w:before="10"/>
              <w:ind w:left="57"/>
              <w:rPr>
                <w:sz w:val="22"/>
              </w:rPr>
            </w:pPr>
            <w:r w:rsidRPr="00F1238A">
              <w:rPr>
                <w:noProof/>
                <w:lang w:val="en-US" w:eastAsia="zh-CN"/>
              </w:rPr>
              <w:drawing>
                <wp:inline distT="0" distB="0" distL="0" distR="0" wp14:anchorId="3F33A63D" wp14:editId="3B7D4A34">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856" w:type="dxa"/>
            <w:gridSpan w:val="2"/>
            <w:vAlign w:val="center"/>
          </w:tcPr>
          <w:p w14:paraId="09009F45" w14:textId="77777777" w:rsidR="007B6316" w:rsidRPr="00081FE5" w:rsidRDefault="007B6316" w:rsidP="006A06C5">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77EAC4FF" w14:textId="77777777" w:rsidR="007B6316" w:rsidRDefault="007B6316" w:rsidP="006A06C5">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6A06C5" w14:paraId="129E875B" w14:textId="77777777" w:rsidTr="006A06C5">
        <w:trPr>
          <w:cantSplit/>
          <w:trHeight w:val="340"/>
        </w:trPr>
        <w:tc>
          <w:tcPr>
            <w:tcW w:w="1350" w:type="dxa"/>
          </w:tcPr>
          <w:p w14:paraId="4D496679" w14:textId="77777777" w:rsidR="007B6316" w:rsidRPr="006A06C5" w:rsidRDefault="007B6316" w:rsidP="006A06C5">
            <w:pPr>
              <w:tabs>
                <w:tab w:val="left" w:pos="4111"/>
              </w:tabs>
              <w:spacing w:before="10"/>
              <w:ind w:left="57"/>
              <w:rPr>
                <w:b/>
                <w:bCs/>
                <w:sz w:val="22"/>
                <w:szCs w:val="22"/>
              </w:rPr>
            </w:pPr>
          </w:p>
        </w:tc>
        <w:tc>
          <w:tcPr>
            <w:tcW w:w="3527" w:type="dxa"/>
          </w:tcPr>
          <w:p w14:paraId="13ED2034" w14:textId="77777777" w:rsidR="007B6316" w:rsidRPr="006A06C5" w:rsidRDefault="007B6316" w:rsidP="006A06C5">
            <w:pPr>
              <w:tabs>
                <w:tab w:val="left" w:pos="4111"/>
              </w:tabs>
              <w:spacing w:before="0"/>
              <w:ind w:left="57"/>
              <w:rPr>
                <w:b/>
                <w:sz w:val="22"/>
                <w:szCs w:val="22"/>
              </w:rPr>
            </w:pPr>
          </w:p>
        </w:tc>
        <w:tc>
          <w:tcPr>
            <w:tcW w:w="5329" w:type="dxa"/>
          </w:tcPr>
          <w:p w14:paraId="0AF9221E" w14:textId="4BDB87A0" w:rsidR="007B6316" w:rsidRPr="006A06C5" w:rsidRDefault="007B6316" w:rsidP="006A06C5">
            <w:pPr>
              <w:tabs>
                <w:tab w:val="clear" w:pos="794"/>
                <w:tab w:val="clear" w:pos="1191"/>
                <w:tab w:val="clear" w:pos="1588"/>
                <w:tab w:val="clear" w:pos="1985"/>
                <w:tab w:val="left" w:pos="284"/>
              </w:tabs>
              <w:spacing w:after="120"/>
              <w:ind w:left="284" w:hanging="227"/>
              <w:rPr>
                <w:sz w:val="22"/>
                <w:szCs w:val="22"/>
              </w:rPr>
            </w:pPr>
            <w:r w:rsidRPr="006A06C5">
              <w:rPr>
                <w:sz w:val="22"/>
                <w:szCs w:val="22"/>
              </w:rPr>
              <w:t>Ginebra,</w:t>
            </w:r>
            <w:r w:rsidR="000E6971" w:rsidRPr="006A06C5">
              <w:rPr>
                <w:sz w:val="22"/>
                <w:szCs w:val="22"/>
              </w:rPr>
              <w:t xml:space="preserve"> 13 de febrero de 2026</w:t>
            </w:r>
          </w:p>
        </w:tc>
      </w:tr>
      <w:tr w:rsidR="001350B9" w:rsidRPr="006A06C5" w14:paraId="62A80CA9" w14:textId="77777777" w:rsidTr="006A06C5">
        <w:trPr>
          <w:cantSplit/>
          <w:trHeight w:val="340"/>
        </w:trPr>
        <w:tc>
          <w:tcPr>
            <w:tcW w:w="1350" w:type="dxa"/>
          </w:tcPr>
          <w:p w14:paraId="66BB7936" w14:textId="77777777" w:rsidR="001350B9" w:rsidRPr="006A06C5" w:rsidRDefault="001350B9" w:rsidP="006A06C5">
            <w:pPr>
              <w:tabs>
                <w:tab w:val="left" w:pos="4111"/>
              </w:tabs>
              <w:spacing w:before="10"/>
              <w:rPr>
                <w:sz w:val="22"/>
                <w:szCs w:val="22"/>
              </w:rPr>
            </w:pPr>
            <w:r w:rsidRPr="006A06C5">
              <w:rPr>
                <w:b/>
                <w:bCs/>
                <w:sz w:val="22"/>
                <w:szCs w:val="22"/>
              </w:rPr>
              <w:t>Ref</w:t>
            </w:r>
            <w:r w:rsidRPr="006A06C5">
              <w:rPr>
                <w:sz w:val="22"/>
                <w:szCs w:val="22"/>
              </w:rPr>
              <w:t>.:</w:t>
            </w:r>
          </w:p>
          <w:p w14:paraId="4125ED93" w14:textId="77777777" w:rsidR="001350B9" w:rsidRPr="006A06C5" w:rsidRDefault="001350B9" w:rsidP="006A06C5">
            <w:pPr>
              <w:tabs>
                <w:tab w:val="left" w:pos="4111"/>
              </w:tabs>
              <w:spacing w:before="10"/>
              <w:rPr>
                <w:sz w:val="22"/>
                <w:szCs w:val="22"/>
              </w:rPr>
            </w:pPr>
          </w:p>
        </w:tc>
        <w:tc>
          <w:tcPr>
            <w:tcW w:w="3527" w:type="dxa"/>
          </w:tcPr>
          <w:p w14:paraId="6717FBE3" w14:textId="090AABFC" w:rsidR="001350B9" w:rsidRPr="006A06C5" w:rsidRDefault="001350B9" w:rsidP="006A06C5">
            <w:pPr>
              <w:tabs>
                <w:tab w:val="left" w:pos="4111"/>
              </w:tabs>
              <w:spacing w:before="0"/>
              <w:ind w:left="57"/>
              <w:rPr>
                <w:b/>
                <w:sz w:val="22"/>
                <w:szCs w:val="22"/>
              </w:rPr>
            </w:pPr>
            <w:r w:rsidRPr="006A06C5">
              <w:rPr>
                <w:b/>
                <w:sz w:val="22"/>
                <w:szCs w:val="22"/>
              </w:rPr>
              <w:t xml:space="preserve">Circular TSB </w:t>
            </w:r>
            <w:r w:rsidR="000E6971" w:rsidRPr="006A06C5">
              <w:rPr>
                <w:b/>
                <w:sz w:val="22"/>
                <w:szCs w:val="22"/>
              </w:rPr>
              <w:t>104</w:t>
            </w:r>
          </w:p>
          <w:p w14:paraId="1E272B5A" w14:textId="7447EB4F" w:rsidR="001350B9" w:rsidRPr="006A06C5" w:rsidRDefault="000E6971" w:rsidP="006A06C5">
            <w:pPr>
              <w:tabs>
                <w:tab w:val="left" w:pos="4111"/>
              </w:tabs>
              <w:spacing w:before="0"/>
              <w:ind w:left="57"/>
              <w:rPr>
                <w:b/>
                <w:sz w:val="22"/>
                <w:szCs w:val="22"/>
              </w:rPr>
            </w:pPr>
            <w:r w:rsidRPr="006A06C5">
              <w:rPr>
                <w:sz w:val="22"/>
                <w:szCs w:val="22"/>
              </w:rPr>
              <w:t>SG/XY</w:t>
            </w:r>
          </w:p>
          <w:p w14:paraId="5FB6E726" w14:textId="77777777" w:rsidR="001350B9" w:rsidRPr="006A06C5" w:rsidRDefault="001350B9" w:rsidP="006A06C5">
            <w:pPr>
              <w:tabs>
                <w:tab w:val="left" w:pos="4111"/>
              </w:tabs>
              <w:spacing w:before="0"/>
              <w:ind w:left="57"/>
              <w:rPr>
                <w:sz w:val="22"/>
                <w:szCs w:val="22"/>
              </w:rPr>
            </w:pPr>
          </w:p>
        </w:tc>
        <w:tc>
          <w:tcPr>
            <w:tcW w:w="5329" w:type="dxa"/>
            <w:vMerge w:val="restart"/>
          </w:tcPr>
          <w:p w14:paraId="3483FF5A" w14:textId="4E260144" w:rsidR="000E6971" w:rsidRPr="006A06C5" w:rsidRDefault="000E6971" w:rsidP="006A06C5">
            <w:pPr>
              <w:tabs>
                <w:tab w:val="clear" w:pos="794"/>
                <w:tab w:val="clear" w:pos="1191"/>
                <w:tab w:val="clear" w:pos="1588"/>
                <w:tab w:val="clear" w:pos="1985"/>
                <w:tab w:val="left" w:pos="284"/>
              </w:tabs>
              <w:spacing w:before="0" w:after="40"/>
              <w:ind w:left="288" w:hanging="230"/>
              <w:rPr>
                <w:sz w:val="22"/>
                <w:szCs w:val="22"/>
              </w:rPr>
            </w:pPr>
            <w:bookmarkStart w:id="0" w:name="Addressee_S"/>
            <w:bookmarkEnd w:id="0"/>
            <w:r w:rsidRPr="006A06C5">
              <w:rPr>
                <w:sz w:val="22"/>
                <w:szCs w:val="22"/>
              </w:rPr>
              <w:t>–</w:t>
            </w:r>
            <w:r w:rsidR="001350B9" w:rsidRPr="006A06C5">
              <w:rPr>
                <w:sz w:val="22"/>
                <w:szCs w:val="22"/>
              </w:rPr>
              <w:tab/>
              <w:t>A las Administraciones de los Estados Miembros de la Unión</w:t>
            </w:r>
            <w:r w:rsidRPr="006A06C5">
              <w:rPr>
                <w:sz w:val="22"/>
                <w:szCs w:val="22"/>
              </w:rPr>
              <w:t>;</w:t>
            </w:r>
          </w:p>
          <w:p w14:paraId="2CC794F1" w14:textId="347B16F5" w:rsidR="000E6971" w:rsidRPr="006A06C5" w:rsidRDefault="000E6971" w:rsidP="006A06C5">
            <w:pPr>
              <w:tabs>
                <w:tab w:val="clear" w:pos="794"/>
                <w:tab w:val="clear" w:pos="1191"/>
                <w:tab w:val="clear" w:pos="1588"/>
                <w:tab w:val="clear" w:pos="1985"/>
                <w:tab w:val="left" w:pos="284"/>
              </w:tabs>
              <w:spacing w:before="0" w:after="40"/>
              <w:ind w:left="288" w:hanging="230"/>
              <w:rPr>
                <w:sz w:val="22"/>
                <w:szCs w:val="22"/>
              </w:rPr>
            </w:pPr>
            <w:r w:rsidRPr="006A06C5">
              <w:rPr>
                <w:sz w:val="22"/>
                <w:szCs w:val="22"/>
              </w:rPr>
              <w:t>–</w:t>
            </w:r>
            <w:r w:rsidRPr="006A06C5">
              <w:rPr>
                <w:sz w:val="22"/>
                <w:szCs w:val="22"/>
              </w:rPr>
              <w:tab/>
              <w:t>Al Estado de Palestina (Res. 99 (Rev. Dubái, 2018))</w:t>
            </w:r>
          </w:p>
          <w:p w14:paraId="067F1F30" w14:textId="5CD61934" w:rsidR="000E6971" w:rsidRPr="006A06C5" w:rsidRDefault="000E6971" w:rsidP="006A06C5">
            <w:pPr>
              <w:tabs>
                <w:tab w:val="clear" w:pos="794"/>
                <w:tab w:val="clear" w:pos="1191"/>
                <w:tab w:val="clear" w:pos="1588"/>
                <w:tab w:val="clear" w:pos="1985"/>
                <w:tab w:val="left" w:pos="284"/>
              </w:tabs>
              <w:spacing w:before="0" w:after="40"/>
              <w:ind w:left="288" w:hanging="230"/>
              <w:rPr>
                <w:b/>
                <w:bCs/>
                <w:sz w:val="22"/>
                <w:szCs w:val="22"/>
              </w:rPr>
            </w:pPr>
            <w:r w:rsidRPr="006A06C5">
              <w:rPr>
                <w:b/>
                <w:bCs/>
                <w:sz w:val="22"/>
                <w:szCs w:val="22"/>
              </w:rPr>
              <w:t>Copia:</w:t>
            </w:r>
          </w:p>
          <w:p w14:paraId="6E66FB8F" w14:textId="53DE583F" w:rsidR="000E6971" w:rsidRPr="006A06C5" w:rsidRDefault="000E6971" w:rsidP="006A06C5">
            <w:pPr>
              <w:tabs>
                <w:tab w:val="clear" w:pos="794"/>
                <w:tab w:val="clear" w:pos="1191"/>
                <w:tab w:val="clear" w:pos="1588"/>
                <w:tab w:val="clear" w:pos="1985"/>
                <w:tab w:val="left" w:pos="284"/>
              </w:tabs>
              <w:spacing w:before="0" w:after="40"/>
              <w:ind w:left="288" w:hanging="230"/>
              <w:rPr>
                <w:sz w:val="22"/>
                <w:szCs w:val="22"/>
              </w:rPr>
            </w:pPr>
            <w:r w:rsidRPr="006A06C5">
              <w:rPr>
                <w:sz w:val="22"/>
                <w:szCs w:val="22"/>
              </w:rPr>
              <w:t>–</w:t>
            </w:r>
            <w:r w:rsidR="001350B9" w:rsidRPr="006A06C5">
              <w:rPr>
                <w:sz w:val="22"/>
                <w:szCs w:val="22"/>
              </w:rPr>
              <w:tab/>
              <w:t xml:space="preserve">A los Miembros de Sector </w:t>
            </w:r>
            <w:r w:rsidRPr="006A06C5">
              <w:rPr>
                <w:sz w:val="22"/>
                <w:szCs w:val="22"/>
              </w:rPr>
              <w:t xml:space="preserve">del </w:t>
            </w:r>
            <w:r w:rsidR="001350B9" w:rsidRPr="006A06C5">
              <w:rPr>
                <w:sz w:val="22"/>
                <w:szCs w:val="22"/>
              </w:rPr>
              <w:t>UIT</w:t>
            </w:r>
            <w:r w:rsidR="001350B9" w:rsidRPr="006A06C5">
              <w:rPr>
                <w:sz w:val="22"/>
                <w:szCs w:val="22"/>
              </w:rPr>
              <w:noBreakHyphen/>
              <w:t>T;</w:t>
            </w:r>
          </w:p>
          <w:p w14:paraId="518D3823" w14:textId="69F6A92C" w:rsidR="000E6971" w:rsidRPr="006A06C5" w:rsidRDefault="000E6971" w:rsidP="006A06C5">
            <w:pPr>
              <w:tabs>
                <w:tab w:val="clear" w:pos="794"/>
                <w:tab w:val="clear" w:pos="1191"/>
                <w:tab w:val="clear" w:pos="1588"/>
                <w:tab w:val="clear" w:pos="1985"/>
                <w:tab w:val="left" w:pos="284"/>
              </w:tabs>
              <w:spacing w:before="0" w:after="40"/>
              <w:ind w:left="288" w:hanging="230"/>
              <w:rPr>
                <w:sz w:val="22"/>
                <w:szCs w:val="22"/>
              </w:rPr>
            </w:pPr>
            <w:r w:rsidRPr="006A06C5">
              <w:rPr>
                <w:sz w:val="22"/>
                <w:szCs w:val="22"/>
              </w:rPr>
              <w:t>–</w:t>
            </w:r>
            <w:r w:rsidR="001350B9" w:rsidRPr="006A06C5">
              <w:rPr>
                <w:sz w:val="22"/>
                <w:szCs w:val="22"/>
              </w:rPr>
              <w:tab/>
              <w:t xml:space="preserve">A los Asociados </w:t>
            </w:r>
            <w:r w:rsidRPr="006A06C5">
              <w:rPr>
                <w:sz w:val="22"/>
                <w:szCs w:val="22"/>
              </w:rPr>
              <w:t>de la Comisión de Estudio 17 del UIT_T</w:t>
            </w:r>
            <w:r w:rsidR="001350B9" w:rsidRPr="006A06C5">
              <w:rPr>
                <w:sz w:val="22"/>
                <w:szCs w:val="22"/>
              </w:rPr>
              <w:t>;</w:t>
            </w:r>
          </w:p>
          <w:p w14:paraId="2FDBE40D" w14:textId="39FEDC7A" w:rsidR="000E6971" w:rsidRPr="006A06C5" w:rsidRDefault="000E6971" w:rsidP="006A06C5">
            <w:pPr>
              <w:tabs>
                <w:tab w:val="clear" w:pos="794"/>
                <w:tab w:val="clear" w:pos="1191"/>
                <w:tab w:val="clear" w:pos="1588"/>
                <w:tab w:val="clear" w:pos="1985"/>
                <w:tab w:val="left" w:pos="284"/>
              </w:tabs>
              <w:spacing w:before="0" w:after="40"/>
              <w:ind w:left="288" w:hanging="230"/>
              <w:rPr>
                <w:sz w:val="22"/>
                <w:szCs w:val="22"/>
              </w:rPr>
            </w:pPr>
            <w:r w:rsidRPr="006A06C5">
              <w:rPr>
                <w:sz w:val="22"/>
                <w:szCs w:val="22"/>
              </w:rPr>
              <w:t>–</w:t>
            </w:r>
            <w:r w:rsidR="001350B9" w:rsidRPr="006A06C5">
              <w:rPr>
                <w:sz w:val="22"/>
                <w:szCs w:val="22"/>
              </w:rPr>
              <w:tab/>
              <w:t>A las Instituciones Académicas de</w:t>
            </w:r>
            <w:r w:rsidRPr="006A06C5">
              <w:rPr>
                <w:sz w:val="22"/>
                <w:szCs w:val="22"/>
              </w:rPr>
              <w:t xml:space="preserve"> </w:t>
            </w:r>
            <w:r w:rsidR="001350B9" w:rsidRPr="006A06C5">
              <w:rPr>
                <w:sz w:val="22"/>
                <w:szCs w:val="22"/>
              </w:rPr>
              <w:t>l</w:t>
            </w:r>
            <w:r w:rsidRPr="006A06C5">
              <w:rPr>
                <w:sz w:val="22"/>
                <w:szCs w:val="22"/>
              </w:rPr>
              <w:t>a</w:t>
            </w:r>
            <w:r w:rsidR="001350B9" w:rsidRPr="006A06C5">
              <w:rPr>
                <w:sz w:val="22"/>
                <w:szCs w:val="22"/>
              </w:rPr>
              <w:t xml:space="preserve"> UIT;</w:t>
            </w:r>
          </w:p>
          <w:p w14:paraId="0169213D" w14:textId="6AE681B3" w:rsidR="000E6971" w:rsidRPr="006A06C5" w:rsidRDefault="000E6971" w:rsidP="006A06C5">
            <w:pPr>
              <w:tabs>
                <w:tab w:val="clear" w:pos="794"/>
                <w:tab w:val="clear" w:pos="1191"/>
                <w:tab w:val="clear" w:pos="1588"/>
                <w:tab w:val="clear" w:pos="1985"/>
                <w:tab w:val="left" w:pos="284"/>
              </w:tabs>
              <w:spacing w:before="0" w:after="40"/>
              <w:ind w:left="288" w:hanging="230"/>
              <w:rPr>
                <w:sz w:val="22"/>
                <w:szCs w:val="22"/>
              </w:rPr>
            </w:pPr>
            <w:r w:rsidRPr="006A06C5">
              <w:rPr>
                <w:sz w:val="22"/>
                <w:szCs w:val="22"/>
              </w:rPr>
              <w:t>–</w:t>
            </w:r>
            <w:r w:rsidR="001350B9" w:rsidRPr="006A06C5">
              <w:rPr>
                <w:sz w:val="22"/>
                <w:szCs w:val="22"/>
              </w:rPr>
              <w:tab/>
              <w:t xml:space="preserve">Al </w:t>
            </w:r>
            <w:proofErr w:type="gramStart"/>
            <w:r w:rsidR="001350B9" w:rsidRPr="006A06C5">
              <w:rPr>
                <w:sz w:val="22"/>
                <w:szCs w:val="22"/>
              </w:rPr>
              <w:t>Presidente</w:t>
            </w:r>
            <w:proofErr w:type="gramEnd"/>
            <w:r w:rsidR="001350B9" w:rsidRPr="006A06C5">
              <w:rPr>
                <w:sz w:val="22"/>
                <w:szCs w:val="22"/>
              </w:rPr>
              <w:t xml:space="preserve"> y a los </w:t>
            </w:r>
            <w:proofErr w:type="gramStart"/>
            <w:r w:rsidR="001350B9" w:rsidRPr="006A06C5">
              <w:rPr>
                <w:sz w:val="22"/>
                <w:szCs w:val="22"/>
              </w:rPr>
              <w:t>Vicepresidentes</w:t>
            </w:r>
            <w:proofErr w:type="gramEnd"/>
            <w:r w:rsidR="001350B9" w:rsidRPr="006A06C5">
              <w:rPr>
                <w:sz w:val="22"/>
                <w:szCs w:val="22"/>
              </w:rPr>
              <w:t xml:space="preserve"> de la</w:t>
            </w:r>
            <w:r w:rsidRPr="006A06C5">
              <w:rPr>
                <w:sz w:val="22"/>
                <w:szCs w:val="22"/>
              </w:rPr>
              <w:t xml:space="preserve"> </w:t>
            </w:r>
            <w:r w:rsidR="001350B9" w:rsidRPr="006A06C5">
              <w:rPr>
                <w:sz w:val="22"/>
                <w:szCs w:val="22"/>
              </w:rPr>
              <w:t xml:space="preserve">Comisión de Estudio </w:t>
            </w:r>
            <w:r w:rsidRPr="006A06C5">
              <w:rPr>
                <w:sz w:val="22"/>
                <w:szCs w:val="22"/>
              </w:rPr>
              <w:t>17 del UIT-T</w:t>
            </w:r>
            <w:r w:rsidR="001350B9" w:rsidRPr="006A06C5">
              <w:rPr>
                <w:sz w:val="22"/>
                <w:szCs w:val="22"/>
              </w:rPr>
              <w:t>;</w:t>
            </w:r>
          </w:p>
          <w:p w14:paraId="2DB2E6D5" w14:textId="3CE3E70C" w:rsidR="000E6971" w:rsidRPr="006A06C5" w:rsidRDefault="000E6971" w:rsidP="006A06C5">
            <w:pPr>
              <w:tabs>
                <w:tab w:val="clear" w:pos="794"/>
                <w:tab w:val="clear" w:pos="1191"/>
                <w:tab w:val="clear" w:pos="1588"/>
                <w:tab w:val="clear" w:pos="1985"/>
                <w:tab w:val="left" w:pos="284"/>
              </w:tabs>
              <w:spacing w:before="0" w:after="40"/>
              <w:ind w:left="288" w:hanging="230"/>
              <w:rPr>
                <w:sz w:val="22"/>
                <w:szCs w:val="22"/>
              </w:rPr>
            </w:pPr>
            <w:r w:rsidRPr="006A06C5">
              <w:rPr>
                <w:sz w:val="22"/>
                <w:szCs w:val="22"/>
              </w:rPr>
              <w:t>–</w:t>
            </w:r>
            <w:r w:rsidR="001350B9" w:rsidRPr="006A06C5">
              <w:rPr>
                <w:sz w:val="22"/>
                <w:szCs w:val="22"/>
              </w:rPr>
              <w:tab/>
              <w:t xml:space="preserve">Al </w:t>
            </w:r>
            <w:proofErr w:type="gramStart"/>
            <w:r w:rsidR="001350B9" w:rsidRPr="006A06C5">
              <w:rPr>
                <w:sz w:val="22"/>
                <w:szCs w:val="22"/>
              </w:rPr>
              <w:t>Director</w:t>
            </w:r>
            <w:proofErr w:type="gramEnd"/>
            <w:r w:rsidR="001350B9" w:rsidRPr="006A06C5">
              <w:rPr>
                <w:sz w:val="22"/>
                <w:szCs w:val="22"/>
              </w:rPr>
              <w:t xml:space="preserve"> de la Oficina de Desarrollo de las Telecomunicaciones;</w:t>
            </w:r>
          </w:p>
          <w:p w14:paraId="3087BE9B" w14:textId="05F63E29" w:rsidR="001350B9" w:rsidRPr="006A06C5" w:rsidRDefault="000E6971" w:rsidP="006A06C5">
            <w:pPr>
              <w:tabs>
                <w:tab w:val="clear" w:pos="794"/>
                <w:tab w:val="clear" w:pos="1191"/>
                <w:tab w:val="clear" w:pos="1588"/>
                <w:tab w:val="clear" w:pos="1985"/>
                <w:tab w:val="left" w:pos="284"/>
              </w:tabs>
              <w:spacing w:before="0" w:after="40"/>
              <w:ind w:left="288" w:hanging="230"/>
              <w:rPr>
                <w:sz w:val="22"/>
                <w:szCs w:val="22"/>
              </w:rPr>
            </w:pPr>
            <w:r w:rsidRPr="006A06C5">
              <w:rPr>
                <w:sz w:val="22"/>
                <w:szCs w:val="22"/>
              </w:rPr>
              <w:t>–</w:t>
            </w:r>
            <w:r w:rsidR="001350B9" w:rsidRPr="006A06C5">
              <w:rPr>
                <w:sz w:val="22"/>
                <w:szCs w:val="22"/>
              </w:rPr>
              <w:tab/>
              <w:t xml:space="preserve">Al </w:t>
            </w:r>
            <w:proofErr w:type="gramStart"/>
            <w:r w:rsidR="001350B9" w:rsidRPr="006A06C5">
              <w:rPr>
                <w:sz w:val="22"/>
                <w:szCs w:val="22"/>
              </w:rPr>
              <w:t>Director</w:t>
            </w:r>
            <w:proofErr w:type="gramEnd"/>
            <w:r w:rsidR="001350B9" w:rsidRPr="006A06C5">
              <w:rPr>
                <w:sz w:val="22"/>
                <w:szCs w:val="22"/>
              </w:rPr>
              <w:t xml:space="preserve"> de la Oficina de Radiocomunicaciones</w:t>
            </w:r>
          </w:p>
        </w:tc>
      </w:tr>
      <w:tr w:rsidR="001350B9" w:rsidRPr="006A06C5" w14:paraId="0143B18E" w14:textId="77777777" w:rsidTr="006A06C5">
        <w:trPr>
          <w:cantSplit/>
        </w:trPr>
        <w:tc>
          <w:tcPr>
            <w:tcW w:w="1350" w:type="dxa"/>
          </w:tcPr>
          <w:p w14:paraId="63FAA3C2" w14:textId="77777777" w:rsidR="001350B9" w:rsidRPr="006A06C5" w:rsidRDefault="001350B9" w:rsidP="006A06C5">
            <w:pPr>
              <w:tabs>
                <w:tab w:val="left" w:pos="4111"/>
              </w:tabs>
              <w:spacing w:before="10"/>
              <w:rPr>
                <w:sz w:val="22"/>
                <w:szCs w:val="22"/>
              </w:rPr>
            </w:pPr>
            <w:r w:rsidRPr="006A06C5">
              <w:rPr>
                <w:sz w:val="22"/>
                <w:szCs w:val="22"/>
              </w:rPr>
              <w:t>Tel.:</w:t>
            </w:r>
          </w:p>
        </w:tc>
        <w:tc>
          <w:tcPr>
            <w:tcW w:w="3527" w:type="dxa"/>
          </w:tcPr>
          <w:p w14:paraId="216926B1" w14:textId="1AB39308" w:rsidR="001350B9" w:rsidRPr="006A06C5" w:rsidRDefault="001350B9" w:rsidP="006A06C5">
            <w:pPr>
              <w:tabs>
                <w:tab w:val="left" w:pos="4111"/>
              </w:tabs>
              <w:spacing w:before="0"/>
              <w:ind w:left="57"/>
              <w:rPr>
                <w:rStyle w:val="Hyperlink"/>
                <w:sz w:val="22"/>
                <w:szCs w:val="22"/>
              </w:rPr>
            </w:pPr>
            <w:r w:rsidRPr="006A06C5">
              <w:rPr>
                <w:sz w:val="22"/>
                <w:szCs w:val="22"/>
              </w:rPr>
              <w:t>+41 22 730</w:t>
            </w:r>
            <w:r w:rsidR="000E6971" w:rsidRPr="006A06C5">
              <w:rPr>
                <w:sz w:val="22"/>
                <w:szCs w:val="22"/>
              </w:rPr>
              <w:t xml:space="preserve"> 6206</w:t>
            </w:r>
          </w:p>
        </w:tc>
        <w:tc>
          <w:tcPr>
            <w:tcW w:w="5329" w:type="dxa"/>
            <w:vMerge/>
          </w:tcPr>
          <w:p w14:paraId="59FE0647" w14:textId="77777777" w:rsidR="001350B9" w:rsidRPr="006A06C5" w:rsidRDefault="001350B9" w:rsidP="006A06C5">
            <w:pPr>
              <w:tabs>
                <w:tab w:val="left" w:pos="226"/>
                <w:tab w:val="left" w:pos="510"/>
              </w:tabs>
              <w:spacing w:before="0"/>
              <w:ind w:left="226" w:hanging="169"/>
              <w:rPr>
                <w:b/>
                <w:sz w:val="22"/>
                <w:szCs w:val="22"/>
              </w:rPr>
            </w:pPr>
          </w:p>
        </w:tc>
      </w:tr>
      <w:tr w:rsidR="001350B9" w:rsidRPr="006A06C5" w14:paraId="653D4E41" w14:textId="77777777" w:rsidTr="006A06C5">
        <w:trPr>
          <w:cantSplit/>
        </w:trPr>
        <w:tc>
          <w:tcPr>
            <w:tcW w:w="1350" w:type="dxa"/>
          </w:tcPr>
          <w:p w14:paraId="1CFF4D4F" w14:textId="77777777" w:rsidR="001350B9" w:rsidRPr="006A06C5" w:rsidRDefault="001350B9" w:rsidP="006A06C5">
            <w:pPr>
              <w:tabs>
                <w:tab w:val="left" w:pos="4111"/>
              </w:tabs>
              <w:spacing w:before="10"/>
              <w:rPr>
                <w:sz w:val="22"/>
                <w:szCs w:val="22"/>
              </w:rPr>
            </w:pPr>
            <w:r w:rsidRPr="006A06C5">
              <w:rPr>
                <w:sz w:val="22"/>
                <w:szCs w:val="22"/>
              </w:rPr>
              <w:t>Fax:</w:t>
            </w:r>
          </w:p>
        </w:tc>
        <w:tc>
          <w:tcPr>
            <w:tcW w:w="3527" w:type="dxa"/>
          </w:tcPr>
          <w:p w14:paraId="09459670" w14:textId="77777777" w:rsidR="001350B9" w:rsidRPr="006A06C5" w:rsidRDefault="001350B9" w:rsidP="006A06C5">
            <w:pPr>
              <w:tabs>
                <w:tab w:val="left" w:pos="4111"/>
              </w:tabs>
              <w:spacing w:before="0"/>
              <w:ind w:left="57"/>
              <w:rPr>
                <w:rStyle w:val="Hyperlink"/>
                <w:sz w:val="22"/>
                <w:szCs w:val="22"/>
              </w:rPr>
            </w:pPr>
            <w:r w:rsidRPr="006A06C5">
              <w:rPr>
                <w:sz w:val="22"/>
                <w:szCs w:val="22"/>
              </w:rPr>
              <w:t>+41 22 730 5853</w:t>
            </w:r>
          </w:p>
        </w:tc>
        <w:tc>
          <w:tcPr>
            <w:tcW w:w="5329" w:type="dxa"/>
            <w:vMerge/>
          </w:tcPr>
          <w:p w14:paraId="4DA8F149" w14:textId="77777777" w:rsidR="001350B9" w:rsidRPr="006A06C5" w:rsidRDefault="001350B9" w:rsidP="006A06C5">
            <w:pPr>
              <w:tabs>
                <w:tab w:val="left" w:pos="226"/>
                <w:tab w:val="left" w:pos="510"/>
              </w:tabs>
              <w:spacing w:before="0"/>
              <w:ind w:left="226" w:hanging="169"/>
              <w:rPr>
                <w:b/>
                <w:sz w:val="22"/>
                <w:szCs w:val="22"/>
              </w:rPr>
            </w:pPr>
          </w:p>
        </w:tc>
      </w:tr>
      <w:tr w:rsidR="001350B9" w:rsidRPr="006A06C5" w14:paraId="4815253E" w14:textId="77777777" w:rsidTr="006A06C5">
        <w:trPr>
          <w:cantSplit/>
          <w:trHeight w:val="2322"/>
        </w:trPr>
        <w:tc>
          <w:tcPr>
            <w:tcW w:w="1350" w:type="dxa"/>
          </w:tcPr>
          <w:p w14:paraId="7BEFF5C4" w14:textId="77777777" w:rsidR="001350B9" w:rsidRPr="006A06C5" w:rsidRDefault="001350B9" w:rsidP="006A06C5">
            <w:pPr>
              <w:tabs>
                <w:tab w:val="left" w:pos="4111"/>
              </w:tabs>
              <w:spacing w:before="10"/>
              <w:rPr>
                <w:sz w:val="22"/>
                <w:szCs w:val="22"/>
              </w:rPr>
            </w:pPr>
            <w:r w:rsidRPr="006A06C5">
              <w:rPr>
                <w:sz w:val="22"/>
                <w:szCs w:val="22"/>
              </w:rPr>
              <w:t>Correo-e:</w:t>
            </w:r>
          </w:p>
        </w:tc>
        <w:tc>
          <w:tcPr>
            <w:tcW w:w="3527" w:type="dxa"/>
          </w:tcPr>
          <w:p w14:paraId="3FB45E75" w14:textId="6A616B7C" w:rsidR="001350B9" w:rsidRPr="006A06C5" w:rsidRDefault="000E6971" w:rsidP="006A06C5">
            <w:pPr>
              <w:tabs>
                <w:tab w:val="left" w:pos="4111"/>
              </w:tabs>
              <w:spacing w:before="0"/>
              <w:ind w:left="57"/>
              <w:rPr>
                <w:sz w:val="22"/>
                <w:szCs w:val="22"/>
              </w:rPr>
            </w:pPr>
            <w:hyperlink r:id="rId9" w:history="1">
              <w:r w:rsidRPr="006A06C5">
                <w:rPr>
                  <w:rStyle w:val="Hyperlink"/>
                  <w:sz w:val="22"/>
                  <w:szCs w:val="22"/>
                </w:rPr>
                <w:t>tsbsg17@itu.int</w:t>
              </w:r>
            </w:hyperlink>
          </w:p>
        </w:tc>
        <w:tc>
          <w:tcPr>
            <w:tcW w:w="5329" w:type="dxa"/>
            <w:vMerge/>
          </w:tcPr>
          <w:p w14:paraId="05988AE5" w14:textId="77777777" w:rsidR="001350B9" w:rsidRPr="006A06C5" w:rsidRDefault="001350B9" w:rsidP="006A06C5">
            <w:pPr>
              <w:tabs>
                <w:tab w:val="clear" w:pos="794"/>
                <w:tab w:val="clear" w:pos="1191"/>
                <w:tab w:val="clear" w:pos="1588"/>
                <w:tab w:val="clear" w:pos="1985"/>
                <w:tab w:val="left" w:pos="226"/>
                <w:tab w:val="left" w:pos="510"/>
              </w:tabs>
              <w:spacing w:before="0"/>
              <w:ind w:left="226" w:hanging="169"/>
              <w:rPr>
                <w:sz w:val="22"/>
                <w:szCs w:val="22"/>
              </w:rPr>
            </w:pPr>
          </w:p>
        </w:tc>
      </w:tr>
      <w:tr w:rsidR="007B6316" w:rsidRPr="006A06C5" w14:paraId="24341C6B" w14:textId="77777777" w:rsidTr="006A06C5">
        <w:trPr>
          <w:cantSplit/>
        </w:trPr>
        <w:tc>
          <w:tcPr>
            <w:tcW w:w="1350" w:type="dxa"/>
          </w:tcPr>
          <w:p w14:paraId="311D7109" w14:textId="77777777" w:rsidR="007B6316" w:rsidRPr="006A06C5" w:rsidRDefault="007B6316" w:rsidP="006A06C5">
            <w:pPr>
              <w:tabs>
                <w:tab w:val="left" w:pos="4111"/>
              </w:tabs>
              <w:spacing w:before="10"/>
              <w:rPr>
                <w:sz w:val="22"/>
                <w:szCs w:val="22"/>
              </w:rPr>
            </w:pPr>
            <w:r w:rsidRPr="006A06C5">
              <w:rPr>
                <w:b/>
                <w:bCs/>
                <w:sz w:val="22"/>
                <w:szCs w:val="22"/>
              </w:rPr>
              <w:t>Asunto</w:t>
            </w:r>
            <w:r w:rsidRPr="006A06C5">
              <w:rPr>
                <w:sz w:val="22"/>
                <w:szCs w:val="22"/>
              </w:rPr>
              <w:t>:</w:t>
            </w:r>
          </w:p>
        </w:tc>
        <w:tc>
          <w:tcPr>
            <w:tcW w:w="8856" w:type="dxa"/>
            <w:gridSpan w:val="2"/>
          </w:tcPr>
          <w:p w14:paraId="518631DF" w14:textId="3E72D642" w:rsidR="007B6316" w:rsidRPr="006A06C5" w:rsidRDefault="000E6971" w:rsidP="006A06C5">
            <w:pPr>
              <w:tabs>
                <w:tab w:val="left" w:pos="4111"/>
              </w:tabs>
              <w:spacing w:before="0"/>
              <w:rPr>
                <w:b/>
                <w:sz w:val="22"/>
                <w:szCs w:val="22"/>
              </w:rPr>
            </w:pPr>
            <w:r w:rsidRPr="006A06C5">
              <w:rPr>
                <w:rFonts w:cs="Calibri"/>
                <w:b/>
                <w:sz w:val="22"/>
                <w:szCs w:val="22"/>
                <w:lang w:val="es-ES"/>
              </w:rPr>
              <w:t>Consulta a los Estados Miembros sobre el proyecto de revisión de la Recomendación UIT</w:t>
            </w:r>
            <w:r w:rsidRPr="006A06C5">
              <w:rPr>
                <w:rFonts w:cs="Calibri"/>
                <w:b/>
                <w:sz w:val="22"/>
                <w:szCs w:val="22"/>
                <w:lang w:val="es-ES"/>
              </w:rPr>
              <w:noBreakHyphen/>
              <w:t xml:space="preserve">T X.1280 determinado y los proyectos de nueva Recomendación X.1286 (ex X.accsadlt), X.1821 (ex X.5Gsec-asra), X.1350 (ex X.sr-iiot), X.2105 (ex X.st-ssc), X.2210 (ex X.ig-dw), X.1910 (ex X.tc-ifd), X.1651 (ex X.soar-cc), X.1607 (ex X.asm-cc), X.1418 (ex X.sg-dcs) y X.1417 (ex X.sr-dpts) determinadas, propuestos para su aprobación en la reunión de la Comisión de Estudio 17 del UIT-T (Ginebra, </w:t>
            </w:r>
            <w:r w:rsidRPr="006A06C5">
              <w:rPr>
                <w:rFonts w:cs="Calibri" w:hint="eastAsia"/>
                <w:b/>
                <w:sz w:val="22"/>
                <w:szCs w:val="22"/>
                <w:lang w:val="es-ES" w:eastAsia="zh-CN"/>
              </w:rPr>
              <w:t xml:space="preserve">1-10 </w:t>
            </w:r>
            <w:r w:rsidRPr="006A06C5">
              <w:rPr>
                <w:rFonts w:cs="Calibri"/>
                <w:b/>
                <w:sz w:val="22"/>
                <w:szCs w:val="22"/>
                <w:lang w:val="es-ES" w:eastAsia="zh-CN"/>
              </w:rPr>
              <w:t>de junio de</w:t>
            </w:r>
            <w:r w:rsidRPr="006A06C5">
              <w:rPr>
                <w:rFonts w:cs="Calibri"/>
                <w:b/>
                <w:sz w:val="22"/>
                <w:szCs w:val="22"/>
                <w:lang w:val="es-ES"/>
              </w:rPr>
              <w:t xml:space="preserve"> 2026)</w:t>
            </w:r>
          </w:p>
        </w:tc>
      </w:tr>
    </w:tbl>
    <w:p w14:paraId="7E32F7A1" w14:textId="34FE3489" w:rsidR="00C34772" w:rsidRPr="006A06C5" w:rsidRDefault="00C34772" w:rsidP="006A06C5">
      <w:pPr>
        <w:rPr>
          <w:sz w:val="22"/>
          <w:szCs w:val="22"/>
        </w:rPr>
      </w:pPr>
      <w:bookmarkStart w:id="1" w:name="StartTyping_S"/>
      <w:bookmarkStart w:id="2" w:name="suitetext"/>
      <w:bookmarkStart w:id="3" w:name="text"/>
      <w:bookmarkEnd w:id="1"/>
      <w:bookmarkEnd w:id="2"/>
      <w:bookmarkEnd w:id="3"/>
      <w:r w:rsidRPr="006A06C5">
        <w:rPr>
          <w:sz w:val="22"/>
          <w:szCs w:val="22"/>
        </w:rPr>
        <w:t>Muy Señora mía/Muy Señor mío</w:t>
      </w:r>
      <w:r w:rsidR="006A06C5">
        <w:rPr>
          <w:sz w:val="22"/>
          <w:szCs w:val="22"/>
        </w:rPr>
        <w:t>,</w:t>
      </w:r>
    </w:p>
    <w:p w14:paraId="0452D5A0" w14:textId="7DB80780" w:rsidR="007B6316" w:rsidRPr="006A06C5" w:rsidRDefault="000E6971" w:rsidP="000E6971">
      <w:pPr>
        <w:rPr>
          <w:sz w:val="22"/>
          <w:szCs w:val="22"/>
        </w:rPr>
      </w:pPr>
      <w:r w:rsidRPr="006A06C5">
        <w:rPr>
          <w:rFonts w:cs="Calibri"/>
          <w:bCs/>
          <w:sz w:val="22"/>
          <w:szCs w:val="22"/>
          <w:lang w:val="es-ES"/>
        </w:rPr>
        <w:t>1</w:t>
      </w:r>
      <w:r w:rsidRPr="006A06C5">
        <w:rPr>
          <w:rFonts w:cs="Calibri"/>
          <w:sz w:val="22"/>
          <w:szCs w:val="22"/>
          <w:lang w:val="es-ES"/>
        </w:rPr>
        <w:tab/>
      </w:r>
      <w:proofErr w:type="gramStart"/>
      <w:r w:rsidRPr="006A06C5">
        <w:rPr>
          <w:rFonts w:cs="Calibri"/>
          <w:sz w:val="22"/>
          <w:szCs w:val="22"/>
          <w:lang w:val="es-ES"/>
        </w:rPr>
        <w:t>La</w:t>
      </w:r>
      <w:proofErr w:type="gramEnd"/>
      <w:r w:rsidRPr="006A06C5">
        <w:rPr>
          <w:rFonts w:cs="Calibri"/>
          <w:sz w:val="22"/>
          <w:szCs w:val="22"/>
          <w:lang w:val="es-ES"/>
        </w:rPr>
        <w:t xml:space="preserve"> Comisión de Estudio 17 del UIT-T (Seguridad) tiene previsto aplicar el procedimiento de aprobación tradicional descrito en la Sección 9 de la </w:t>
      </w:r>
      <w:hyperlink r:id="rId10" w:history="1">
        <w:r w:rsidRPr="006A06C5">
          <w:rPr>
            <w:rStyle w:val="Hyperlink"/>
            <w:rFonts w:cs="Calibri"/>
            <w:sz w:val="22"/>
            <w:szCs w:val="22"/>
            <w:lang w:val="es-ES"/>
          </w:rPr>
          <w:t>Resolución 1 (Rev. Ginebra, 2022) de la AMNT</w:t>
        </w:r>
      </w:hyperlink>
      <w:r w:rsidRPr="006A06C5">
        <w:rPr>
          <w:rFonts w:cs="Calibri"/>
          <w:sz w:val="22"/>
          <w:szCs w:val="22"/>
          <w:lang w:val="es-ES"/>
        </w:rPr>
        <w:t xml:space="preserve"> a efectos de la aprobación de los proyectos de Recomendación indicados en el asunto durante la próxima reunión que tendrá lugar en Ginebra del 1 al 10 de junio de 2026. El proyecto de orden del día y toda la información pertinente sobre la reunión de la Comisión de Estudio 17 del UIT</w:t>
      </w:r>
      <w:r w:rsidR="002846F3" w:rsidRPr="006A06C5">
        <w:rPr>
          <w:rFonts w:cs="Calibri"/>
          <w:sz w:val="22"/>
          <w:szCs w:val="22"/>
          <w:lang w:val="es-ES"/>
        </w:rPr>
        <w:noBreakHyphen/>
      </w:r>
      <w:r w:rsidRPr="006A06C5">
        <w:rPr>
          <w:rFonts w:cs="Calibri"/>
          <w:sz w:val="22"/>
          <w:szCs w:val="22"/>
          <w:lang w:val="es-ES"/>
        </w:rPr>
        <w:t xml:space="preserve">T figurarán en la </w:t>
      </w:r>
      <w:hyperlink r:id="rId11" w:history="1">
        <w:r w:rsidRPr="006A06C5">
          <w:rPr>
            <w:rStyle w:val="Hyperlink"/>
            <w:rFonts w:cs="Calibri"/>
            <w:sz w:val="22"/>
            <w:szCs w:val="22"/>
            <w:lang w:val="es-ES"/>
          </w:rPr>
          <w:t>Carta Colectiva 8/17</w:t>
        </w:r>
      </w:hyperlink>
      <w:r w:rsidRPr="006A06C5">
        <w:rPr>
          <w:rFonts w:cs="Calibri"/>
          <w:sz w:val="22"/>
          <w:szCs w:val="22"/>
          <w:lang w:val="es-ES"/>
        </w:rPr>
        <w:t>.</w:t>
      </w:r>
    </w:p>
    <w:p w14:paraId="67F5FE03" w14:textId="53034BCD" w:rsidR="000E6971" w:rsidRPr="006A06C5" w:rsidRDefault="000E6971" w:rsidP="000E6971">
      <w:pPr>
        <w:rPr>
          <w:rFonts w:cs="Calibri"/>
          <w:sz w:val="22"/>
          <w:szCs w:val="22"/>
          <w:lang w:val="es-ES" w:eastAsia="zh-CN"/>
        </w:rPr>
      </w:pPr>
      <w:r w:rsidRPr="006A06C5">
        <w:rPr>
          <w:rFonts w:cs="Calibri"/>
          <w:bCs/>
          <w:sz w:val="22"/>
          <w:szCs w:val="22"/>
          <w:lang w:val="es-ES"/>
        </w:rPr>
        <w:t>2</w:t>
      </w:r>
      <w:r w:rsidRPr="006A06C5">
        <w:rPr>
          <w:rFonts w:cs="Calibri"/>
          <w:sz w:val="22"/>
          <w:szCs w:val="22"/>
          <w:lang w:val="es-ES"/>
        </w:rPr>
        <w:tab/>
      </w:r>
      <w:proofErr w:type="gramStart"/>
      <w:r w:rsidRPr="006A06C5">
        <w:rPr>
          <w:rFonts w:cs="Calibri"/>
          <w:sz w:val="22"/>
          <w:szCs w:val="22"/>
          <w:lang w:val="es-ES"/>
        </w:rPr>
        <w:t>El</w:t>
      </w:r>
      <w:proofErr w:type="gramEnd"/>
      <w:r w:rsidRPr="006A06C5">
        <w:rPr>
          <w:rFonts w:cs="Calibri"/>
          <w:sz w:val="22"/>
          <w:szCs w:val="22"/>
          <w:lang w:val="es-ES"/>
        </w:rPr>
        <w:t xml:space="preserve"> </w:t>
      </w:r>
      <w:r w:rsidRPr="006A06C5">
        <w:rPr>
          <w:rFonts w:cs="Calibri"/>
          <w:b/>
          <w:bCs/>
          <w:sz w:val="22"/>
          <w:szCs w:val="22"/>
          <w:lang w:val="es-ES"/>
        </w:rPr>
        <w:t xml:space="preserve">Anexo 1 </w:t>
      </w:r>
      <w:r w:rsidRPr="006A06C5">
        <w:rPr>
          <w:rFonts w:cs="Calibri"/>
          <w:sz w:val="22"/>
          <w:szCs w:val="22"/>
          <w:lang w:val="es-ES"/>
        </w:rPr>
        <w:t xml:space="preserve">contiene los títulos, resúmenes y ubicaciones de los proyectos de </w:t>
      </w:r>
      <w:r w:rsidR="00FC4B20" w:rsidRPr="006A06C5">
        <w:rPr>
          <w:rFonts w:cs="Calibri"/>
          <w:sz w:val="22"/>
          <w:szCs w:val="22"/>
          <w:lang w:val="es-ES"/>
        </w:rPr>
        <w:t>Recomendación</w:t>
      </w:r>
      <w:r w:rsidRPr="006A06C5">
        <w:rPr>
          <w:rFonts w:cs="Calibri"/>
          <w:sz w:val="22"/>
          <w:szCs w:val="22"/>
          <w:lang w:val="es-ES"/>
        </w:rPr>
        <w:t xml:space="preserve"> UIT-T propuestos para aprobación.</w:t>
      </w:r>
      <w:r w:rsidRPr="006A06C5">
        <w:rPr>
          <w:rFonts w:cs="Calibri" w:hint="eastAsia"/>
          <w:sz w:val="22"/>
          <w:szCs w:val="22"/>
          <w:lang w:val="es-ES" w:eastAsia="zh-CN"/>
        </w:rPr>
        <w:t xml:space="preserve"> </w:t>
      </w:r>
    </w:p>
    <w:p w14:paraId="631EA762" w14:textId="09DBEE8D" w:rsidR="000E6971" w:rsidRPr="006A06C5" w:rsidRDefault="000E6971" w:rsidP="002846F3">
      <w:pPr>
        <w:pStyle w:val="Note"/>
        <w:rPr>
          <w:sz w:val="22"/>
          <w:szCs w:val="22"/>
          <w:lang w:val="es-ES"/>
        </w:rPr>
      </w:pPr>
      <w:r w:rsidRPr="006A06C5">
        <w:rPr>
          <w:sz w:val="22"/>
          <w:szCs w:val="22"/>
          <w:lang w:val="es-ES"/>
        </w:rPr>
        <w:t>NOTA DE LA TSB 1 – No se ha preparado un documento justificativo de la Recomendación UIT</w:t>
      </w:r>
      <w:r w:rsidR="002846F3" w:rsidRPr="006A06C5">
        <w:rPr>
          <w:sz w:val="22"/>
          <w:szCs w:val="22"/>
          <w:lang w:val="es-ES"/>
        </w:rPr>
        <w:noBreakHyphen/>
      </w:r>
      <w:r w:rsidRPr="006A06C5">
        <w:rPr>
          <w:sz w:val="22"/>
          <w:szCs w:val="22"/>
          <w:lang w:val="es-ES"/>
        </w:rPr>
        <w:t>T</w:t>
      </w:r>
      <w:r w:rsidR="005F68A0" w:rsidRPr="006A06C5">
        <w:rPr>
          <w:sz w:val="22"/>
          <w:szCs w:val="22"/>
          <w:lang w:val="es-ES"/>
        </w:rPr>
        <w:t> </w:t>
      </w:r>
      <w:r w:rsidRPr="006A06C5">
        <w:rPr>
          <w:sz w:val="22"/>
          <w:szCs w:val="22"/>
          <w:lang w:val="es-ES"/>
        </w:rPr>
        <w:t>A.5 para ninguno de los proyectos de texto determinados.</w:t>
      </w:r>
    </w:p>
    <w:p w14:paraId="2A0842D4" w14:textId="77777777" w:rsidR="000E6971" w:rsidRPr="006A06C5" w:rsidRDefault="000E6971" w:rsidP="002846F3">
      <w:pPr>
        <w:pStyle w:val="Note"/>
        <w:rPr>
          <w:sz w:val="22"/>
          <w:szCs w:val="22"/>
          <w:lang w:val="es-ES" w:eastAsia="zh-CN"/>
        </w:rPr>
      </w:pPr>
      <w:r w:rsidRPr="006A06C5">
        <w:rPr>
          <w:sz w:val="22"/>
          <w:szCs w:val="22"/>
          <w:lang w:val="es-ES"/>
        </w:rPr>
        <w:t xml:space="preserve">NOTA DE LA TSB 2 – En la fecha de la presente Circular, la TSB no había recibido ninguna declaración relativa a los derechos de propiedad intelectual (DPI) en relación con estos textos determinados. Para obtener información actualizada, se invita a los Miembros a consultar la base de datos de DPI </w:t>
      </w:r>
      <w:hyperlink r:id="rId12" w:history="1">
        <w:r w:rsidRPr="006A06C5">
          <w:rPr>
            <w:rStyle w:val="Hyperlink"/>
            <w:rFonts w:cs="Calibri"/>
            <w:sz w:val="22"/>
            <w:szCs w:val="22"/>
            <w:lang w:val="es-ES"/>
          </w:rPr>
          <w:t>www.itu.int/ipr/</w:t>
        </w:r>
      </w:hyperlink>
      <w:r w:rsidRPr="006A06C5">
        <w:rPr>
          <w:sz w:val="22"/>
          <w:szCs w:val="22"/>
          <w:lang w:val="es-ES"/>
        </w:rPr>
        <w:t>.</w:t>
      </w:r>
    </w:p>
    <w:p w14:paraId="19F88BE5" w14:textId="7B687349" w:rsidR="000E6971" w:rsidRPr="006A06C5" w:rsidRDefault="000E6971" w:rsidP="000E6971">
      <w:pPr>
        <w:rPr>
          <w:rFonts w:cs="Calibri"/>
          <w:sz w:val="22"/>
          <w:szCs w:val="22"/>
          <w:lang w:val="es-ES"/>
        </w:rPr>
      </w:pPr>
      <w:r w:rsidRPr="006A06C5">
        <w:rPr>
          <w:rFonts w:cs="Calibri"/>
          <w:bCs/>
          <w:sz w:val="22"/>
          <w:szCs w:val="22"/>
          <w:lang w:val="es-ES"/>
        </w:rPr>
        <w:t>3</w:t>
      </w:r>
      <w:r w:rsidRPr="006A06C5">
        <w:rPr>
          <w:rFonts w:cs="Calibri"/>
          <w:sz w:val="22"/>
          <w:szCs w:val="22"/>
          <w:lang w:val="es-ES"/>
        </w:rPr>
        <w:tab/>
      </w:r>
      <w:proofErr w:type="gramStart"/>
      <w:r w:rsidRPr="006A06C5">
        <w:rPr>
          <w:rFonts w:cs="Calibri"/>
          <w:sz w:val="22"/>
          <w:szCs w:val="22"/>
          <w:lang w:val="es-ES"/>
        </w:rPr>
        <w:t>Con</w:t>
      </w:r>
      <w:proofErr w:type="gramEnd"/>
      <w:r w:rsidRPr="006A06C5">
        <w:rPr>
          <w:rFonts w:cs="Calibri"/>
          <w:sz w:val="22"/>
          <w:szCs w:val="22"/>
          <w:lang w:val="es-ES"/>
        </w:rPr>
        <w:t xml:space="preserve"> esta Circular se inicia la consulta oficial con los Estados Miembros de la UIT sobre si estos textos pueden considerarse para aprobación en la próxima reunión, de acuerdo con la cláusula</w:t>
      </w:r>
      <w:r w:rsidR="005F68A0" w:rsidRPr="006A06C5">
        <w:rPr>
          <w:rFonts w:cs="Calibri"/>
          <w:sz w:val="22"/>
          <w:szCs w:val="22"/>
          <w:lang w:val="es-ES"/>
        </w:rPr>
        <w:t> </w:t>
      </w:r>
      <w:r w:rsidRPr="006A06C5">
        <w:rPr>
          <w:rFonts w:cs="Calibri"/>
          <w:sz w:val="22"/>
          <w:szCs w:val="22"/>
          <w:lang w:val="es-ES"/>
        </w:rPr>
        <w:t xml:space="preserve">9.4 de la Resolución 1. Se ruega a los Estados Miembros que cumplimenten y devuelvan el formulario del </w:t>
      </w:r>
      <w:r w:rsidRPr="006A06C5">
        <w:rPr>
          <w:rFonts w:cs="Calibri"/>
          <w:b/>
          <w:bCs/>
          <w:sz w:val="22"/>
          <w:szCs w:val="22"/>
          <w:lang w:val="es-ES"/>
        </w:rPr>
        <w:t>Anexo</w:t>
      </w:r>
      <w:r w:rsidR="005F68A0" w:rsidRPr="006A06C5">
        <w:rPr>
          <w:rFonts w:cs="Calibri"/>
          <w:b/>
          <w:bCs/>
          <w:sz w:val="22"/>
          <w:szCs w:val="22"/>
          <w:lang w:val="es-ES"/>
        </w:rPr>
        <w:t> </w:t>
      </w:r>
      <w:r w:rsidRPr="006A06C5">
        <w:rPr>
          <w:rFonts w:cs="Calibri"/>
          <w:b/>
          <w:bCs/>
          <w:sz w:val="22"/>
          <w:szCs w:val="22"/>
          <w:lang w:val="es-ES"/>
        </w:rPr>
        <w:t xml:space="preserve">2 </w:t>
      </w:r>
      <w:r w:rsidRPr="006A06C5">
        <w:rPr>
          <w:rFonts w:cs="Calibri"/>
          <w:sz w:val="22"/>
          <w:szCs w:val="22"/>
          <w:lang w:val="es-ES"/>
        </w:rPr>
        <w:t xml:space="preserve">antes de las </w:t>
      </w:r>
      <w:r w:rsidRPr="006A06C5">
        <w:rPr>
          <w:rFonts w:cs="Calibri"/>
          <w:b/>
          <w:bCs/>
          <w:sz w:val="22"/>
          <w:szCs w:val="22"/>
          <w:lang w:val="es-ES"/>
        </w:rPr>
        <w:t>23.59</w:t>
      </w:r>
      <w:r w:rsidRPr="006A06C5">
        <w:rPr>
          <w:rFonts w:cs="Calibri"/>
          <w:sz w:val="22"/>
          <w:szCs w:val="22"/>
          <w:lang w:val="es-ES"/>
        </w:rPr>
        <w:t xml:space="preserve"> horas UTC del </w:t>
      </w:r>
      <w:r w:rsidRPr="006A06C5">
        <w:rPr>
          <w:rFonts w:cs="Calibri"/>
          <w:b/>
          <w:bCs/>
          <w:sz w:val="22"/>
          <w:szCs w:val="22"/>
          <w:lang w:val="es-ES"/>
        </w:rPr>
        <w:t>20 de mayo de 2026</w:t>
      </w:r>
      <w:r w:rsidRPr="006A06C5">
        <w:rPr>
          <w:rFonts w:cs="Calibri"/>
          <w:sz w:val="22"/>
          <w:szCs w:val="22"/>
          <w:lang w:val="es-ES"/>
        </w:rPr>
        <w:t>.</w:t>
      </w:r>
    </w:p>
    <w:p w14:paraId="4438B216" w14:textId="77777777" w:rsidR="000E6971" w:rsidRPr="006A06C5" w:rsidRDefault="000E6971">
      <w:pPr>
        <w:tabs>
          <w:tab w:val="clear" w:pos="794"/>
          <w:tab w:val="clear" w:pos="1191"/>
          <w:tab w:val="clear" w:pos="1588"/>
          <w:tab w:val="clear" w:pos="1985"/>
        </w:tabs>
        <w:overflowPunct/>
        <w:autoSpaceDE/>
        <w:autoSpaceDN/>
        <w:adjustRightInd/>
        <w:spacing w:before="0"/>
        <w:textAlignment w:val="auto"/>
        <w:rPr>
          <w:rFonts w:cs="Calibri"/>
          <w:bCs/>
          <w:sz w:val="22"/>
          <w:szCs w:val="22"/>
          <w:lang w:val="es-ES"/>
        </w:rPr>
      </w:pPr>
      <w:r w:rsidRPr="006A06C5">
        <w:rPr>
          <w:rFonts w:cs="Calibri"/>
          <w:bCs/>
          <w:sz w:val="22"/>
          <w:szCs w:val="22"/>
          <w:lang w:val="es-ES"/>
        </w:rPr>
        <w:br w:type="page"/>
      </w:r>
    </w:p>
    <w:p w14:paraId="5ED2B92A" w14:textId="426F55BB" w:rsidR="000E6971" w:rsidRPr="006A06C5" w:rsidRDefault="000E6971" w:rsidP="000E6971">
      <w:pPr>
        <w:rPr>
          <w:sz w:val="22"/>
          <w:szCs w:val="22"/>
        </w:rPr>
      </w:pPr>
      <w:r w:rsidRPr="006A06C5">
        <w:rPr>
          <w:rFonts w:cs="Calibri"/>
          <w:bCs/>
          <w:sz w:val="22"/>
          <w:szCs w:val="22"/>
          <w:lang w:val="es-ES"/>
        </w:rPr>
        <w:lastRenderedPageBreak/>
        <w:t>4</w:t>
      </w:r>
      <w:r w:rsidRPr="006A06C5">
        <w:rPr>
          <w:rFonts w:cs="Calibri"/>
          <w:sz w:val="22"/>
          <w:szCs w:val="22"/>
          <w:lang w:val="es-ES"/>
        </w:rPr>
        <w:tab/>
      </w:r>
      <w:proofErr w:type="gramStart"/>
      <w:r w:rsidRPr="006A06C5">
        <w:rPr>
          <w:rFonts w:cs="Calibri"/>
          <w:sz w:val="22"/>
          <w:szCs w:val="22"/>
          <w:lang w:val="es-ES"/>
        </w:rPr>
        <w:t>Si</w:t>
      </w:r>
      <w:proofErr w:type="gramEnd"/>
      <w:r w:rsidRPr="006A06C5">
        <w:rPr>
          <w:rFonts w:cs="Calibri"/>
          <w:sz w:val="22"/>
          <w:szCs w:val="22"/>
          <w:lang w:val="es-ES"/>
        </w:rPr>
        <w:t xml:space="preserve"> el 70 % como mínimo de las respuestas de los Estados Miembros es favorable a que se considere la aprobación, se dedicará una sesión plenaria a la aplicación del procedimiento de aprobación. Los Estados Miembros que no otorguen autoridad para proceder deben informar al </w:t>
      </w:r>
      <w:proofErr w:type="gramStart"/>
      <w:r w:rsidRPr="006A06C5">
        <w:rPr>
          <w:rFonts w:cs="Calibri"/>
          <w:sz w:val="22"/>
          <w:szCs w:val="22"/>
          <w:lang w:val="es-ES"/>
        </w:rPr>
        <w:t>Director</w:t>
      </w:r>
      <w:proofErr w:type="gramEnd"/>
      <w:r w:rsidRPr="006A06C5">
        <w:rPr>
          <w:rFonts w:cs="Calibri"/>
          <w:sz w:val="22"/>
          <w:szCs w:val="22"/>
          <w:lang w:val="es-ES"/>
        </w:rPr>
        <w:t xml:space="preserve"> de la TSB de los motivos de su decisión e indicar los posibles cambios que harían posible el avance de los trabajos.</w:t>
      </w:r>
    </w:p>
    <w:p w14:paraId="60E1F671" w14:textId="77777777" w:rsidR="007B6316" w:rsidRPr="006A06C5" w:rsidRDefault="007B6316" w:rsidP="007B6316">
      <w:pPr>
        <w:rPr>
          <w:sz w:val="22"/>
          <w:szCs w:val="22"/>
        </w:rPr>
      </w:pPr>
      <w:r w:rsidRPr="006A06C5">
        <w:rPr>
          <w:sz w:val="22"/>
          <w:szCs w:val="22"/>
        </w:rPr>
        <w:t>Atentamente,</w:t>
      </w:r>
    </w:p>
    <w:p w14:paraId="52B81C76" w14:textId="24676ED4" w:rsidR="007B6316" w:rsidRPr="006A06C5" w:rsidRDefault="00BD60E9" w:rsidP="006A06C5">
      <w:pPr>
        <w:spacing w:before="720"/>
        <w:rPr>
          <w:sz w:val="22"/>
          <w:szCs w:val="22"/>
        </w:rPr>
      </w:pPr>
      <w:r>
        <w:rPr>
          <w:rFonts w:cstheme="minorHAnsi"/>
          <w:noProof/>
          <w:sz w:val="22"/>
          <w:szCs w:val="22"/>
          <w:lang w:val="es-ES"/>
        </w:rPr>
        <w:drawing>
          <wp:anchor distT="0" distB="0" distL="114300" distR="114300" simplePos="0" relativeHeight="251658240" behindDoc="1" locked="0" layoutInCell="1" allowOverlap="1" wp14:anchorId="2F137F0D" wp14:editId="75520F91">
            <wp:simplePos x="0" y="0"/>
            <wp:positionH relativeFrom="margin">
              <wp:align>left</wp:align>
            </wp:positionH>
            <wp:positionV relativeFrom="paragraph">
              <wp:posOffset>74930</wp:posOffset>
            </wp:positionV>
            <wp:extent cx="825542" cy="330217"/>
            <wp:effectExtent l="0" t="0" r="0" b="0"/>
            <wp:wrapNone/>
            <wp:docPr id="133386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61039" name="Picture 1333861039"/>
                    <pic:cNvPicPr/>
                  </pic:nvPicPr>
                  <pic:blipFill>
                    <a:blip r:embed="rId13">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6A06C5">
        <w:rPr>
          <w:rFonts w:cstheme="minorHAnsi"/>
          <w:sz w:val="22"/>
          <w:szCs w:val="22"/>
          <w:lang w:val="es-ES"/>
        </w:rPr>
        <w:t>Seizo Onoe</w:t>
      </w:r>
      <w:r w:rsidR="007B6316" w:rsidRPr="006A06C5">
        <w:rPr>
          <w:sz w:val="22"/>
          <w:szCs w:val="22"/>
        </w:rPr>
        <w:br/>
      </w:r>
      <w:proofErr w:type="gramStart"/>
      <w:r w:rsidR="007B6316" w:rsidRPr="006A06C5">
        <w:rPr>
          <w:sz w:val="22"/>
          <w:szCs w:val="22"/>
        </w:rPr>
        <w:t>Director</w:t>
      </w:r>
      <w:proofErr w:type="gramEnd"/>
      <w:r w:rsidR="007B6316" w:rsidRPr="006A06C5">
        <w:rPr>
          <w:sz w:val="22"/>
          <w:szCs w:val="22"/>
        </w:rPr>
        <w:t xml:space="preserve"> de la Oficina de </w:t>
      </w:r>
      <w:r w:rsidR="007B6316" w:rsidRPr="006A06C5">
        <w:rPr>
          <w:sz w:val="22"/>
          <w:szCs w:val="22"/>
        </w:rPr>
        <w:br/>
        <w:t>Normalización de las Telecomunicaciones</w:t>
      </w:r>
    </w:p>
    <w:p w14:paraId="7C28AAF6" w14:textId="26A847BA" w:rsidR="000E6971" w:rsidRPr="006A06C5" w:rsidRDefault="000E6971" w:rsidP="006A06C5">
      <w:pPr>
        <w:spacing w:before="960"/>
        <w:ind w:right="86"/>
        <w:rPr>
          <w:sz w:val="22"/>
          <w:szCs w:val="22"/>
          <w:lang w:val="es-ES"/>
        </w:rPr>
      </w:pPr>
      <w:r w:rsidRPr="006A06C5">
        <w:rPr>
          <w:b/>
          <w:bCs/>
          <w:sz w:val="22"/>
          <w:szCs w:val="22"/>
          <w:lang w:val="es-ES"/>
        </w:rPr>
        <w:t>Anexos:</w:t>
      </w:r>
      <w:r w:rsidRPr="006A06C5">
        <w:rPr>
          <w:sz w:val="22"/>
          <w:szCs w:val="22"/>
          <w:lang w:val="es-ES"/>
        </w:rPr>
        <w:t xml:space="preserve"> 2</w:t>
      </w:r>
    </w:p>
    <w:p w14:paraId="20D47606" w14:textId="11C09AA6" w:rsidR="000E6971" w:rsidRDefault="000E6971">
      <w:pPr>
        <w:tabs>
          <w:tab w:val="clear" w:pos="794"/>
          <w:tab w:val="clear" w:pos="1191"/>
          <w:tab w:val="clear" w:pos="1588"/>
          <w:tab w:val="clear" w:pos="1985"/>
        </w:tabs>
        <w:overflowPunct/>
        <w:autoSpaceDE/>
        <w:autoSpaceDN/>
        <w:adjustRightInd/>
        <w:spacing w:before="0"/>
        <w:textAlignment w:val="auto"/>
        <w:rPr>
          <w:lang w:val="es-ES"/>
        </w:rPr>
      </w:pPr>
    </w:p>
    <w:p w14:paraId="7F69A84C" w14:textId="77777777" w:rsidR="000E6971" w:rsidRPr="006A06C5" w:rsidRDefault="000E6971" w:rsidP="006A06C5">
      <w:pPr>
        <w:pStyle w:val="Annextitle0"/>
        <w:spacing w:before="120" w:after="120"/>
        <w:rPr>
          <w:bCs/>
          <w:szCs w:val="28"/>
          <w:lang w:val="es-ES_tradnl"/>
        </w:rPr>
      </w:pPr>
      <w:r w:rsidRPr="006A06C5">
        <w:rPr>
          <w:bCs/>
          <w:sz w:val="24"/>
          <w:lang w:val="es-ES_tradnl"/>
        </w:rPr>
        <w:br w:type="page"/>
      </w:r>
      <w:r w:rsidRPr="006A06C5">
        <w:rPr>
          <w:bCs/>
          <w:szCs w:val="28"/>
          <w:lang w:val="es-ES_tradnl"/>
        </w:rPr>
        <w:lastRenderedPageBreak/>
        <w:t>Anexo 1</w:t>
      </w:r>
    </w:p>
    <w:p w14:paraId="136A6632" w14:textId="77777777" w:rsidR="000E6971" w:rsidRPr="004620C8" w:rsidRDefault="000E6971" w:rsidP="000E6971">
      <w:pPr>
        <w:pStyle w:val="Annextitle0"/>
        <w:rPr>
          <w:sz w:val="24"/>
          <w:szCs w:val="18"/>
          <w:lang w:val="es-ES"/>
        </w:rPr>
      </w:pPr>
      <w:r w:rsidRPr="004620C8">
        <w:rPr>
          <w:sz w:val="24"/>
          <w:szCs w:val="18"/>
          <w:lang w:val="es-ES"/>
        </w:rPr>
        <w:t>Re</w:t>
      </w:r>
      <w:r>
        <w:rPr>
          <w:sz w:val="24"/>
          <w:szCs w:val="18"/>
          <w:lang w:val="es-ES"/>
        </w:rPr>
        <w:t>sumen y ubicación del proyecto de revisión de la Recomendación UIT</w:t>
      </w:r>
      <w:bookmarkStart w:id="4" w:name="_Hlk221638928"/>
      <w:r w:rsidRPr="004620C8">
        <w:rPr>
          <w:sz w:val="24"/>
          <w:szCs w:val="18"/>
          <w:lang w:val="es-ES"/>
        </w:rPr>
        <w:t xml:space="preserve">-T X.1280 </w:t>
      </w:r>
      <w:r>
        <w:rPr>
          <w:sz w:val="24"/>
          <w:szCs w:val="18"/>
          <w:lang w:val="es-ES"/>
        </w:rPr>
        <w:t>determinado y los proyectos de nueva Recomendación</w:t>
      </w:r>
      <w:r w:rsidRPr="004620C8">
        <w:rPr>
          <w:sz w:val="24"/>
          <w:szCs w:val="18"/>
          <w:lang w:val="es-ES"/>
        </w:rPr>
        <w:t xml:space="preserve"> X.1286 (ex </w:t>
      </w:r>
      <w:proofErr w:type="gramStart"/>
      <w:r w:rsidRPr="004620C8">
        <w:rPr>
          <w:sz w:val="24"/>
          <w:szCs w:val="18"/>
          <w:lang w:val="es-ES"/>
        </w:rPr>
        <w:t>X.accsadlt</w:t>
      </w:r>
      <w:proofErr w:type="gramEnd"/>
      <w:r w:rsidRPr="004620C8">
        <w:rPr>
          <w:sz w:val="24"/>
          <w:szCs w:val="18"/>
          <w:lang w:val="es-ES"/>
        </w:rPr>
        <w:t xml:space="preserve">), X.1821 (ex X.5Gsec-asra), X.1350 (ex X.sr-iiot), X.2105 (ex X.st-ssc), X.2210 (ex </w:t>
      </w:r>
      <w:proofErr w:type="gramStart"/>
      <w:r w:rsidRPr="004620C8">
        <w:rPr>
          <w:sz w:val="24"/>
          <w:szCs w:val="18"/>
          <w:lang w:val="es-ES"/>
        </w:rPr>
        <w:t>X.ig</w:t>
      </w:r>
      <w:proofErr w:type="gramEnd"/>
      <w:r w:rsidRPr="004620C8">
        <w:rPr>
          <w:sz w:val="24"/>
          <w:szCs w:val="18"/>
          <w:lang w:val="es-ES"/>
        </w:rPr>
        <w:t xml:space="preserve">-dw), X.1910 (ex X.tc-ifd), X.1651 (ex </w:t>
      </w:r>
      <w:proofErr w:type="gramStart"/>
      <w:r w:rsidRPr="004620C8">
        <w:rPr>
          <w:sz w:val="24"/>
          <w:szCs w:val="18"/>
          <w:lang w:val="es-ES"/>
        </w:rPr>
        <w:t>X.soar</w:t>
      </w:r>
      <w:proofErr w:type="gramEnd"/>
      <w:r w:rsidRPr="004620C8">
        <w:rPr>
          <w:sz w:val="24"/>
          <w:szCs w:val="18"/>
          <w:lang w:val="es-ES"/>
        </w:rPr>
        <w:t xml:space="preserve">-cc), X.1607 (ex X.asm-cc), X.1418 (ex X.sg-dcs) </w:t>
      </w:r>
      <w:r>
        <w:rPr>
          <w:sz w:val="24"/>
          <w:szCs w:val="18"/>
          <w:lang w:val="es-ES"/>
        </w:rPr>
        <w:t>y</w:t>
      </w:r>
      <w:r w:rsidRPr="004620C8">
        <w:rPr>
          <w:sz w:val="24"/>
          <w:szCs w:val="18"/>
          <w:lang w:val="es-ES"/>
        </w:rPr>
        <w:t xml:space="preserve"> X.1417 (ex X.sr-dpts)</w:t>
      </w:r>
      <w:bookmarkEnd w:id="4"/>
      <w:r>
        <w:rPr>
          <w:sz w:val="24"/>
          <w:szCs w:val="18"/>
          <w:lang w:val="es-ES"/>
        </w:rPr>
        <w:t xml:space="preserve"> determinadas</w:t>
      </w:r>
    </w:p>
    <w:p w14:paraId="73DF45EE" w14:textId="77777777" w:rsidR="000E6971" w:rsidRPr="004620C8" w:rsidRDefault="000E6971" w:rsidP="000E6971">
      <w:pPr>
        <w:pStyle w:val="Heading1"/>
        <w:rPr>
          <w:lang w:val="es-ES"/>
        </w:rPr>
      </w:pPr>
      <w:bookmarkStart w:id="5" w:name="_Hlk221695747"/>
      <w:r w:rsidRPr="004620C8">
        <w:rPr>
          <w:lang w:val="es-ES"/>
        </w:rPr>
        <w:t>1</w:t>
      </w:r>
      <w:r w:rsidRPr="004620C8">
        <w:rPr>
          <w:lang w:val="es-ES"/>
        </w:rPr>
        <w:tab/>
        <w:t xml:space="preserve">Proyecto de revisión de </w:t>
      </w:r>
      <w:r>
        <w:rPr>
          <w:lang w:val="es-ES"/>
        </w:rPr>
        <w:t>la Recomendación UIT</w:t>
      </w:r>
      <w:r w:rsidRPr="004620C8">
        <w:rPr>
          <w:lang w:val="es-ES"/>
        </w:rPr>
        <w:t>-T X.1280 (</w:t>
      </w:r>
      <w:hyperlink r:id="rId14" w:history="1">
        <w:r w:rsidRPr="004620C8">
          <w:rPr>
            <w:rStyle w:val="Hyperlink"/>
            <w:lang w:val="es-ES"/>
          </w:rPr>
          <w:t>SG17-R25</w:t>
        </w:r>
      </w:hyperlink>
      <w:r w:rsidRPr="004620C8">
        <w:rPr>
          <w:lang w:val="es-ES"/>
        </w:rPr>
        <w:t>)</w:t>
      </w:r>
    </w:p>
    <w:p w14:paraId="578ABD63" w14:textId="77777777" w:rsidR="000E6971" w:rsidRPr="004620C8" w:rsidRDefault="000E6971" w:rsidP="000E6971">
      <w:pPr>
        <w:rPr>
          <w:lang w:val="es-ES"/>
        </w:rPr>
      </w:pPr>
      <w:r w:rsidRPr="004620C8">
        <w:rPr>
          <w:lang w:val="es-ES"/>
        </w:rPr>
        <w:t xml:space="preserve">Marco para la autentificación mutua fuera de banda mediante dispositivos </w:t>
      </w:r>
      <w:r>
        <w:rPr>
          <w:lang w:val="es-ES"/>
        </w:rPr>
        <w:t>móviles</w:t>
      </w:r>
    </w:p>
    <w:bookmarkEnd w:id="5"/>
    <w:p w14:paraId="0090579C" w14:textId="77777777" w:rsidR="000E6971" w:rsidRPr="00A34B48" w:rsidRDefault="000E6971" w:rsidP="005F68A0">
      <w:pPr>
        <w:pStyle w:val="headingb"/>
        <w:rPr>
          <w:lang w:val="es-ES"/>
        </w:rPr>
      </w:pPr>
      <w:r w:rsidRPr="00A34B48">
        <w:rPr>
          <w:lang w:val="es-ES"/>
        </w:rPr>
        <w:t>Resumen</w:t>
      </w:r>
    </w:p>
    <w:p w14:paraId="3C7DAA94" w14:textId="77777777" w:rsidR="000E6971" w:rsidRPr="004620C8" w:rsidRDefault="000E6971" w:rsidP="000E6971">
      <w:pPr>
        <w:rPr>
          <w:lang w:val="es-ES"/>
        </w:rPr>
      </w:pPr>
      <w:r w:rsidRPr="004620C8">
        <w:rPr>
          <w:lang w:val="es-ES"/>
        </w:rPr>
        <w:t>En las normas de las tecnologías de autentificación, la resistencia a la suplantación del verificador se considera como un requisito del más alto nivel en lo que respecta a la garantía de autentificación. Sin embargo, las tecnologías de autentificación existentes se centran en la autentificación de los usuarios, y se produce en consecuencia una limitación pues no es posible verificar a los proveedores de servicio de manera explícita.</w:t>
      </w:r>
    </w:p>
    <w:p w14:paraId="3C05BE5E" w14:textId="77777777" w:rsidR="000E6971" w:rsidRPr="004620C8" w:rsidRDefault="000E6971" w:rsidP="000E6971">
      <w:pPr>
        <w:spacing w:after="120"/>
        <w:rPr>
          <w:lang w:val="es-ES"/>
        </w:rPr>
      </w:pPr>
      <w:r w:rsidRPr="004620C8">
        <w:rPr>
          <w:lang w:val="es-ES"/>
        </w:rPr>
        <w:t>En la Recomendación UIT-T X.1280 se proporciona un marco para la autentificación mutua fuera de banda mediante dispositivos móviles, lo que soluciona la vulnerabilidad frente a la suplantación del verificador y la limitación de la dependencia que tienen los autentificadores existentes de los terminales de usuario. Permite a un usuario proporcionar su información de autentificación de usuario después de verificar el proveedor de servicio, de manera explícita e independiente, en el proceso de autentificación de usuario desde cualquier terminal de usuario.</w:t>
      </w:r>
    </w:p>
    <w:p w14:paraId="4364EFD8" w14:textId="77777777" w:rsidR="000E6971" w:rsidRPr="00246BB6" w:rsidRDefault="000E6971" w:rsidP="000E6971">
      <w:pPr>
        <w:pStyle w:val="Heading1"/>
        <w:rPr>
          <w:lang w:val="es-ES"/>
        </w:rPr>
      </w:pPr>
      <w:bookmarkStart w:id="6" w:name="_Hlk221695738"/>
      <w:r w:rsidRPr="00246BB6">
        <w:rPr>
          <w:lang w:val="es-ES"/>
        </w:rPr>
        <w:t>2</w:t>
      </w:r>
      <w:r w:rsidRPr="00246BB6">
        <w:rPr>
          <w:lang w:val="es-ES"/>
        </w:rPr>
        <w:tab/>
        <w:t>Proyecto de Recomendación UIT-T X.1286 (ex X.accsadlt) (</w:t>
      </w:r>
      <w:hyperlink r:id="rId15" w:history="1">
        <w:r w:rsidRPr="00246BB6">
          <w:rPr>
            <w:rStyle w:val="Hyperlink"/>
            <w:lang w:val="es-ES"/>
          </w:rPr>
          <w:t>SG17-R26</w:t>
        </w:r>
      </w:hyperlink>
      <w:r w:rsidRPr="00246BB6">
        <w:rPr>
          <w:lang w:val="es-ES"/>
        </w:rPr>
        <w:t>)</w:t>
      </w:r>
    </w:p>
    <w:p w14:paraId="12520731" w14:textId="03F22BB4" w:rsidR="000E6971" w:rsidRPr="00246BB6" w:rsidRDefault="000E6971" w:rsidP="000E6971">
      <w:pPr>
        <w:rPr>
          <w:lang w:val="es-ES"/>
        </w:rPr>
      </w:pPr>
      <w:r w:rsidRPr="00246BB6">
        <w:rPr>
          <w:lang w:val="es-ES"/>
        </w:rPr>
        <w:t xml:space="preserve">Plataforma de control de acceso mediante un método de </w:t>
      </w:r>
      <w:r w:rsidR="00FC4B20" w:rsidRPr="00246BB6">
        <w:rPr>
          <w:lang w:val="es-ES"/>
        </w:rPr>
        <w:t>autentificación</w:t>
      </w:r>
      <w:r w:rsidRPr="00246BB6">
        <w:rPr>
          <w:lang w:val="es-ES"/>
        </w:rPr>
        <w:t xml:space="preserve"> basado en tecnología de libro mayor distribuido (DLT)</w:t>
      </w:r>
    </w:p>
    <w:bookmarkEnd w:id="6"/>
    <w:p w14:paraId="6FEA8E7B" w14:textId="77777777" w:rsidR="000E6971" w:rsidRPr="004620C8" w:rsidRDefault="000E6971" w:rsidP="005F68A0">
      <w:pPr>
        <w:pStyle w:val="headingb"/>
        <w:rPr>
          <w:lang w:val="es-ES"/>
        </w:rPr>
      </w:pPr>
      <w:r w:rsidRPr="004620C8">
        <w:rPr>
          <w:lang w:val="es-ES"/>
        </w:rPr>
        <w:t>Resumen</w:t>
      </w:r>
    </w:p>
    <w:p w14:paraId="146900EB" w14:textId="688EB4B3" w:rsidR="000E6971" w:rsidRPr="002E0A43" w:rsidRDefault="000E6971" w:rsidP="005F68A0">
      <w:pPr>
        <w:rPr>
          <w:lang w:val="es-ES"/>
        </w:rPr>
      </w:pPr>
      <w:r w:rsidRPr="002E0A43">
        <w:rPr>
          <w:lang w:val="es-ES" w:eastAsia="zh-CN"/>
        </w:rPr>
        <w:t>En esta Recomendación se especifican los requisitos de una plataforma de control de acceso mediante la autentificación basada en la tecnología de libro mayor distribuido</w:t>
      </w:r>
      <w:r w:rsidRPr="002E0A43">
        <w:rPr>
          <w:rFonts w:eastAsia="Malgun Gothic"/>
          <w:lang w:val="es-ES" w:eastAsia="ko-KR"/>
        </w:rPr>
        <w:t xml:space="preserve"> (DLT),</w:t>
      </w:r>
      <w:r>
        <w:rPr>
          <w:rFonts w:eastAsia="Malgun Gothic"/>
          <w:lang w:val="es-ES" w:eastAsia="ko-KR"/>
        </w:rPr>
        <w:t xml:space="preserve"> un marco que permite una cómoda autentificación distribuida y la verificación de la identidad de los usuarios y dispositivos para acceder a los servicios digitales. </w:t>
      </w:r>
      <w:r w:rsidRPr="002E0A43">
        <w:rPr>
          <w:rFonts w:eastAsia="Malgun Gothic"/>
          <w:lang w:val="es-ES" w:eastAsia="ko-KR"/>
        </w:rPr>
        <w:t>Los sistemas de autentificación basados en DLT permite</w:t>
      </w:r>
      <w:r w:rsidR="005F68A0">
        <w:rPr>
          <w:rFonts w:eastAsia="Malgun Gothic"/>
          <w:lang w:val="es-ES" w:eastAsia="ko-KR"/>
        </w:rPr>
        <w:t>n</w:t>
      </w:r>
      <w:r w:rsidRPr="002E0A43">
        <w:rPr>
          <w:rFonts w:eastAsia="Malgun Gothic"/>
          <w:lang w:val="es-ES" w:eastAsia="ko-KR"/>
        </w:rPr>
        <w:t xml:space="preserve"> ofrecer servicios de identificación, validación</w:t>
      </w:r>
      <w:r>
        <w:rPr>
          <w:rFonts w:eastAsia="Malgun Gothic"/>
          <w:lang w:val="es-ES" w:eastAsia="ko-KR"/>
        </w:rPr>
        <w:t xml:space="preserve"> y verificación de la identidad seguros, diseñados para cumplir los requisitos de control de acceso de la organización</w:t>
      </w:r>
      <w:r w:rsidRPr="002E0A43">
        <w:rPr>
          <w:lang w:val="es-ES"/>
        </w:rPr>
        <w:t>.</w:t>
      </w:r>
    </w:p>
    <w:p w14:paraId="1B54F125" w14:textId="77777777" w:rsidR="000E6971" w:rsidRPr="002E0A43" w:rsidRDefault="000E6971" w:rsidP="005F68A0">
      <w:pPr>
        <w:rPr>
          <w:lang w:val="es-ES"/>
        </w:rPr>
      </w:pPr>
      <w:r w:rsidRPr="002E0A43">
        <w:rPr>
          <w:lang w:val="es-ES"/>
        </w:rPr>
        <w:t xml:space="preserve">Una plataforma de control de acceso que utiliza la autentificación basada en DLT protege las </w:t>
      </w:r>
      <w:r>
        <w:rPr>
          <w:lang w:val="es-ES"/>
        </w:rPr>
        <w:t xml:space="preserve">credenciales de los usuarios contra el fraude gracias a la autentificación y la verificación de la identidad mediante DLT. </w:t>
      </w:r>
      <w:r w:rsidRPr="002E0A43">
        <w:rPr>
          <w:lang w:val="es-ES"/>
        </w:rPr>
        <w:t>La DLT permite asimismo prestar un servicio de verificación de la identidad sin cont</w:t>
      </w:r>
      <w:r>
        <w:rPr>
          <w:lang w:val="es-ES"/>
        </w:rPr>
        <w:t>raseña utilizando métodos de autentificación multifactorial</w:t>
      </w:r>
      <w:r w:rsidRPr="002E0A43">
        <w:rPr>
          <w:lang w:val="es-ES"/>
        </w:rPr>
        <w:t xml:space="preserve"> (MFA) p</w:t>
      </w:r>
      <w:r>
        <w:rPr>
          <w:lang w:val="es-ES"/>
        </w:rPr>
        <w:t>ara proteger la cuenta del usuario contra el acceso ilícito</w:t>
      </w:r>
      <w:r w:rsidRPr="002E0A43">
        <w:rPr>
          <w:lang w:val="es-ES"/>
        </w:rPr>
        <w:t xml:space="preserve"> (ATO), </w:t>
      </w:r>
      <w:r>
        <w:rPr>
          <w:lang w:val="es-ES"/>
        </w:rPr>
        <w:t>las transacciones fraudulentas, el acceso no autorizado, el pirateo, el fraude de credenciales y los</w:t>
      </w:r>
      <w:r w:rsidRPr="002E0A43">
        <w:rPr>
          <w:lang w:val="es-ES"/>
        </w:rPr>
        <w:t xml:space="preserve"> </w:t>
      </w:r>
      <w:r w:rsidRPr="00FC4B20">
        <w:rPr>
          <w:i/>
          <w:iCs/>
          <w:lang w:val="es-ES"/>
        </w:rPr>
        <w:t>ransomware</w:t>
      </w:r>
      <w:r w:rsidRPr="002E0A43">
        <w:rPr>
          <w:lang w:val="es-ES"/>
        </w:rPr>
        <w:t>.</w:t>
      </w:r>
    </w:p>
    <w:p w14:paraId="24B3CDA4" w14:textId="77777777" w:rsidR="000E6971" w:rsidRPr="004620C8" w:rsidRDefault="000E6971" w:rsidP="000E6971">
      <w:pPr>
        <w:rPr>
          <w:lang w:val="es-ES"/>
        </w:rPr>
      </w:pPr>
      <w:r w:rsidRPr="002E0A43">
        <w:rPr>
          <w:szCs w:val="22"/>
          <w:lang w:val="es-ES"/>
        </w:rPr>
        <w:t xml:space="preserve">La presente Recomendación podría ayudar a investigadores, diseñadores, creadores y organizaciones de </w:t>
      </w:r>
      <w:r>
        <w:rPr>
          <w:szCs w:val="22"/>
          <w:lang w:val="es-ES"/>
        </w:rPr>
        <w:t xml:space="preserve">sistemas </w:t>
      </w:r>
      <w:r w:rsidRPr="002E0A43">
        <w:rPr>
          <w:szCs w:val="22"/>
          <w:lang w:val="es-ES"/>
        </w:rPr>
        <w:t>DLT a diseñar, implementar y explo</w:t>
      </w:r>
      <w:r>
        <w:rPr>
          <w:szCs w:val="22"/>
          <w:lang w:val="es-ES"/>
        </w:rPr>
        <w:t>t</w:t>
      </w:r>
      <w:r w:rsidRPr="002E0A43">
        <w:rPr>
          <w:szCs w:val="22"/>
          <w:lang w:val="es-ES"/>
        </w:rPr>
        <w:t>ar un</w:t>
      </w:r>
      <w:r>
        <w:rPr>
          <w:szCs w:val="22"/>
          <w:lang w:val="es-ES"/>
        </w:rPr>
        <w:t>a plataforma de control de acceso mediante la autentificación basada en DLT</w:t>
      </w:r>
      <w:r w:rsidRPr="004620C8">
        <w:rPr>
          <w:bCs/>
          <w:lang w:val="es-ES"/>
        </w:rPr>
        <w:t>.</w:t>
      </w:r>
    </w:p>
    <w:p w14:paraId="20E4E512" w14:textId="77777777" w:rsidR="000E6971" w:rsidRPr="00246BB6" w:rsidRDefault="000E6971" w:rsidP="000E6971">
      <w:pPr>
        <w:pStyle w:val="Heading1"/>
        <w:rPr>
          <w:lang w:val="es-ES"/>
        </w:rPr>
      </w:pPr>
      <w:bookmarkStart w:id="7" w:name="_Hlk221695781"/>
      <w:r w:rsidRPr="00246BB6">
        <w:rPr>
          <w:lang w:val="es-ES"/>
        </w:rPr>
        <w:lastRenderedPageBreak/>
        <w:t>3</w:t>
      </w:r>
      <w:r w:rsidRPr="00246BB6">
        <w:rPr>
          <w:lang w:val="es-ES"/>
        </w:rPr>
        <w:tab/>
        <w:t>Proyecto de Recomendación UIT-T X.1821 (ex X.5Gsec-asra) (</w:t>
      </w:r>
      <w:hyperlink r:id="rId16" w:history="1">
        <w:r w:rsidRPr="00246BB6">
          <w:rPr>
            <w:rStyle w:val="Hyperlink"/>
            <w:lang w:val="es-ES"/>
          </w:rPr>
          <w:t>SG17-R27</w:t>
        </w:r>
      </w:hyperlink>
      <w:r w:rsidRPr="00246BB6">
        <w:rPr>
          <w:lang w:val="es-ES"/>
        </w:rPr>
        <w:t>)</w:t>
      </w:r>
    </w:p>
    <w:p w14:paraId="0834AAE0" w14:textId="1F7B735E" w:rsidR="000E6971" w:rsidRPr="00246BB6" w:rsidRDefault="000E6971" w:rsidP="000E6971">
      <w:pPr>
        <w:rPr>
          <w:lang w:val="es-ES"/>
        </w:rPr>
      </w:pPr>
      <w:r w:rsidRPr="00246BB6">
        <w:rPr>
          <w:lang w:val="es-ES"/>
        </w:rPr>
        <w:t>Directrices y requisitos técnicos para el análisis de riesgos de seguridad en activos de red IMT</w:t>
      </w:r>
      <w:r w:rsidR="005F68A0">
        <w:rPr>
          <w:lang w:val="es-ES"/>
        </w:rPr>
        <w:noBreakHyphen/>
      </w:r>
      <w:r w:rsidRPr="00246BB6">
        <w:rPr>
          <w:lang w:val="es-ES"/>
        </w:rPr>
        <w:t>2020/5G</w:t>
      </w:r>
    </w:p>
    <w:bookmarkEnd w:id="7"/>
    <w:p w14:paraId="678C03DA" w14:textId="77777777" w:rsidR="000E6971" w:rsidRPr="004620C8" w:rsidRDefault="000E6971" w:rsidP="005F68A0">
      <w:pPr>
        <w:pStyle w:val="headingb"/>
        <w:rPr>
          <w:lang w:val="es-ES"/>
        </w:rPr>
      </w:pPr>
      <w:r w:rsidRPr="004620C8">
        <w:rPr>
          <w:lang w:val="es-ES"/>
        </w:rPr>
        <w:t>Resumen</w:t>
      </w:r>
    </w:p>
    <w:p w14:paraId="41461955" w14:textId="77777777" w:rsidR="005F68A0" w:rsidRDefault="000E6971" w:rsidP="000E6971">
      <w:pPr>
        <w:rPr>
          <w:lang w:val="es-ES"/>
        </w:rPr>
      </w:pPr>
      <w:r w:rsidRPr="006B05D2">
        <w:rPr>
          <w:szCs w:val="22"/>
          <w:lang w:val="es-ES" w:eastAsia="ko-KR"/>
        </w:rPr>
        <w:t>En esta Recomendación se expone la necesidad de realizar análisis de riesgos de seguridad en activos de red</w:t>
      </w:r>
      <w:r w:rsidRPr="006B05D2">
        <w:rPr>
          <w:lang w:val="es-ES" w:eastAsia="zh-CN"/>
        </w:rPr>
        <w:t xml:space="preserve"> </w:t>
      </w:r>
      <w:r w:rsidRPr="006B05D2">
        <w:rPr>
          <w:szCs w:val="22"/>
          <w:lang w:val="es-ES" w:eastAsia="zh-CN"/>
        </w:rPr>
        <w:t xml:space="preserve">IMT-2020/5G </w:t>
      </w:r>
      <w:r>
        <w:rPr>
          <w:szCs w:val="22"/>
          <w:lang w:val="es-ES" w:eastAsia="zh-CN"/>
        </w:rPr>
        <w:t xml:space="preserve">durante la fase de operación y mantenimiento y se identifican las carencias que presentan las prácticas vigentes. </w:t>
      </w:r>
      <w:r w:rsidRPr="006B05D2">
        <w:rPr>
          <w:szCs w:val="22"/>
          <w:lang w:val="es-ES" w:eastAsia="zh-CN"/>
        </w:rPr>
        <w:t>Sobre la base de ese análisis, en esta Recomendación se espe</w:t>
      </w:r>
      <w:r>
        <w:rPr>
          <w:szCs w:val="22"/>
          <w:lang w:val="es-ES" w:eastAsia="zh-CN"/>
        </w:rPr>
        <w:t>cifican requisitos técnicos y directrices para el análisis de riesgos de seguridad en activos de red</w:t>
      </w:r>
      <w:r w:rsidRPr="006B05D2">
        <w:rPr>
          <w:szCs w:val="22"/>
          <w:lang w:val="es-ES" w:eastAsia="zh-CN"/>
        </w:rPr>
        <w:t xml:space="preserve"> IMT2020/5G,</w:t>
      </w:r>
      <w:r>
        <w:rPr>
          <w:szCs w:val="22"/>
          <w:lang w:val="es-ES" w:eastAsia="zh-CN"/>
        </w:rPr>
        <w:t xml:space="preserve"> en particular, la detección de vulnerabilidades, la verificación básica de seguridad y el análisis de eventos de seguridad</w:t>
      </w:r>
      <w:r w:rsidRPr="004620C8">
        <w:rPr>
          <w:lang w:val="es-ES"/>
        </w:rPr>
        <w:t>.</w:t>
      </w:r>
    </w:p>
    <w:p w14:paraId="277A546A" w14:textId="7DB7011F" w:rsidR="000E6971" w:rsidRPr="00246BB6" w:rsidRDefault="000E6971" w:rsidP="000E6971">
      <w:pPr>
        <w:pStyle w:val="Heading1"/>
        <w:rPr>
          <w:lang w:val="es-ES"/>
        </w:rPr>
      </w:pPr>
      <w:bookmarkStart w:id="8" w:name="_Hlk221695844"/>
      <w:r w:rsidRPr="00246BB6">
        <w:rPr>
          <w:lang w:val="es-ES"/>
        </w:rPr>
        <w:t>4</w:t>
      </w:r>
      <w:r w:rsidRPr="00246BB6">
        <w:rPr>
          <w:lang w:val="es-ES"/>
        </w:rPr>
        <w:tab/>
      </w:r>
      <w:bookmarkStart w:id="9" w:name="_Hlk221695836"/>
      <w:r w:rsidRPr="00246BB6">
        <w:rPr>
          <w:lang w:val="es-ES"/>
        </w:rPr>
        <w:t>Proyecto de Recomendación UIT-T X.1350 (ex X.sr-iiot) (</w:t>
      </w:r>
      <w:hyperlink r:id="rId17" w:history="1">
        <w:r w:rsidRPr="00246BB6">
          <w:rPr>
            <w:rStyle w:val="Hyperlink"/>
            <w:lang w:val="es-ES"/>
          </w:rPr>
          <w:t>SG17-R28</w:t>
        </w:r>
      </w:hyperlink>
      <w:r w:rsidRPr="00246BB6">
        <w:rPr>
          <w:lang w:val="es-ES"/>
        </w:rPr>
        <w:t>)</w:t>
      </w:r>
    </w:p>
    <w:p w14:paraId="1B0525C0" w14:textId="77777777" w:rsidR="000E6971" w:rsidRPr="004620C8" w:rsidRDefault="000E6971" w:rsidP="000E6971">
      <w:pPr>
        <w:rPr>
          <w:lang w:val="es-ES"/>
        </w:rPr>
      </w:pPr>
      <w:r w:rsidRPr="004620C8">
        <w:rPr>
          <w:lang w:val="es-ES"/>
        </w:rPr>
        <w:t>Requisitos de seguridad para la Internet Industrial de las cosas en la fabricación inteligente</w:t>
      </w:r>
    </w:p>
    <w:bookmarkEnd w:id="8"/>
    <w:bookmarkEnd w:id="9"/>
    <w:p w14:paraId="2F86016B" w14:textId="77777777" w:rsidR="000E6971" w:rsidRPr="00D43A7B" w:rsidRDefault="000E6971" w:rsidP="005F68A0">
      <w:pPr>
        <w:pStyle w:val="headingb"/>
      </w:pPr>
      <w:r>
        <w:t>Resumen</w:t>
      </w:r>
    </w:p>
    <w:p w14:paraId="42F12CB7" w14:textId="77777777" w:rsidR="000E6971" w:rsidRPr="00883D42" w:rsidRDefault="000E6971" w:rsidP="000E6971">
      <w:r w:rsidRPr="00883D42">
        <w:fldChar w:fldCharType="begin"/>
      </w:r>
      <w:r w:rsidRPr="00883D42">
        <w:instrText xml:space="preserve"> Smart manufacturing, which is based on advanced Information and Communication Technology (ICT) and aims to increase the efficiency, safety, reliability, and productivity of manufacturing processes and innovate the product manufacturing process, is being introduced.</w:instrText>
      </w:r>
    </w:p>
    <w:p w14:paraId="394D4B93" w14:textId="323D8D87" w:rsidR="000E6971" w:rsidRPr="00CC69A9" w:rsidRDefault="000E6971" w:rsidP="000E6971">
      <w:r w:rsidRPr="00883D42">
        <w:instrText xml:space="preserve"> </w:instrText>
      </w:r>
      <w:r w:rsidRPr="00883D42">
        <w:fldChar w:fldCharType="separate"/>
      </w:r>
      <w:r w:rsidR="00BD60E9">
        <w:rPr>
          <w:b/>
          <w:bCs/>
          <w:lang w:val="en-US"/>
        </w:rPr>
        <w:t xml:space="preserve">Error! Bookmark not </w:t>
      </w:r>
      <w:proofErr w:type="spellStart"/>
      <w:r w:rsidR="00BD60E9">
        <w:rPr>
          <w:b/>
          <w:bCs/>
          <w:lang w:val="en-US"/>
        </w:rPr>
        <w:t>defined.</w:t>
      </w:r>
      <w:r w:rsidRPr="00883D42">
        <w:fldChar w:fldCharType="end"/>
      </w:r>
      <w:r w:rsidRPr="00CC69A9">
        <w:fldChar w:fldCharType="begin"/>
      </w:r>
      <w:r w:rsidRPr="00CC69A9">
        <w:instrText xml:space="preserve"> Smart manufacturing, which is based on advanced Information and Communication Technology (ICT) and aims to increase the efficiency, safety, reliability, and productivity of manufacturing processes and innovate the product manufacturing process, is being introduced.</w:instrText>
      </w:r>
    </w:p>
    <w:p w14:paraId="65591586" w14:textId="71E8D331" w:rsidR="000E6971" w:rsidRPr="004620C8" w:rsidRDefault="000E6971" w:rsidP="000E6971">
      <w:pPr>
        <w:rPr>
          <w:lang w:val="es-ES"/>
        </w:rPr>
      </w:pPr>
      <w:r w:rsidRPr="004620C8">
        <w:rPr>
          <w:lang w:val="es-ES"/>
        </w:rPr>
        <w:instrText xml:space="preserve"> </w:instrText>
      </w:r>
      <w:r w:rsidRPr="00CC69A9">
        <w:fldChar w:fldCharType="separate"/>
      </w:r>
      <w:r w:rsidR="00BD60E9">
        <w:rPr>
          <w:b/>
          <w:bCs/>
          <w:lang w:val="en-US"/>
        </w:rPr>
        <w:t>Error</w:t>
      </w:r>
      <w:proofErr w:type="spellEnd"/>
      <w:r w:rsidR="00BD60E9">
        <w:rPr>
          <w:b/>
          <w:bCs/>
          <w:lang w:val="en-US"/>
        </w:rPr>
        <w:t xml:space="preserve">! </w:t>
      </w:r>
      <w:r w:rsidR="00BD60E9" w:rsidRPr="00BD60E9">
        <w:rPr>
          <w:b/>
          <w:bCs/>
          <w:lang w:val="fr-CH"/>
        </w:rPr>
        <w:t xml:space="preserve">Bookmark not </w:t>
      </w:r>
      <w:proofErr w:type="spellStart"/>
      <w:r w:rsidR="00BD60E9" w:rsidRPr="00BD60E9">
        <w:rPr>
          <w:b/>
          <w:bCs/>
          <w:lang w:val="fr-CH"/>
        </w:rPr>
        <w:t>defined</w:t>
      </w:r>
      <w:proofErr w:type="spellEnd"/>
      <w:r w:rsidR="00BD60E9" w:rsidRPr="00BD60E9">
        <w:rPr>
          <w:b/>
          <w:bCs/>
          <w:lang w:val="fr-CH"/>
        </w:rPr>
        <w:t>.</w:t>
      </w:r>
      <w:r w:rsidRPr="00CC69A9">
        <w:fldChar w:fldCharType="end"/>
      </w:r>
      <w:r>
        <w:rPr>
          <w:lang w:val="es-ES"/>
        </w:rPr>
        <w:t>En esta Recomendación se identifican posibles amenazas de seguridad y se especifican los requisitos de seguridad correspondientes que pueden surgir en la dimensión de inteligencia de la fabricación inteligente basada en la Internet Industrial de las cosas (IIoT) especificada en la Recomendación [UIT-T Y.4003]. Concretamente, en esta Recomendación se identifican las posibles amenazas de seguridad que pueden sobrevenir en cada capa de la dimensión de inteligencia entre las tres dimensiones (es decir, ciclo de vida del producto, jerarquía del sistema, inteligencia) de la fabricación inteligente basada en IIoT. Se especifican requisitos de seguridad para responder a las amenazas de seguridad identificadas, a fin de garantizar la seguridad de la dimensión de inteligencia de la fabricación inteligente basada en IIoT</w:t>
      </w:r>
      <w:r w:rsidRPr="004620C8">
        <w:rPr>
          <w:lang w:val="es-ES"/>
        </w:rPr>
        <w:t>.</w:t>
      </w:r>
    </w:p>
    <w:p w14:paraId="259BAEB1" w14:textId="77777777" w:rsidR="000E6971" w:rsidRPr="00246BB6" w:rsidRDefault="000E6971" w:rsidP="000E6971">
      <w:pPr>
        <w:pStyle w:val="Heading1"/>
        <w:rPr>
          <w:lang w:val="es-ES"/>
        </w:rPr>
      </w:pPr>
      <w:bookmarkStart w:id="10" w:name="_Hlk221695875"/>
      <w:r w:rsidRPr="00246BB6">
        <w:rPr>
          <w:lang w:val="es-ES"/>
        </w:rPr>
        <w:t>5</w:t>
      </w:r>
      <w:r w:rsidRPr="00246BB6">
        <w:rPr>
          <w:lang w:val="es-ES"/>
        </w:rPr>
        <w:tab/>
        <w:t xml:space="preserve">Proyecto de Recomendación UIT-T </w:t>
      </w:r>
      <w:bookmarkStart w:id="11" w:name="_Hlk221638629"/>
      <w:r w:rsidRPr="00246BB6">
        <w:rPr>
          <w:lang w:val="es-ES"/>
        </w:rPr>
        <w:t>X.2105 (ex X.st-ssc)</w:t>
      </w:r>
      <w:bookmarkEnd w:id="11"/>
      <w:r w:rsidRPr="00246BB6">
        <w:rPr>
          <w:lang w:val="es-ES"/>
        </w:rPr>
        <w:t xml:space="preserve"> (</w:t>
      </w:r>
      <w:hyperlink r:id="rId18" w:history="1">
        <w:r w:rsidRPr="00246BB6">
          <w:rPr>
            <w:rStyle w:val="Hyperlink"/>
            <w:lang w:val="es-ES"/>
          </w:rPr>
          <w:t>SG17-R29</w:t>
        </w:r>
      </w:hyperlink>
      <w:r w:rsidRPr="00246BB6">
        <w:rPr>
          <w:lang w:val="es-ES"/>
        </w:rPr>
        <w:t>)</w:t>
      </w:r>
    </w:p>
    <w:p w14:paraId="60897D30" w14:textId="77777777" w:rsidR="000E6971" w:rsidRPr="004620C8" w:rsidRDefault="000E6971" w:rsidP="000E6971">
      <w:pPr>
        <w:rPr>
          <w:lang w:val="es-ES"/>
        </w:rPr>
      </w:pPr>
      <w:r w:rsidRPr="004620C8">
        <w:rPr>
          <w:lang w:val="es-ES"/>
        </w:rPr>
        <w:t xml:space="preserve">Amenazas de seguridad a la cadena de suministro de </w:t>
      </w:r>
      <w:r w:rsidRPr="004620C8">
        <w:rPr>
          <w:i/>
          <w:iCs/>
          <w:lang w:val="es-ES"/>
        </w:rPr>
        <w:t>software</w:t>
      </w:r>
    </w:p>
    <w:bookmarkEnd w:id="10"/>
    <w:p w14:paraId="15947FD2" w14:textId="77777777" w:rsidR="000E6971" w:rsidRPr="00E47C30" w:rsidRDefault="000E6971" w:rsidP="005F68A0">
      <w:pPr>
        <w:pStyle w:val="headingb"/>
        <w:rPr>
          <w:lang w:val="es-ES"/>
        </w:rPr>
      </w:pPr>
      <w:r w:rsidRPr="00E47C30">
        <w:rPr>
          <w:lang w:val="es-ES"/>
        </w:rPr>
        <w:t>Resumen</w:t>
      </w:r>
    </w:p>
    <w:p w14:paraId="7CF8458C" w14:textId="77777777" w:rsidR="000E6971" w:rsidRPr="00EB609D" w:rsidRDefault="000E6971" w:rsidP="000E6971">
      <w:pPr>
        <w:rPr>
          <w:lang w:val="es-ES"/>
        </w:rPr>
      </w:pPr>
      <w:r w:rsidRPr="00EB609D">
        <w:rPr>
          <w:lang w:val="es-ES"/>
        </w:rPr>
        <w:t xml:space="preserve">En los últimos años, se ha registrado un incremento significativo de los ciberataques derivados de vulnerabilidades en la cadena de suministro de </w:t>
      </w:r>
      <w:r w:rsidRPr="00EB609D">
        <w:rPr>
          <w:i/>
          <w:iCs/>
          <w:lang w:val="es-ES"/>
        </w:rPr>
        <w:t>software</w:t>
      </w:r>
      <w:r w:rsidRPr="00EB609D">
        <w:rPr>
          <w:lang w:val="es-ES"/>
        </w:rPr>
        <w:t xml:space="preserve">. Este tipo de ataques puede generar impactos graves, costosos y de largo plazo, no solo para las organizaciones directamente afectadas, sino también para sus cadenas de suministro y sus clientes. Para mitigar estos riesgos, resulta fundamental identificar las amenazas de seguridad a lo largo de todo el ciclo de vida de la cadena de suministro de </w:t>
      </w:r>
      <w:r w:rsidRPr="00EB609D">
        <w:rPr>
          <w:i/>
          <w:iCs/>
          <w:lang w:val="es-ES"/>
        </w:rPr>
        <w:t>software</w:t>
      </w:r>
      <w:r w:rsidRPr="00EB609D">
        <w:rPr>
          <w:lang w:val="es-ES"/>
        </w:rPr>
        <w:t>, así como reconocer a todas las partes interesadas involucradas. La identificación de estas amenazas constituye la base para definir e implementar controles de seguridad adecuados en cada etapa del ciclo de vida.</w:t>
      </w:r>
    </w:p>
    <w:p w14:paraId="5B90F6C8" w14:textId="77777777" w:rsidR="000E6971" w:rsidRPr="00EB609D" w:rsidRDefault="000E6971" w:rsidP="000E6971">
      <w:pPr>
        <w:rPr>
          <w:lang w:val="es-ES"/>
        </w:rPr>
      </w:pPr>
      <w:r w:rsidRPr="00EB609D">
        <w:rPr>
          <w:lang w:val="es-ES"/>
        </w:rPr>
        <w:t xml:space="preserve">Este proyecto de Recomendación presenta amenazas y controles de seguridad de alto nivel para la seguridad de la cadena de suministro de </w:t>
      </w:r>
      <w:r w:rsidRPr="00EB609D">
        <w:rPr>
          <w:i/>
          <w:iCs/>
          <w:lang w:val="es-ES"/>
        </w:rPr>
        <w:t>software</w:t>
      </w:r>
      <w:r w:rsidRPr="00EB609D">
        <w:rPr>
          <w:lang w:val="es-ES"/>
        </w:rPr>
        <w:t xml:space="preserve">, así como amenazas de seguridad de nivel detallado que afectan a dicha cadena, incluyendo tanto </w:t>
      </w:r>
      <w:r w:rsidRPr="00EB609D">
        <w:rPr>
          <w:i/>
          <w:iCs/>
          <w:lang w:val="es-ES"/>
        </w:rPr>
        <w:t>software</w:t>
      </w:r>
      <w:r w:rsidRPr="00EB609D">
        <w:rPr>
          <w:lang w:val="es-ES"/>
        </w:rPr>
        <w:t xml:space="preserve"> de código abierto (OSS) como </w:t>
      </w:r>
      <w:r w:rsidRPr="00EB609D">
        <w:rPr>
          <w:i/>
          <w:iCs/>
          <w:lang w:val="es-ES"/>
        </w:rPr>
        <w:t>software</w:t>
      </w:r>
      <w:r w:rsidRPr="00EB609D">
        <w:rPr>
          <w:lang w:val="es-ES"/>
        </w:rPr>
        <w:t xml:space="preserve"> de código cerrado. Asimismo, establece principios fundamentales, proporciona ejemplos de ataques a la cadena de suministro, identifica a las partes interesadas involucradas en el desarrollo, la construcción y la distribución del </w:t>
      </w:r>
      <w:r w:rsidRPr="00EB609D">
        <w:rPr>
          <w:i/>
          <w:iCs/>
          <w:lang w:val="es-ES"/>
        </w:rPr>
        <w:t>software</w:t>
      </w:r>
      <w:r w:rsidRPr="00EB609D">
        <w:rPr>
          <w:lang w:val="es-ES"/>
        </w:rPr>
        <w:t xml:space="preserve">, y define una taxonomía de amenazas de seguridad a lo largo de los procesos del ciclo de vida del </w:t>
      </w:r>
      <w:r w:rsidRPr="00EB609D">
        <w:rPr>
          <w:i/>
          <w:iCs/>
          <w:lang w:val="es-ES"/>
        </w:rPr>
        <w:t>software</w:t>
      </w:r>
      <w:r w:rsidRPr="00EB609D">
        <w:rPr>
          <w:lang w:val="es-ES"/>
        </w:rPr>
        <w:t>.</w:t>
      </w:r>
    </w:p>
    <w:p w14:paraId="63583849" w14:textId="77777777" w:rsidR="000E6971" w:rsidRPr="00E47C30" w:rsidRDefault="000E6971" w:rsidP="000E6971">
      <w:pPr>
        <w:rPr>
          <w:b/>
          <w:lang w:val="es-ES"/>
        </w:rPr>
      </w:pPr>
      <w:r w:rsidRPr="00EB609D">
        <w:rPr>
          <w:lang w:val="es-ES"/>
        </w:rPr>
        <w:lastRenderedPageBreak/>
        <w:t>Adicionalmente, asigna un índice a las amenazas de seguridad según su categoría, de modo que cada amenaza pueda ser referenciada de forma consistente desde otras secciones de esta Recomendación y desde otras Recomendaciones conexas</w:t>
      </w:r>
      <w:r w:rsidRPr="00E47C30">
        <w:rPr>
          <w:lang w:val="es-ES"/>
        </w:rPr>
        <w:t>.</w:t>
      </w:r>
    </w:p>
    <w:p w14:paraId="4A743C5C" w14:textId="77777777" w:rsidR="000E6971" w:rsidRPr="00246BB6" w:rsidRDefault="000E6971" w:rsidP="000E6971">
      <w:pPr>
        <w:pStyle w:val="Heading1"/>
        <w:rPr>
          <w:lang w:val="es-ES"/>
        </w:rPr>
      </w:pPr>
      <w:bookmarkStart w:id="12" w:name="_Hlk221695902"/>
      <w:r w:rsidRPr="00246BB6">
        <w:rPr>
          <w:lang w:val="es-ES"/>
        </w:rPr>
        <w:t>6</w:t>
      </w:r>
      <w:r w:rsidRPr="00246BB6">
        <w:rPr>
          <w:lang w:val="es-ES"/>
        </w:rPr>
        <w:tab/>
        <w:t>Proyecto de Recomendación UIT-T X.2210 (ex X.ig-dw) (</w:t>
      </w:r>
      <w:hyperlink r:id="rId19" w:history="1">
        <w:r w:rsidRPr="00246BB6">
          <w:rPr>
            <w:rStyle w:val="Hyperlink"/>
            <w:lang w:val="es-ES"/>
          </w:rPr>
          <w:t>SG17-R30</w:t>
        </w:r>
      </w:hyperlink>
      <w:r w:rsidRPr="00246BB6">
        <w:rPr>
          <w:lang w:val="es-ES"/>
        </w:rPr>
        <w:t>)</w:t>
      </w:r>
    </w:p>
    <w:p w14:paraId="683C6837" w14:textId="77777777" w:rsidR="000E6971" w:rsidRPr="00E47C30" w:rsidRDefault="000E6971" w:rsidP="000E6971">
      <w:pPr>
        <w:rPr>
          <w:lang w:val="es-ES"/>
        </w:rPr>
      </w:pPr>
      <w:r w:rsidRPr="00E47C30">
        <w:rPr>
          <w:lang w:val="es-ES"/>
        </w:rPr>
        <w:t>Directrices de implementación de filigranas digi</w:t>
      </w:r>
      <w:r>
        <w:rPr>
          <w:lang w:val="es-ES"/>
        </w:rPr>
        <w:t>tales</w:t>
      </w:r>
    </w:p>
    <w:bookmarkEnd w:id="12"/>
    <w:p w14:paraId="7076FB2A" w14:textId="77777777" w:rsidR="000E6971" w:rsidRPr="00E47C30" w:rsidRDefault="000E6971" w:rsidP="005F68A0">
      <w:pPr>
        <w:pStyle w:val="headingb"/>
        <w:rPr>
          <w:lang w:val="es-ES"/>
        </w:rPr>
      </w:pPr>
      <w:r w:rsidRPr="00E47C30">
        <w:rPr>
          <w:lang w:val="es-ES"/>
        </w:rPr>
        <w:t>Resumen</w:t>
      </w:r>
    </w:p>
    <w:p w14:paraId="1F8E7DC2" w14:textId="77777777" w:rsidR="000E6971" w:rsidRPr="005F68A0" w:rsidRDefault="000E6971" w:rsidP="005F68A0">
      <w:pPr>
        <w:pStyle w:val="NormalWeb"/>
        <w:rPr>
          <w:rFonts w:asciiTheme="minorHAnsi" w:hAnsiTheme="minorHAnsi" w:cstheme="minorHAnsi"/>
          <w:lang w:val="es-ES" w:eastAsia="zh-CN"/>
        </w:rPr>
      </w:pPr>
      <w:r w:rsidRPr="005F68A0">
        <w:rPr>
          <w:rFonts w:asciiTheme="minorHAnsi" w:hAnsiTheme="minorHAnsi" w:cstheme="minorHAnsi"/>
          <w:lang w:val="es-ES" w:eastAsia="zh-CN"/>
        </w:rPr>
        <w:t>La rápida evolución de la economía digital hace que la tecnología de filigranas digitales surja como un ámbito esencial, que responde a las crecientes inquietudes que rodean al pirateo de contenidos digitales, la verificación de la autenticidad y la gestión fiable de los activos de datos. Esta tecnología, en particular en su forma invisible, sirve para proteger los derechos de autor digitales y demostrar la autenticidad de diversos medios digitales, entre ellos, imágenes, vídeos, audios, documentos, páginas web, bases de datos y el nuevo contenido generado por inteligencia artificial. Sin embargo, también afronta serios retos. La prevalencia de nuevas formas de ataques e interferencias, como son las sofisticadas herramientas de edición de imagen y vídeo, las grandes plataformas de distribución de contenido y las fugas de información no autorizadas, hacen que cada vez sea más difícil extraer las filigranas y proteger su integridad. Además, la aparición de contenidos digitales novedosos, como los generados por inteligencia artificial (IA) y los servicios interactivos en tiempo real, generan nuevas demandas para las aplicaciones, que necesitan del avance de las técnicas de filigrana para responder a los requisitos de gran capacidad y tiempo real, garantizando al mismo tiempo la seguridad y la fiabilidad.</w:t>
      </w:r>
    </w:p>
    <w:p w14:paraId="387B4CED" w14:textId="77777777" w:rsidR="000E6971" w:rsidRPr="005F68A0" w:rsidRDefault="000E6971" w:rsidP="005F68A0">
      <w:pPr>
        <w:pStyle w:val="NormalWeb"/>
        <w:rPr>
          <w:rFonts w:asciiTheme="minorHAnsi" w:eastAsia="Times New Roman" w:hAnsiTheme="minorHAnsi"/>
          <w:szCs w:val="20"/>
          <w:lang w:val="es-ES" w:eastAsia="zh-CN"/>
        </w:rPr>
      </w:pPr>
      <w:r w:rsidRPr="005F68A0">
        <w:rPr>
          <w:rFonts w:asciiTheme="minorHAnsi" w:eastAsia="Times New Roman" w:hAnsiTheme="minorHAnsi"/>
          <w:szCs w:val="20"/>
          <w:lang w:val="es-ES" w:eastAsia="zh-CN"/>
        </w:rPr>
        <w:t>En reconocimiento de esos retos, así como de la necesidad de un enfoque de implementación unificado entre distintos tipos de portadores de filigranas, el objetivo de esta Recomendación es orientar a las organizaciones en el despliegue efectivo de la tecnología de filigranas digitales centrándose en mejorar su capacidad de uso y su fiabilidad.</w:t>
      </w:r>
    </w:p>
    <w:p w14:paraId="6D42E494" w14:textId="77777777" w:rsidR="000E6971" w:rsidRPr="00E47C30" w:rsidRDefault="000E6971" w:rsidP="000E6971">
      <w:pPr>
        <w:rPr>
          <w:lang w:val="es-ES"/>
        </w:rPr>
      </w:pPr>
      <w:r w:rsidRPr="004476B2">
        <w:rPr>
          <w:lang w:val="es-ES" w:eastAsia="zh-CN"/>
        </w:rPr>
        <w:t>Las hipótesis de aplicación típicas consideradas en esta Recomendación incluyen el rastreo de</w:t>
      </w:r>
      <w:r>
        <w:rPr>
          <w:lang w:val="es-ES" w:eastAsia="zh-CN"/>
        </w:rPr>
        <w:t xml:space="preserve"> fugas de datos, la protección de la integridad de los datos en servicios como la difusión de vídeo en directo y la distribución de contenido a gran escala. </w:t>
      </w:r>
      <w:r w:rsidRPr="004476B2">
        <w:rPr>
          <w:lang w:val="es-ES" w:eastAsia="zh-CN"/>
        </w:rPr>
        <w:t xml:space="preserve">Al formular las directrices mediante la definición de objetivos de implementación, la selección de </w:t>
      </w:r>
      <w:r>
        <w:rPr>
          <w:lang w:val="es-ES" w:eastAsia="zh-CN"/>
        </w:rPr>
        <w:t>algoritmos de filigrana con una metodología detallada y la encapsulación de los servicios de filigrana, esta Recomendación ofrece un marco práctico y completo para la implementación de las filigranas digitales, respondiendo a las necesidades presentes y futuras de salvaguardia del contenido digital y dando soporte a servicios digitales fiables en el panorama digital actual</w:t>
      </w:r>
      <w:r w:rsidRPr="00E47C30">
        <w:rPr>
          <w:lang w:val="es-ES"/>
        </w:rPr>
        <w:t>.</w:t>
      </w:r>
    </w:p>
    <w:p w14:paraId="3A4802B8" w14:textId="77777777" w:rsidR="000E6971" w:rsidRPr="00246BB6" w:rsidRDefault="000E6971" w:rsidP="000E6971">
      <w:pPr>
        <w:pStyle w:val="Heading1"/>
        <w:rPr>
          <w:lang w:val="es-ES"/>
        </w:rPr>
      </w:pPr>
      <w:bookmarkStart w:id="13" w:name="_Hlk221695940"/>
      <w:r w:rsidRPr="00246BB6">
        <w:rPr>
          <w:lang w:val="es-ES"/>
        </w:rPr>
        <w:t>7</w:t>
      </w:r>
      <w:r w:rsidRPr="00246BB6">
        <w:rPr>
          <w:lang w:val="es-ES"/>
        </w:rPr>
        <w:tab/>
      </w:r>
      <w:bookmarkStart w:id="14" w:name="_Hlk221695933"/>
      <w:r w:rsidRPr="00246BB6">
        <w:rPr>
          <w:lang w:val="es-ES"/>
        </w:rPr>
        <w:t>Proyecto de Recomendación UIT-T X.1910 (ex X.tc-ifd) (</w:t>
      </w:r>
      <w:hyperlink r:id="rId20" w:history="1">
        <w:r w:rsidRPr="00246BB6">
          <w:rPr>
            <w:rStyle w:val="Hyperlink"/>
            <w:lang w:val="es-ES"/>
          </w:rPr>
          <w:t>SG17-R31</w:t>
        </w:r>
      </w:hyperlink>
      <w:r w:rsidRPr="00246BB6">
        <w:rPr>
          <w:lang w:val="es-ES"/>
        </w:rPr>
        <w:t>)</w:t>
      </w:r>
    </w:p>
    <w:p w14:paraId="779D178B" w14:textId="77777777" w:rsidR="000E6971" w:rsidRPr="00E47C30" w:rsidRDefault="000E6971" w:rsidP="000E6971">
      <w:pPr>
        <w:rPr>
          <w:lang w:val="es-ES"/>
        </w:rPr>
      </w:pPr>
      <w:r w:rsidRPr="00E47C30">
        <w:rPr>
          <w:lang w:val="es-ES"/>
        </w:rPr>
        <w:t>Capacidades técnicas de detección interactiva de ries</w:t>
      </w:r>
      <w:r>
        <w:rPr>
          <w:lang w:val="es-ES"/>
        </w:rPr>
        <w:t>gos de engaño</w:t>
      </w:r>
    </w:p>
    <w:bookmarkEnd w:id="13"/>
    <w:bookmarkEnd w:id="14"/>
    <w:p w14:paraId="609D335E" w14:textId="77777777" w:rsidR="000E6971" w:rsidRPr="00A34B48" w:rsidRDefault="000E6971" w:rsidP="005F68A0">
      <w:pPr>
        <w:pStyle w:val="headingb"/>
        <w:rPr>
          <w:lang w:val="es-ES"/>
        </w:rPr>
      </w:pPr>
      <w:r w:rsidRPr="00A34B48">
        <w:rPr>
          <w:lang w:val="es-ES"/>
        </w:rPr>
        <w:t>Resumen</w:t>
      </w:r>
    </w:p>
    <w:p w14:paraId="09C8915E" w14:textId="2409A4BF" w:rsidR="000E6971" w:rsidRPr="00FC4B20" w:rsidRDefault="000E6971" w:rsidP="000E6971">
      <w:pPr>
        <w:rPr>
          <w:lang w:val="es-ES" w:eastAsia="zh-CN"/>
        </w:rPr>
      </w:pPr>
      <w:r w:rsidRPr="00FA63E1">
        <w:rPr>
          <w:lang w:val="es-ES" w:eastAsia="zh-Hans"/>
        </w:rPr>
        <w:t xml:space="preserve">La detección de </w:t>
      </w:r>
      <w:r>
        <w:rPr>
          <w:lang w:val="es-ES" w:eastAsia="zh-Hans"/>
        </w:rPr>
        <w:t>riesgos de engaño</w:t>
      </w:r>
      <w:r w:rsidRPr="00FA63E1">
        <w:rPr>
          <w:lang w:val="es-ES" w:eastAsia="zh-Hans"/>
        </w:rPr>
        <w:t xml:space="preserve"> es una capacidad capital para algunos sistemas de TIC, incluidos los sistemas de pago, los sistemas de arrendamiento y los </w:t>
      </w:r>
      <w:r>
        <w:rPr>
          <w:lang w:val="es-ES" w:eastAsia="zh-Hans"/>
        </w:rPr>
        <w:t xml:space="preserve">de concesión de créditos, entre otros. </w:t>
      </w:r>
      <w:r w:rsidRPr="00FA63E1">
        <w:rPr>
          <w:lang w:val="es-ES" w:eastAsia="zh-Hans"/>
        </w:rPr>
        <w:t xml:space="preserve">Los mecanismos de detección de </w:t>
      </w:r>
      <w:r>
        <w:rPr>
          <w:lang w:val="es-ES" w:eastAsia="zh-Hans"/>
        </w:rPr>
        <w:t>riesgos de engaño</w:t>
      </w:r>
      <w:r w:rsidRPr="00FA63E1">
        <w:rPr>
          <w:lang w:val="es-ES" w:eastAsia="zh-Hans"/>
        </w:rPr>
        <w:t xml:space="preserve"> de esos sistemas tradicionalmente se</w:t>
      </w:r>
      <w:r>
        <w:rPr>
          <w:lang w:val="es-ES" w:eastAsia="zh-Hans"/>
        </w:rPr>
        <w:t xml:space="preserve"> basan en la obtención de información de servicio y la correspondencia de normas/patrones</w:t>
      </w:r>
      <w:r w:rsidRPr="00FA63E1">
        <w:rPr>
          <w:lang w:val="es-ES" w:eastAsia="zh-CN"/>
        </w:rPr>
        <w:t>, etc. La evolución de las tecnologías de macrodatos e IA ha hecho que cada vez se</w:t>
      </w:r>
      <w:r>
        <w:rPr>
          <w:lang w:val="es-ES" w:eastAsia="zh-CN"/>
        </w:rPr>
        <w:t xml:space="preserve">a más común contar con un sistema de soporte con toma automática de decisiones para detectar los riesgos de engaño. </w:t>
      </w:r>
      <w:r w:rsidRPr="00FA63E1">
        <w:rPr>
          <w:lang w:val="es-ES" w:eastAsia="zh-CN"/>
        </w:rPr>
        <w:t xml:space="preserve">Sin embargo, dejar las decisiones de identificación de </w:t>
      </w:r>
      <w:r>
        <w:rPr>
          <w:lang w:val="es-ES" w:eastAsia="zh-CN"/>
        </w:rPr>
        <w:t>riesgos de engaño</w:t>
      </w:r>
      <w:r w:rsidRPr="00FA63E1">
        <w:rPr>
          <w:lang w:val="es-ES" w:eastAsia="zh-CN"/>
        </w:rPr>
        <w:t xml:space="preserve"> exclusivamente en ma</w:t>
      </w:r>
      <w:r>
        <w:rPr>
          <w:lang w:val="es-ES" w:eastAsia="zh-CN"/>
        </w:rPr>
        <w:t xml:space="preserve">nos de </w:t>
      </w:r>
      <w:r>
        <w:rPr>
          <w:lang w:val="es-ES" w:eastAsia="zh-CN"/>
        </w:rPr>
        <w:lastRenderedPageBreak/>
        <w:t xml:space="preserve">sistemas de soporte plantea problemas como la dependencia de los datos adecuados, el equilibrio entre precisión y tasa de recuperación y una interacción con el usuario positiva cuando el servicio se aborta por detección de riesgos de engaño y la correspondiente respuesta. </w:t>
      </w:r>
      <w:r w:rsidRPr="00FA63E1">
        <w:rPr>
          <w:lang w:val="es-ES" w:eastAsia="zh-CN"/>
        </w:rPr>
        <w:t xml:space="preserve">La detección interactiva de </w:t>
      </w:r>
      <w:r>
        <w:rPr>
          <w:lang w:val="es-ES" w:eastAsia="zh-CN"/>
        </w:rPr>
        <w:t>riesgos de engaño</w:t>
      </w:r>
      <w:r w:rsidRPr="00FA63E1">
        <w:rPr>
          <w:lang w:val="es-ES" w:eastAsia="zh-CN"/>
        </w:rPr>
        <w:t>, es decir, durante el lanzamiento y la ej</w:t>
      </w:r>
      <w:r>
        <w:rPr>
          <w:lang w:val="es-ES" w:eastAsia="zh-CN"/>
        </w:rPr>
        <w:t xml:space="preserve">ecución del servicio, invita a los usuarios a una conversación con los sistemas de servicio de TIC, solicitándoles información </w:t>
      </w:r>
      <w:r w:rsidRPr="00FC4B20">
        <w:rPr>
          <w:lang w:val="es-ES" w:eastAsia="zh-CN"/>
        </w:rPr>
        <w:t>para identificar y reducir los riesgos de engaño y ofrece los siguientes beneficios:</w:t>
      </w:r>
    </w:p>
    <w:p w14:paraId="6E7D6C0F" w14:textId="77777777" w:rsidR="000E6971" w:rsidRPr="000818C4" w:rsidRDefault="000E6971" w:rsidP="000E6971">
      <w:pPr>
        <w:rPr>
          <w:lang w:val="es-ES" w:eastAsia="zh-CN"/>
        </w:rPr>
      </w:pPr>
      <w:r w:rsidRPr="00FC4B20">
        <w:rPr>
          <w:lang w:val="es-ES" w:eastAsia="zh-CN"/>
        </w:rPr>
        <w:t>En primer lugar, la detección interactiva de riesgos de engaño contribuirá a reunir la información necesaria durante el proceso de servicio para reforzar la detección y las decisiones del análisis de riesgos</w:t>
      </w:r>
      <w:r>
        <w:rPr>
          <w:lang w:val="es-ES" w:eastAsia="zh-CN"/>
        </w:rPr>
        <w:t xml:space="preserve"> de engaño, lo que puede mejorar la precisión y reducir la tasa de recuperación</w:t>
      </w:r>
      <w:r w:rsidRPr="000818C4">
        <w:rPr>
          <w:lang w:val="es-ES" w:eastAsia="zh-CN"/>
        </w:rPr>
        <w:t>.</w:t>
      </w:r>
    </w:p>
    <w:p w14:paraId="5CA75C08" w14:textId="77777777" w:rsidR="000E6971" w:rsidRPr="000818C4" w:rsidRDefault="000E6971" w:rsidP="000E6971">
      <w:pPr>
        <w:rPr>
          <w:lang w:val="es-ES" w:eastAsia="zh-CN"/>
        </w:rPr>
      </w:pPr>
      <w:r w:rsidRPr="000818C4">
        <w:rPr>
          <w:lang w:val="es-ES" w:eastAsia="zh-CN"/>
        </w:rPr>
        <w:t xml:space="preserve">En segundo lugar, cuando se sospeche la existencia de un riesgo de fraude, la interacción con el usuario contribuirá a que el usuario entienda lo </w:t>
      </w:r>
      <w:r>
        <w:rPr>
          <w:lang w:val="es-ES" w:eastAsia="zh-CN"/>
        </w:rPr>
        <w:t>que ha ocurrido y eventualmente sea más consciente de los riesgos de engaño en transacciones posteriores</w:t>
      </w:r>
      <w:r w:rsidRPr="000818C4">
        <w:rPr>
          <w:lang w:val="es-ES" w:eastAsia="zh-CN"/>
        </w:rPr>
        <w:t>.</w:t>
      </w:r>
    </w:p>
    <w:p w14:paraId="1B827DFE" w14:textId="2102031D" w:rsidR="000E6971" w:rsidRPr="000818C4" w:rsidRDefault="000E6971" w:rsidP="000E697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rPr>
          <w:lang w:val="es-ES"/>
        </w:rPr>
      </w:pPr>
      <w:r w:rsidRPr="000818C4">
        <w:rPr>
          <w:lang w:val="es-ES" w:eastAsia="zh-CN"/>
        </w:rPr>
        <w:t xml:space="preserve">Habida cuenta de esos factores, en este documento se presentan las capacidades técnicas de la detección interactiva de </w:t>
      </w:r>
      <w:r>
        <w:rPr>
          <w:lang w:val="es-ES" w:eastAsia="zh-CN"/>
        </w:rPr>
        <w:t>riesgos de engaño</w:t>
      </w:r>
      <w:r w:rsidRPr="000818C4">
        <w:rPr>
          <w:lang w:val="es-ES" w:eastAsia="zh-CN"/>
        </w:rPr>
        <w:t xml:space="preserve">, gracias a las cuales el sistema de </w:t>
      </w:r>
      <w:r>
        <w:rPr>
          <w:lang w:val="es-ES" w:eastAsia="zh-CN"/>
        </w:rPr>
        <w:t xml:space="preserve">detección de riesgos de engaño cooperará con un motor interactivo a fin de poder identificar mejor los riesgos de engaño cuando no se dispone de información suficiente para determinar el nivel de riesgo. </w:t>
      </w:r>
      <w:r w:rsidRPr="000818C4">
        <w:rPr>
          <w:lang w:val="es-ES" w:eastAsia="zh-CN"/>
        </w:rPr>
        <w:t xml:space="preserve">De acuerdo con las normas, </w:t>
      </w:r>
      <w:r>
        <w:rPr>
          <w:lang w:val="es-ES" w:eastAsia="zh-CN"/>
        </w:rPr>
        <w:t>corpus</w:t>
      </w:r>
      <w:r w:rsidRPr="000818C4">
        <w:rPr>
          <w:lang w:val="es-ES" w:eastAsia="zh-CN"/>
        </w:rPr>
        <w:t xml:space="preserve"> y situaciones, el motor interactivo se pondrá en contacto con el usuario por teléfono, SMS, interacción en línea o por otros medios a fin de recabar más </w:t>
      </w:r>
      <w:r>
        <w:rPr>
          <w:lang w:val="es-ES" w:eastAsia="zh-CN"/>
        </w:rPr>
        <w:t>información para el sistema de detección de riesgos de engaño y reducir el nivel de riesgo</w:t>
      </w:r>
      <w:r w:rsidRPr="000818C4">
        <w:rPr>
          <w:lang w:val="es-ES" w:eastAsia="zh-CN"/>
        </w:rPr>
        <w:t>.</w:t>
      </w:r>
    </w:p>
    <w:p w14:paraId="78284001" w14:textId="77777777" w:rsidR="000E6971" w:rsidRPr="00E47C30" w:rsidRDefault="000E6971" w:rsidP="000E6971">
      <w:pPr>
        <w:rPr>
          <w:lang w:val="es-ES"/>
        </w:rPr>
      </w:pPr>
      <w:r w:rsidRPr="000818C4">
        <w:rPr>
          <w:lang w:val="es-ES"/>
        </w:rPr>
        <w:t xml:space="preserve">En esta Recomendación se especifican las capacidades técnicas de la detección interactiva de </w:t>
      </w:r>
      <w:r>
        <w:rPr>
          <w:lang w:val="es-ES"/>
        </w:rPr>
        <w:t>riesgos de engaño</w:t>
      </w:r>
      <w:r w:rsidRPr="000818C4">
        <w:rPr>
          <w:lang w:val="es-ES"/>
        </w:rPr>
        <w:t xml:space="preserve">, incluidas </w:t>
      </w:r>
      <w:r>
        <w:rPr>
          <w:lang w:val="es-ES"/>
        </w:rPr>
        <w:t>la identificación de capacidades, los componentes funcionales para el soporte de las capacidades identificadas y los procedimientos subyacentes a la interacción entre distintos componentes funcionales</w:t>
      </w:r>
      <w:r w:rsidRPr="00E47C30">
        <w:rPr>
          <w:lang w:val="es-ES"/>
        </w:rPr>
        <w:t>.</w:t>
      </w:r>
    </w:p>
    <w:p w14:paraId="2E59BD9A" w14:textId="653E2D33" w:rsidR="000E6971" w:rsidRPr="00246BB6" w:rsidRDefault="000E6971" w:rsidP="000E6971">
      <w:pPr>
        <w:pStyle w:val="Heading1"/>
        <w:rPr>
          <w:lang w:val="es-ES"/>
        </w:rPr>
      </w:pPr>
      <w:bookmarkStart w:id="15" w:name="_Hlk221695965"/>
      <w:r w:rsidRPr="00246BB6">
        <w:rPr>
          <w:lang w:val="es-ES"/>
        </w:rPr>
        <w:t>8</w:t>
      </w:r>
      <w:r w:rsidRPr="00246BB6">
        <w:rPr>
          <w:lang w:val="es-ES"/>
        </w:rPr>
        <w:tab/>
        <w:t>Proyecto de Recomendación UIT-T X.1651 (ex X.soar-cc) (</w:t>
      </w:r>
      <w:hyperlink r:id="rId21" w:history="1">
        <w:r w:rsidRPr="00246BB6">
          <w:rPr>
            <w:rStyle w:val="Hyperlink"/>
            <w:lang w:val="es-ES"/>
          </w:rPr>
          <w:t>SG17-R32</w:t>
        </w:r>
      </w:hyperlink>
      <w:r w:rsidRPr="00246BB6">
        <w:rPr>
          <w:lang w:val="es-ES"/>
        </w:rPr>
        <w:t>)</w:t>
      </w:r>
    </w:p>
    <w:p w14:paraId="43CB7F55" w14:textId="77777777" w:rsidR="000E6971" w:rsidRPr="00E47C30" w:rsidRDefault="000E6971" w:rsidP="000E6971">
      <w:pPr>
        <w:rPr>
          <w:lang w:val="es-ES"/>
        </w:rPr>
      </w:pPr>
      <w:r w:rsidRPr="00E47C30">
        <w:rPr>
          <w:lang w:val="es-ES"/>
        </w:rPr>
        <w:t xml:space="preserve">Marco de orquestación, automatización y respuesta en materia de </w:t>
      </w:r>
      <w:r>
        <w:rPr>
          <w:lang w:val="es-ES"/>
        </w:rPr>
        <w:t>seguridad para la computación en la nube</w:t>
      </w:r>
    </w:p>
    <w:bookmarkEnd w:id="15"/>
    <w:p w14:paraId="70E0B72B" w14:textId="77777777" w:rsidR="000E6971" w:rsidRPr="00246BB6" w:rsidRDefault="000E6971" w:rsidP="005C50BD">
      <w:pPr>
        <w:pStyle w:val="headingb"/>
        <w:rPr>
          <w:lang w:val="es-ES"/>
        </w:rPr>
      </w:pPr>
      <w:r w:rsidRPr="00246BB6">
        <w:rPr>
          <w:lang w:val="es-ES"/>
        </w:rPr>
        <w:t>Resumen</w:t>
      </w:r>
    </w:p>
    <w:p w14:paraId="77DFDDE9" w14:textId="77777777" w:rsidR="000E6971" w:rsidRPr="00B918DE" w:rsidRDefault="000E6971" w:rsidP="000E6971">
      <w:pPr>
        <w:rPr>
          <w:lang w:val="es-ES"/>
        </w:rPr>
      </w:pPr>
      <w:r w:rsidRPr="00B918DE">
        <w:rPr>
          <w:lang w:val="es-ES" w:eastAsia="zh-CN"/>
        </w:rPr>
        <w:t>En la actualidad, a medida que las estrategias de seguridad de red continúan evolucionando, la arquitectura de seguridad para los proveedores de servicios en la nube (CSP) o los clientes de servicios en la nube (CSC) ha pasado de una combinación simple de prevención y recuperación a una nueva etapa que integra detección, prevención y respuesta. Las empresas y organizaciones líderes han otorgado mayor importancia a la automatización y respuesta de orquestación de seguridad (SOAR)</w:t>
      </w:r>
      <w:r w:rsidRPr="00B918DE">
        <w:rPr>
          <w:lang w:val="es-ES"/>
        </w:rPr>
        <w:t>. SOAR se considera una tecnología clave para mejorar la elasticidad de la red y la eficacia de las operaciones de</w:t>
      </w:r>
      <w:r>
        <w:rPr>
          <w:lang w:val="es-ES"/>
        </w:rPr>
        <w:t xml:space="preserve"> seguridad para la computación en la nube, que pueden definirse de la siguiente manera</w:t>
      </w:r>
      <w:r w:rsidRPr="00B918DE">
        <w:rPr>
          <w:lang w:val="es-ES"/>
        </w:rPr>
        <w:t>:</w:t>
      </w:r>
    </w:p>
    <w:p w14:paraId="5E2DF560" w14:textId="4F90E5EC" w:rsidR="000E6971" w:rsidRPr="00B918DE" w:rsidRDefault="005C50BD" w:rsidP="005C50BD">
      <w:pPr>
        <w:pStyle w:val="enumlev1"/>
        <w:rPr>
          <w:lang w:val="es-ES"/>
        </w:rPr>
      </w:pPr>
      <w:r>
        <w:rPr>
          <w:lang w:val="es-ES" w:eastAsia="zh-CN"/>
        </w:rPr>
        <w:t>1)</w:t>
      </w:r>
      <w:r>
        <w:rPr>
          <w:lang w:val="es-ES" w:eastAsia="zh-CN"/>
        </w:rPr>
        <w:tab/>
      </w:r>
      <w:r w:rsidR="000E6971" w:rsidRPr="00B918DE">
        <w:rPr>
          <w:lang w:val="es-ES" w:eastAsia="zh-CN"/>
        </w:rPr>
        <w:t>Mediante el aprovechamiento de la inteligencia artificial (IA), es posible establecer en la nube una funcionalidad de operaciones de seguridad que incluya análisis de amenazas y respuesta automática, lo que podría mejorar significativamente la eficiencia de las operaciones de seguridad</w:t>
      </w:r>
      <w:r w:rsidR="000E6971" w:rsidRPr="00B918DE">
        <w:rPr>
          <w:lang w:val="es-ES"/>
        </w:rPr>
        <w:t>.</w:t>
      </w:r>
    </w:p>
    <w:p w14:paraId="242B3B3E" w14:textId="4A5D1824" w:rsidR="000E6971" w:rsidRPr="00B918DE" w:rsidRDefault="005C50BD" w:rsidP="005C50BD">
      <w:pPr>
        <w:pStyle w:val="enumlev1"/>
        <w:rPr>
          <w:lang w:val="es-ES"/>
        </w:rPr>
      </w:pPr>
      <w:r>
        <w:rPr>
          <w:rFonts w:eastAsia="MS Mincho"/>
          <w:lang w:val="es-ES"/>
        </w:rPr>
        <w:t>2)</w:t>
      </w:r>
      <w:r>
        <w:rPr>
          <w:rFonts w:eastAsia="MS Mincho"/>
          <w:lang w:val="es-ES"/>
        </w:rPr>
        <w:tab/>
      </w:r>
      <w:r w:rsidR="000E6971" w:rsidRPr="00B918DE">
        <w:rPr>
          <w:rFonts w:eastAsia="MS Mincho"/>
          <w:lang w:val="es-ES"/>
        </w:rPr>
        <w:t>En el contexto de la computación en la nube, SOAR presenta de manera inherente una ventaja en términos de costos.</w:t>
      </w:r>
    </w:p>
    <w:p w14:paraId="298C8B6C" w14:textId="7074096C" w:rsidR="000E6971" w:rsidRPr="00B918DE" w:rsidRDefault="005C50BD" w:rsidP="005C50BD">
      <w:pPr>
        <w:pStyle w:val="enumlev1"/>
        <w:rPr>
          <w:lang w:val="es-ES"/>
        </w:rPr>
      </w:pPr>
      <w:r>
        <w:rPr>
          <w:lang w:val="es-ES" w:eastAsia="zh-CN"/>
        </w:rPr>
        <w:t>3)</w:t>
      </w:r>
      <w:r>
        <w:rPr>
          <w:lang w:val="es-ES" w:eastAsia="zh-CN"/>
        </w:rPr>
        <w:tab/>
      </w:r>
      <w:r w:rsidR="000E6971" w:rsidRPr="00B918DE">
        <w:rPr>
          <w:lang w:val="es-ES" w:eastAsia="zh-CN"/>
        </w:rPr>
        <w:t>Con el desarrollo de las tecnologías nativas de la nube, han surgido nuevos enfoques para la implementación de la respuesta a incidentes en entornos de computación en la nube</w:t>
      </w:r>
      <w:r w:rsidR="000E6971" w:rsidRPr="00B918DE">
        <w:rPr>
          <w:rFonts w:eastAsia="MS Mincho"/>
          <w:lang w:val="es-ES"/>
        </w:rPr>
        <w:t>.</w:t>
      </w:r>
    </w:p>
    <w:p w14:paraId="0FCD762B" w14:textId="77777777" w:rsidR="000E6971" w:rsidRPr="00B918DE" w:rsidRDefault="000E6971" w:rsidP="000E6971">
      <w:pPr>
        <w:rPr>
          <w:lang w:val="es-ES"/>
        </w:rPr>
      </w:pPr>
      <w:r w:rsidRPr="00B918DE">
        <w:rPr>
          <w:lang w:val="es-ES"/>
        </w:rPr>
        <w:lastRenderedPageBreak/>
        <w:t>La presente Recomendación describe una visión general de SOAR para la computación en la nube, incluyendo su definición y el contexto emergente en el que se desarrolla, y analiza las ventajas de SOAR para hacer frente a las amenazas de seguridad en la computación en la nube, en particular en lo relativo a la respuesta a incidentes. Asimismo, proporciona un marco de referencia de SOAR para la computación en la nube con el fin de mejorar la eficiencia de las operaciones de seguridad tanto para los CSP como para los CSC.</w:t>
      </w:r>
    </w:p>
    <w:p w14:paraId="583B117B" w14:textId="77777777" w:rsidR="000E6971" w:rsidRPr="00246BB6" w:rsidRDefault="000E6971" w:rsidP="000E6971">
      <w:pPr>
        <w:pStyle w:val="Heading1"/>
        <w:rPr>
          <w:lang w:val="es-ES"/>
        </w:rPr>
      </w:pPr>
      <w:bookmarkStart w:id="16" w:name="_Hlk221695996"/>
      <w:r w:rsidRPr="00246BB6">
        <w:rPr>
          <w:lang w:val="es-ES"/>
        </w:rPr>
        <w:t>9</w:t>
      </w:r>
      <w:r w:rsidRPr="00246BB6">
        <w:rPr>
          <w:lang w:val="es-ES"/>
        </w:rPr>
        <w:tab/>
        <w:t xml:space="preserve">Proyecto de Recomendación UIT-T </w:t>
      </w:r>
      <w:bookmarkStart w:id="17" w:name="_Hlk221638693"/>
      <w:r w:rsidRPr="00246BB6">
        <w:rPr>
          <w:lang w:val="es-ES"/>
        </w:rPr>
        <w:t>X.1607 (ex X.asm-cc)</w:t>
      </w:r>
      <w:bookmarkEnd w:id="17"/>
      <w:r w:rsidRPr="00246BB6">
        <w:rPr>
          <w:lang w:val="es-ES"/>
        </w:rPr>
        <w:t xml:space="preserve"> (</w:t>
      </w:r>
      <w:hyperlink r:id="rId22" w:history="1">
        <w:r w:rsidRPr="00246BB6">
          <w:rPr>
            <w:rStyle w:val="Hyperlink"/>
            <w:lang w:val="es-ES"/>
          </w:rPr>
          <w:t>SG17-R33</w:t>
        </w:r>
      </w:hyperlink>
      <w:r w:rsidRPr="00246BB6">
        <w:rPr>
          <w:lang w:val="es-ES"/>
        </w:rPr>
        <w:t>)</w:t>
      </w:r>
    </w:p>
    <w:p w14:paraId="6D1A8EEC" w14:textId="77777777" w:rsidR="000E6971" w:rsidRPr="00E47C30" w:rsidRDefault="000E6971" w:rsidP="000E6971">
      <w:pPr>
        <w:rPr>
          <w:lang w:val="es-ES"/>
        </w:rPr>
      </w:pPr>
      <w:r w:rsidRPr="00E47C30">
        <w:rPr>
          <w:lang w:val="es-ES"/>
        </w:rPr>
        <w:t>Requisitos de gestión de la superficie de ataque pa</w:t>
      </w:r>
      <w:r>
        <w:rPr>
          <w:lang w:val="es-ES"/>
        </w:rPr>
        <w:t>ra la computación en la nube</w:t>
      </w:r>
    </w:p>
    <w:bookmarkEnd w:id="16"/>
    <w:p w14:paraId="2EE9DB83" w14:textId="77777777" w:rsidR="000E6971" w:rsidRPr="00246BB6" w:rsidRDefault="000E6971" w:rsidP="005C50BD">
      <w:pPr>
        <w:pStyle w:val="headingb"/>
        <w:rPr>
          <w:lang w:val="es-ES"/>
        </w:rPr>
      </w:pPr>
      <w:r w:rsidRPr="00246BB6">
        <w:rPr>
          <w:lang w:val="es-ES"/>
        </w:rPr>
        <w:t>Resumen</w:t>
      </w:r>
    </w:p>
    <w:p w14:paraId="5C96FA18" w14:textId="77777777" w:rsidR="000E6971" w:rsidRPr="00A34B48" w:rsidRDefault="000E6971" w:rsidP="000E6971">
      <w:pPr>
        <w:rPr>
          <w:lang w:val="es-ES"/>
        </w:rPr>
      </w:pPr>
      <w:r w:rsidRPr="00A34B48">
        <w:rPr>
          <w:lang w:val="es-ES"/>
        </w:rPr>
        <w:t>En esta Recomendación se presentan detalladamente los requisitos de gestión de la superficie de ataq</w:t>
      </w:r>
      <w:r>
        <w:rPr>
          <w:lang w:val="es-ES"/>
        </w:rPr>
        <w:t>ue</w:t>
      </w:r>
      <w:r w:rsidRPr="00A34B48">
        <w:rPr>
          <w:lang w:val="es-ES"/>
        </w:rPr>
        <w:t xml:space="preserve"> (ASM) </w:t>
      </w:r>
      <w:r>
        <w:rPr>
          <w:lang w:val="es-ES"/>
        </w:rPr>
        <w:t xml:space="preserve">en entornos de computación en la nube. </w:t>
      </w:r>
      <w:r w:rsidRPr="00A34B48">
        <w:rPr>
          <w:lang w:val="es-ES"/>
        </w:rPr>
        <w:t>Los principales componentes de la ASM son, entre otros, el desc</w:t>
      </w:r>
      <w:r>
        <w:rPr>
          <w:lang w:val="es-ES"/>
        </w:rPr>
        <w:t xml:space="preserve">ubrimiento de ciberactivos, la identificación de la superficie de ataque, el análisis en profundidad y la supervisión continua. </w:t>
      </w:r>
      <w:r w:rsidRPr="00A34B48">
        <w:rPr>
          <w:lang w:val="es-ES"/>
        </w:rPr>
        <w:t xml:space="preserve">Estos procesos son esenciales para mantener una seguridad robusta </w:t>
      </w:r>
      <w:r>
        <w:rPr>
          <w:lang w:val="es-ES"/>
        </w:rPr>
        <w:t>en entornos de nube</w:t>
      </w:r>
      <w:r w:rsidRPr="00A34B48">
        <w:rPr>
          <w:lang w:val="es-ES"/>
        </w:rPr>
        <w:t>.</w:t>
      </w:r>
    </w:p>
    <w:p w14:paraId="27054BD4" w14:textId="77777777" w:rsidR="000E6971" w:rsidRPr="00A34B48" w:rsidRDefault="000E6971" w:rsidP="000E6971">
      <w:pPr>
        <w:rPr>
          <w:lang w:val="es-ES"/>
        </w:rPr>
      </w:pPr>
      <w:r w:rsidRPr="00A34B48">
        <w:rPr>
          <w:lang w:val="es-ES"/>
        </w:rPr>
        <w:t xml:space="preserve">Para gestionar efectivamente las superficies de ataque, la gestión de la superficie de ataque (ASM) </w:t>
      </w:r>
      <w:r>
        <w:rPr>
          <w:lang w:val="es-ES"/>
        </w:rPr>
        <w:t xml:space="preserve">deberá integrar de manera fluida la inteligencia sobre amenazas y colaborar con herramientas de terceros. </w:t>
      </w:r>
      <w:r w:rsidRPr="00A34B48">
        <w:rPr>
          <w:lang w:val="es-ES"/>
        </w:rPr>
        <w:t xml:space="preserve">Además, debe ofrecer una </w:t>
      </w:r>
      <w:r>
        <w:rPr>
          <w:lang w:val="es-ES"/>
        </w:rPr>
        <w:t>imagen</w:t>
      </w:r>
      <w:r w:rsidRPr="00A34B48">
        <w:rPr>
          <w:lang w:val="es-ES"/>
        </w:rPr>
        <w:t xml:space="preserve"> y una cartografía detalladas </w:t>
      </w:r>
      <w:r>
        <w:rPr>
          <w:lang w:val="es-ES"/>
        </w:rPr>
        <w:t xml:space="preserve">de los activos, los flujos de datos y el tráfico de red, lo que permitirá a las organizaciones identificar y paliar proactivamente las eventuales vulnerabilidades. </w:t>
      </w:r>
      <w:r w:rsidRPr="00A34B48">
        <w:rPr>
          <w:lang w:val="es-ES"/>
        </w:rPr>
        <w:t>Mediante la evaluación constante, la configuración</w:t>
      </w:r>
      <w:r>
        <w:rPr>
          <w:lang w:val="es-ES"/>
        </w:rPr>
        <w:t xml:space="preserve"> </w:t>
      </w:r>
      <w:r w:rsidRPr="00A34B48">
        <w:rPr>
          <w:lang w:val="es-ES"/>
        </w:rPr>
        <w:t xml:space="preserve">segura y la </w:t>
      </w:r>
      <w:r>
        <w:rPr>
          <w:lang w:val="es-ES"/>
        </w:rPr>
        <w:t xml:space="preserve">protección de las superficies de ataque, tanto en entornos multinube como híbridos, la ASM garantiza una respuesta efectiva a la evolución de las ciberamenazas. </w:t>
      </w:r>
      <w:r w:rsidRPr="00A34B48">
        <w:rPr>
          <w:lang w:val="es-ES"/>
        </w:rPr>
        <w:t xml:space="preserve">Además, facilita la priorización de los riesgos y su </w:t>
      </w:r>
      <w:r>
        <w:rPr>
          <w:lang w:val="es-ES"/>
        </w:rPr>
        <w:t>eliminación, permitiendo así a las organizaciones mantener una infraestructura de nube segura y ágil</w:t>
      </w:r>
      <w:r w:rsidRPr="00A34B48">
        <w:rPr>
          <w:lang w:val="es-ES"/>
        </w:rPr>
        <w:t>.</w:t>
      </w:r>
    </w:p>
    <w:p w14:paraId="16F4138C" w14:textId="438C4A25" w:rsidR="000E6971" w:rsidRPr="00246BB6" w:rsidRDefault="000E6971" w:rsidP="000E6971">
      <w:pPr>
        <w:pStyle w:val="Heading1"/>
        <w:rPr>
          <w:lang w:val="es-ES"/>
        </w:rPr>
      </w:pPr>
      <w:bookmarkStart w:id="18" w:name="_Hlk221696019"/>
      <w:r w:rsidRPr="00246BB6">
        <w:rPr>
          <w:lang w:val="es-ES"/>
        </w:rPr>
        <w:t>10</w:t>
      </w:r>
      <w:r w:rsidRPr="00246BB6">
        <w:rPr>
          <w:lang w:val="es-ES"/>
        </w:rPr>
        <w:tab/>
        <w:t>Proyecto de Recomendación UIT-T X.1418 (ex X.sg-dcs) (</w:t>
      </w:r>
      <w:hyperlink r:id="rId23" w:history="1">
        <w:r w:rsidRPr="00246BB6">
          <w:rPr>
            <w:rStyle w:val="Hyperlink"/>
            <w:lang w:val="es-ES"/>
          </w:rPr>
          <w:t>SG17-R34</w:t>
        </w:r>
      </w:hyperlink>
      <w:r w:rsidRPr="00246BB6">
        <w:rPr>
          <w:lang w:val="es-ES"/>
        </w:rPr>
        <w:t>)</w:t>
      </w:r>
    </w:p>
    <w:p w14:paraId="2C9EAE10" w14:textId="77777777" w:rsidR="000E6971" w:rsidRPr="002F0943" w:rsidRDefault="000E6971" w:rsidP="000E6971">
      <w:pPr>
        <w:rPr>
          <w:lang w:val="es-ES"/>
        </w:rPr>
      </w:pPr>
      <w:r w:rsidRPr="00246BB6">
        <w:rPr>
          <w:lang w:val="es-ES"/>
        </w:rPr>
        <w:t>Directrices de seguridad para servicios de colección digital basados en DLT</w:t>
      </w:r>
    </w:p>
    <w:bookmarkEnd w:id="18"/>
    <w:p w14:paraId="5E886B3C" w14:textId="77777777" w:rsidR="000E6971" w:rsidRPr="00246BB6" w:rsidRDefault="000E6971" w:rsidP="005C50BD">
      <w:pPr>
        <w:pStyle w:val="headingb"/>
        <w:rPr>
          <w:lang w:val="es-ES"/>
        </w:rPr>
      </w:pPr>
      <w:r w:rsidRPr="00246BB6">
        <w:rPr>
          <w:lang w:val="es-ES"/>
        </w:rPr>
        <w:t>Resumen</w:t>
      </w:r>
    </w:p>
    <w:p w14:paraId="3286CB51" w14:textId="77777777" w:rsidR="000E6971" w:rsidRPr="002F0943" w:rsidRDefault="000E6971" w:rsidP="000E6971">
      <w:pPr>
        <w:rPr>
          <w:lang w:val="es-ES"/>
        </w:rPr>
      </w:pPr>
      <w:r>
        <w:rPr>
          <w:lang w:val="es-ES"/>
        </w:rPr>
        <w:t>La colección</w:t>
      </w:r>
      <w:r w:rsidRPr="002F0943">
        <w:rPr>
          <w:lang w:val="es-ES"/>
        </w:rPr>
        <w:t xml:space="preserve"> digital basad</w:t>
      </w:r>
      <w:r>
        <w:rPr>
          <w:lang w:val="es-ES"/>
        </w:rPr>
        <w:t>a</w:t>
      </w:r>
      <w:r w:rsidRPr="002F0943">
        <w:rPr>
          <w:lang w:val="es-ES"/>
        </w:rPr>
        <w:t xml:space="preserve"> en la tecnología de libro mayor distribuido (DLT) </w:t>
      </w:r>
      <w:r>
        <w:rPr>
          <w:lang w:val="es-ES"/>
        </w:rPr>
        <w:t xml:space="preserve">es un certificado digital exclusivo registrado en un sistema DLT privado que se utiliza para denotar la propiedad de activos como obras de arte o artículos coleccionables. </w:t>
      </w:r>
      <w:r w:rsidRPr="002F0943">
        <w:rPr>
          <w:lang w:val="es-ES"/>
        </w:rPr>
        <w:t>En un sistema del servicio de</w:t>
      </w:r>
      <w:r>
        <w:rPr>
          <w:lang w:val="es-ES"/>
        </w:rPr>
        <w:t xml:space="preserve"> colección digital basado en DLT participan principalmente tres partes: un usuario coleccionista digital, un proveedor de artículos coleccionables digitales y una plataforma de servicio de colección digital que explota el sistema DLT privado. </w:t>
      </w:r>
      <w:r w:rsidRPr="002F0943">
        <w:rPr>
          <w:lang w:val="es-ES"/>
        </w:rPr>
        <w:t>Este sistema facilita toda una ga</w:t>
      </w:r>
      <w:r>
        <w:rPr>
          <w:lang w:val="es-ES"/>
        </w:rPr>
        <w:t>ma de actividades relacionadas con las colecciones digitales, entre ellas, la expedición, la venta, la adquisición, la subasta y las transacciones</w:t>
      </w:r>
      <w:r w:rsidRPr="002F0943">
        <w:rPr>
          <w:lang w:val="es-ES"/>
        </w:rPr>
        <w:t>.</w:t>
      </w:r>
    </w:p>
    <w:p w14:paraId="7832B931" w14:textId="77777777" w:rsidR="000E6971" w:rsidRPr="00D037F5" w:rsidRDefault="000E6971" w:rsidP="000E6971">
      <w:pPr>
        <w:rPr>
          <w:lang w:val="es-ES"/>
        </w:rPr>
      </w:pPr>
      <w:r w:rsidRPr="00D037F5">
        <w:rPr>
          <w:lang w:val="es-ES"/>
        </w:rPr>
        <w:t>Los participantes en cada proceso del sistema del servicio de colección digital basado en DLT son distintos, lo qu</w:t>
      </w:r>
      <w:r>
        <w:rPr>
          <w:lang w:val="es-ES"/>
        </w:rPr>
        <w:t xml:space="preserve">e genera y exige distintos tipos de datos. </w:t>
      </w:r>
      <w:r w:rsidRPr="00D037F5">
        <w:rPr>
          <w:lang w:val="es-ES"/>
        </w:rPr>
        <w:t>Cada proceso introduce riesgos para la seguridad cuyas consecuencias pueden ser graves, por ejemplo, pérdidas financieras, menosc</w:t>
      </w:r>
      <w:r>
        <w:rPr>
          <w:lang w:val="es-ES"/>
        </w:rPr>
        <w:t xml:space="preserve">abo de la reputación, inestabilidad del mercado y exposición de información personal. </w:t>
      </w:r>
      <w:r w:rsidRPr="00D037F5">
        <w:rPr>
          <w:lang w:val="es-ES"/>
        </w:rPr>
        <w:t>Para paliar esos riesgos, en esta Recomendación se identifican las posibles amenazas a la seguridad presentes en las di</w:t>
      </w:r>
      <w:r>
        <w:rPr>
          <w:lang w:val="es-ES"/>
        </w:rPr>
        <w:t>versas actividades relacionadas con las colecciones digitales y se especifican los requisitos y controles de seguridad necesarios para contrarrestarlas</w:t>
      </w:r>
      <w:r w:rsidRPr="00D037F5">
        <w:rPr>
          <w:lang w:val="es-ES"/>
        </w:rPr>
        <w:t>.</w:t>
      </w:r>
    </w:p>
    <w:p w14:paraId="4CF773AD" w14:textId="77777777" w:rsidR="000E6971" w:rsidRPr="00246BB6" w:rsidRDefault="000E6971" w:rsidP="000E6971">
      <w:pPr>
        <w:pStyle w:val="Heading1"/>
        <w:rPr>
          <w:lang w:val="es-ES"/>
        </w:rPr>
      </w:pPr>
      <w:bookmarkStart w:id="19" w:name="_Hlk221696048"/>
      <w:r w:rsidRPr="00246BB6">
        <w:rPr>
          <w:lang w:val="es-ES"/>
        </w:rPr>
        <w:lastRenderedPageBreak/>
        <w:t>11</w:t>
      </w:r>
      <w:r w:rsidRPr="00246BB6">
        <w:rPr>
          <w:lang w:val="es-ES"/>
        </w:rPr>
        <w:tab/>
        <w:t>Proyecto de Recomendación UIT-T X.1417 (ex X.sr-dpts) (</w:t>
      </w:r>
      <w:hyperlink r:id="rId24" w:history="1">
        <w:r w:rsidRPr="00246BB6">
          <w:rPr>
            <w:rStyle w:val="Hyperlink"/>
            <w:lang w:val="es-ES"/>
          </w:rPr>
          <w:t>SG17-R35</w:t>
        </w:r>
      </w:hyperlink>
      <w:r w:rsidRPr="00246BB6">
        <w:rPr>
          <w:lang w:val="es-ES"/>
        </w:rPr>
        <w:t>)</w:t>
      </w:r>
    </w:p>
    <w:p w14:paraId="4C1D9CD2" w14:textId="77777777" w:rsidR="000E6971" w:rsidRPr="00246BB6" w:rsidRDefault="000E6971" w:rsidP="000E6971">
      <w:pPr>
        <w:rPr>
          <w:lang w:val="es-ES"/>
        </w:rPr>
      </w:pPr>
      <w:r w:rsidRPr="00246BB6">
        <w:rPr>
          <w:lang w:val="es-ES"/>
        </w:rPr>
        <w:t>Requisitos de seguridad de los datos de la tecnología de libro mayor distribuido (DLT) en sistemas de intercambio de potencia distribuidos basados en DLT autorizada</w:t>
      </w:r>
    </w:p>
    <w:bookmarkEnd w:id="19"/>
    <w:p w14:paraId="2716107D" w14:textId="77777777" w:rsidR="000E6971" w:rsidRPr="00246BB6" w:rsidRDefault="000E6971" w:rsidP="005C50BD">
      <w:pPr>
        <w:pStyle w:val="headingb"/>
        <w:rPr>
          <w:lang w:val="es-ES"/>
        </w:rPr>
      </w:pPr>
      <w:r w:rsidRPr="00246BB6">
        <w:rPr>
          <w:lang w:val="es-ES"/>
        </w:rPr>
        <w:t>Resumen</w:t>
      </w:r>
    </w:p>
    <w:p w14:paraId="148349FA" w14:textId="5CD7FF54" w:rsidR="000E6971" w:rsidRPr="00D037F5" w:rsidRDefault="000E6971" w:rsidP="000E6971">
      <w:pPr>
        <w:rPr>
          <w:lang w:val="es-ES"/>
        </w:rPr>
      </w:pPr>
      <w:r w:rsidRPr="00D037F5">
        <w:rPr>
          <w:lang w:val="es-ES"/>
        </w:rPr>
        <w:t>Un sistema de intercambio de potencia distribuido (DPT) basado en la tecnología de libro mayor distribuido (DLT) autorizada es un sistema diseñado</w:t>
      </w:r>
      <w:r>
        <w:rPr>
          <w:lang w:val="es-ES"/>
        </w:rPr>
        <w:t xml:space="preserve"> para el intercambio de potencia entre pares en una red inteligente. </w:t>
      </w:r>
      <w:r w:rsidRPr="00D037F5">
        <w:rPr>
          <w:lang w:val="es-ES"/>
        </w:rPr>
        <w:t>La DLT autorizada se aplica a los sistemas de intercambio de potencia para solventar algu</w:t>
      </w:r>
      <w:r>
        <w:rPr>
          <w:lang w:val="es-ES"/>
        </w:rPr>
        <w:t xml:space="preserve">nos de los problemas presentes en los sistemas de intercambio de potencia convencionales. </w:t>
      </w:r>
      <w:r w:rsidRPr="00D037F5">
        <w:rPr>
          <w:lang w:val="es-ES"/>
        </w:rPr>
        <w:t>Sin embargo, los sistemas DPT basados en DLT autorizada siguen planteando retos.</w:t>
      </w:r>
    </w:p>
    <w:p w14:paraId="0BB9C900" w14:textId="1E59B49E" w:rsidR="000E6971" w:rsidRPr="00E20C07" w:rsidRDefault="000E6971" w:rsidP="000E6971">
      <w:pPr>
        <w:rPr>
          <w:lang w:val="es-ES"/>
        </w:rPr>
      </w:pPr>
      <w:r w:rsidRPr="00D037F5">
        <w:rPr>
          <w:lang w:val="es-ES"/>
        </w:rPr>
        <w:t>En esta Recomendación se identifican las amenazas a la seguridad de los datos procesados en los sistemas DPT basados e</w:t>
      </w:r>
      <w:r w:rsidR="002408A5">
        <w:rPr>
          <w:lang w:val="es-ES"/>
        </w:rPr>
        <w:t>n</w:t>
      </w:r>
      <w:r w:rsidRPr="00D037F5">
        <w:rPr>
          <w:lang w:val="es-ES"/>
        </w:rPr>
        <w:t xml:space="preserve"> DLT autorizada, en pa</w:t>
      </w:r>
      <w:r>
        <w:rPr>
          <w:lang w:val="es-ES"/>
        </w:rPr>
        <w:t xml:space="preserve">rticular los datos sensibles relativos a los participantes en los sistemas, por ejemplo, los identificadores de usuario (ID), la composición de los recursos energéticos, el estado operativo y los horarios de producción/consumo energético. </w:t>
      </w:r>
      <w:r w:rsidRPr="00D037F5">
        <w:rPr>
          <w:lang w:val="es-ES"/>
        </w:rPr>
        <w:t>También se definen los requisitos de seguridad necesarios para hacer frente a esas amenazas a la seguridad y proteger los datos sensibles contra su</w:t>
      </w:r>
      <w:r>
        <w:rPr>
          <w:lang w:val="es-ES"/>
        </w:rPr>
        <w:t xml:space="preserve"> exposición externa. </w:t>
      </w:r>
      <w:r w:rsidRPr="00E20C07">
        <w:rPr>
          <w:lang w:val="es-ES"/>
        </w:rPr>
        <w:t>Esta Recomendación puede utilizarse en el diseño, el desarrollo y la explotación de sistemas DPT que utilizan la DLT autorizada.</w:t>
      </w:r>
    </w:p>
    <w:p w14:paraId="7160BBEB" w14:textId="77777777" w:rsidR="000E6971" w:rsidRPr="006A06C5" w:rsidRDefault="000E6971" w:rsidP="002408A5">
      <w:pPr>
        <w:pStyle w:val="Annextitle0"/>
        <w:rPr>
          <w:lang w:val="es-ES"/>
        </w:rPr>
      </w:pPr>
      <w:r w:rsidRPr="006A06C5">
        <w:rPr>
          <w:highlight w:val="cyan"/>
          <w:lang w:val="es-ES"/>
        </w:rPr>
        <w:br w:type="page"/>
      </w:r>
      <w:r w:rsidRPr="006A06C5">
        <w:rPr>
          <w:lang w:val="es-ES"/>
        </w:rPr>
        <w:lastRenderedPageBreak/>
        <w:t>Anexo 2</w:t>
      </w:r>
    </w:p>
    <w:p w14:paraId="27162C0C" w14:textId="2C92A20A" w:rsidR="000E6971" w:rsidRPr="002408A5" w:rsidRDefault="000E6971" w:rsidP="002408A5">
      <w:pPr>
        <w:pStyle w:val="Annextitle0"/>
        <w:rPr>
          <w:rFonts w:cs="Calibri"/>
          <w:bCs/>
          <w:sz w:val="24"/>
          <w:lang w:val="es-ES"/>
        </w:rPr>
      </w:pPr>
      <w:r w:rsidRPr="002408A5">
        <w:rPr>
          <w:rFonts w:cs="Calibri"/>
          <w:bCs/>
          <w:sz w:val="24"/>
          <w:lang w:val="es-ES"/>
        </w:rPr>
        <w:t>Asunto: Respuesta de los Estados Miembros a la Circular TSB 104:</w:t>
      </w:r>
      <w:r w:rsidRPr="002408A5">
        <w:rPr>
          <w:rFonts w:cs="Calibri"/>
          <w:bCs/>
          <w:sz w:val="24"/>
          <w:lang w:val="es-ES"/>
        </w:rPr>
        <w:br/>
        <w:t>Consulta sobre el proyecto de revisión de la Recomendación UIT</w:t>
      </w:r>
      <w:r w:rsidRPr="002408A5">
        <w:rPr>
          <w:bCs/>
          <w:sz w:val="24"/>
          <w:lang w:val="es-ES"/>
        </w:rPr>
        <w:t xml:space="preserve">-T X.1280 determinado y los proyectos de nueva Recomendación X.1286 (ex </w:t>
      </w:r>
      <w:proofErr w:type="gramStart"/>
      <w:r w:rsidRPr="002408A5">
        <w:rPr>
          <w:bCs/>
          <w:sz w:val="24"/>
          <w:lang w:val="es-ES"/>
        </w:rPr>
        <w:t>X.accsadlt</w:t>
      </w:r>
      <w:proofErr w:type="gramEnd"/>
      <w:r w:rsidRPr="002408A5">
        <w:rPr>
          <w:bCs/>
          <w:sz w:val="24"/>
          <w:lang w:val="es-ES"/>
        </w:rPr>
        <w:t>), X.1821 (ex X.5Gsec-asra),</w:t>
      </w:r>
      <w:r w:rsidR="002408A5" w:rsidRPr="002408A5">
        <w:rPr>
          <w:bCs/>
          <w:sz w:val="24"/>
          <w:lang w:val="es-ES"/>
        </w:rPr>
        <w:br/>
      </w:r>
      <w:r w:rsidRPr="002408A5">
        <w:rPr>
          <w:bCs/>
          <w:sz w:val="24"/>
          <w:lang w:val="es-ES"/>
        </w:rPr>
        <w:t xml:space="preserve">X.1350 (ex X.sr-iiot), X.2105 (ex X.st-ssc), X.2210 (ex </w:t>
      </w:r>
      <w:proofErr w:type="gramStart"/>
      <w:r w:rsidRPr="002408A5">
        <w:rPr>
          <w:bCs/>
          <w:sz w:val="24"/>
          <w:lang w:val="es-ES"/>
        </w:rPr>
        <w:t>X.ig</w:t>
      </w:r>
      <w:proofErr w:type="gramEnd"/>
      <w:r w:rsidRPr="002408A5">
        <w:rPr>
          <w:bCs/>
          <w:sz w:val="24"/>
          <w:lang w:val="es-ES"/>
        </w:rPr>
        <w:t>-dw), X.1910 (ex X.tc-ifd),</w:t>
      </w:r>
      <w:r w:rsidR="002408A5" w:rsidRPr="002408A5">
        <w:rPr>
          <w:bCs/>
          <w:sz w:val="24"/>
          <w:lang w:val="es-ES"/>
        </w:rPr>
        <w:br/>
      </w:r>
      <w:r w:rsidRPr="002408A5">
        <w:rPr>
          <w:bCs/>
          <w:sz w:val="24"/>
          <w:lang w:val="es-ES"/>
        </w:rPr>
        <w:t xml:space="preserve">X.1651 (ex </w:t>
      </w:r>
      <w:proofErr w:type="gramStart"/>
      <w:r w:rsidRPr="002408A5">
        <w:rPr>
          <w:bCs/>
          <w:sz w:val="24"/>
          <w:lang w:val="es-ES"/>
        </w:rPr>
        <w:t>X.soar</w:t>
      </w:r>
      <w:proofErr w:type="gramEnd"/>
      <w:r w:rsidRPr="002408A5">
        <w:rPr>
          <w:bCs/>
          <w:sz w:val="24"/>
          <w:lang w:val="es-ES"/>
        </w:rPr>
        <w:t>-cc), X.1607 (ex X.asm-cc), X.1418 (ex X.sg-dcs)</w:t>
      </w:r>
      <w:r w:rsidR="002408A5">
        <w:rPr>
          <w:bCs/>
          <w:sz w:val="24"/>
          <w:lang w:val="es-ES"/>
        </w:rPr>
        <w:br/>
      </w:r>
      <w:r w:rsidRPr="002408A5">
        <w:rPr>
          <w:bCs/>
          <w:sz w:val="24"/>
          <w:lang w:val="es-ES"/>
        </w:rPr>
        <w:t>y X.1417 (ex X.sr-dpts) determinadas</w:t>
      </w:r>
    </w:p>
    <w:tbl>
      <w:tblPr>
        <w:tblW w:w="9957" w:type="dxa"/>
        <w:tblInd w:w="-176" w:type="dxa"/>
        <w:tblLayout w:type="fixed"/>
        <w:tblLook w:val="04A0" w:firstRow="1" w:lastRow="0" w:firstColumn="1" w:lastColumn="0" w:noHBand="0" w:noVBand="1"/>
      </w:tblPr>
      <w:tblGrid>
        <w:gridCol w:w="1169"/>
        <w:gridCol w:w="4394"/>
        <w:gridCol w:w="1134"/>
        <w:gridCol w:w="3260"/>
      </w:tblGrid>
      <w:tr w:rsidR="000E6971" w:rsidRPr="00246BB6" w14:paraId="23ED540F" w14:textId="77777777" w:rsidTr="002408A5">
        <w:tc>
          <w:tcPr>
            <w:tcW w:w="1169" w:type="dxa"/>
          </w:tcPr>
          <w:p w14:paraId="18A47DA3" w14:textId="77777777" w:rsidR="000E6971" w:rsidRPr="00D43A7B" w:rsidRDefault="000E6971" w:rsidP="006467E1">
            <w:pPr>
              <w:jc w:val="right"/>
              <w:rPr>
                <w:rFonts w:cs="Calibri"/>
                <w:sz w:val="22"/>
                <w:szCs w:val="22"/>
              </w:rPr>
            </w:pPr>
            <w:r w:rsidRPr="00E928B3">
              <w:rPr>
                <w:b/>
                <w:bCs/>
                <w:szCs w:val="24"/>
                <w:lang w:val="es-ES"/>
              </w:rPr>
              <w:t>A</w:t>
            </w:r>
            <w:r w:rsidRPr="00E928B3">
              <w:rPr>
                <w:szCs w:val="24"/>
                <w:lang w:val="es-ES"/>
              </w:rPr>
              <w:t>:</w:t>
            </w:r>
          </w:p>
        </w:tc>
        <w:tc>
          <w:tcPr>
            <w:tcW w:w="4394" w:type="dxa"/>
            <w:tcBorders>
              <w:right w:val="single" w:sz="8" w:space="0" w:color="auto"/>
            </w:tcBorders>
          </w:tcPr>
          <w:p w14:paraId="79748F4F" w14:textId="77777777" w:rsidR="000E6971" w:rsidRPr="00E20C07" w:rsidRDefault="000E6971" w:rsidP="006467E1">
            <w:pPr>
              <w:spacing w:before="0"/>
              <w:rPr>
                <w:rFonts w:cs="Calibri"/>
                <w:sz w:val="22"/>
                <w:szCs w:val="22"/>
                <w:lang w:val="es-ES"/>
              </w:rPr>
            </w:pPr>
            <w:r w:rsidRPr="00E928B3">
              <w:rPr>
                <w:rFonts w:cstheme="minorHAnsi"/>
                <w:szCs w:val="24"/>
                <w:lang w:val="es-ES"/>
              </w:rPr>
              <w:t>El Director de la</w:t>
            </w:r>
            <w:r w:rsidRPr="00E928B3">
              <w:rPr>
                <w:rFonts w:cstheme="minorHAnsi"/>
                <w:szCs w:val="24"/>
                <w:lang w:val="es-ES"/>
              </w:rPr>
              <w:br/>
              <w:t>Oficina de Normalización de las Telecomunicaciones,</w:t>
            </w:r>
            <w:r w:rsidRPr="00E928B3">
              <w:rPr>
                <w:rFonts w:cstheme="minorHAnsi"/>
                <w:szCs w:val="24"/>
                <w:lang w:val="es-ES"/>
              </w:rPr>
              <w:br/>
              <w:t>Unión Internacional de Telecomunicaciones</w:t>
            </w:r>
            <w:r w:rsidRPr="00E928B3">
              <w:rPr>
                <w:rFonts w:cstheme="minorHAnsi"/>
                <w:szCs w:val="24"/>
                <w:lang w:val="es-ES"/>
              </w:rPr>
              <w:br/>
              <w:t>Place des Nations</w:t>
            </w:r>
            <w:r w:rsidRPr="00E928B3">
              <w:rPr>
                <w:rFonts w:cstheme="minorHAnsi"/>
                <w:szCs w:val="24"/>
                <w:lang w:val="es-ES"/>
              </w:rPr>
              <w:br/>
              <w:t>CH 1211 Ginebra 20, Suiza</w:t>
            </w:r>
          </w:p>
        </w:tc>
        <w:tc>
          <w:tcPr>
            <w:tcW w:w="1134" w:type="dxa"/>
            <w:tcBorders>
              <w:left w:val="single" w:sz="8" w:space="0" w:color="auto"/>
            </w:tcBorders>
          </w:tcPr>
          <w:p w14:paraId="07AAB347" w14:textId="77777777" w:rsidR="000E6971" w:rsidRPr="00D43A7B" w:rsidRDefault="000E6971" w:rsidP="006467E1">
            <w:pPr>
              <w:jc w:val="right"/>
              <w:rPr>
                <w:rFonts w:cs="Calibri"/>
                <w:sz w:val="22"/>
                <w:szCs w:val="22"/>
              </w:rPr>
            </w:pPr>
            <w:r w:rsidRPr="00E928B3">
              <w:rPr>
                <w:b/>
                <w:bCs/>
                <w:szCs w:val="24"/>
                <w:lang w:val="es-ES"/>
              </w:rPr>
              <w:t>De</w:t>
            </w:r>
            <w:r w:rsidRPr="00E928B3">
              <w:rPr>
                <w:szCs w:val="24"/>
                <w:lang w:val="es-ES"/>
              </w:rPr>
              <w:t>:</w:t>
            </w:r>
          </w:p>
        </w:tc>
        <w:tc>
          <w:tcPr>
            <w:tcW w:w="3260" w:type="dxa"/>
          </w:tcPr>
          <w:p w14:paraId="3AAC5BB9" w14:textId="77777777" w:rsidR="000E6971" w:rsidRPr="00E928B3" w:rsidRDefault="000E6971" w:rsidP="006467E1">
            <w:pPr>
              <w:rPr>
                <w:szCs w:val="24"/>
                <w:highlight w:val="green"/>
                <w:lang w:val="es-ES"/>
              </w:rPr>
            </w:pPr>
            <w:r w:rsidRPr="00E928B3">
              <w:rPr>
                <w:szCs w:val="24"/>
                <w:highlight w:val="green"/>
                <w:lang w:val="es-ES"/>
              </w:rPr>
              <w:t>[Nombre]</w:t>
            </w:r>
          </w:p>
          <w:p w14:paraId="01479324" w14:textId="77777777" w:rsidR="000E6971" w:rsidRPr="00E928B3" w:rsidRDefault="000E6971" w:rsidP="006467E1">
            <w:pPr>
              <w:spacing w:before="0"/>
              <w:rPr>
                <w:szCs w:val="24"/>
                <w:highlight w:val="green"/>
                <w:lang w:val="es-ES"/>
              </w:rPr>
            </w:pPr>
            <w:r w:rsidRPr="00E928B3">
              <w:rPr>
                <w:szCs w:val="24"/>
                <w:highlight w:val="green"/>
                <w:lang w:val="es-ES"/>
              </w:rPr>
              <w:t>[Cargo oficial/título]</w:t>
            </w:r>
          </w:p>
          <w:p w14:paraId="31E471C5" w14:textId="77777777" w:rsidR="000E6971" w:rsidRPr="00E20C07" w:rsidRDefault="000E6971" w:rsidP="006467E1">
            <w:pPr>
              <w:spacing w:before="0"/>
              <w:rPr>
                <w:rFonts w:cs="Calibri"/>
                <w:sz w:val="22"/>
                <w:szCs w:val="22"/>
                <w:lang w:val="es-ES"/>
              </w:rPr>
            </w:pPr>
            <w:r w:rsidRPr="00E928B3">
              <w:rPr>
                <w:szCs w:val="24"/>
                <w:highlight w:val="green"/>
                <w:lang w:val="es-ES"/>
              </w:rPr>
              <w:t>[Dirección]</w:t>
            </w:r>
          </w:p>
        </w:tc>
      </w:tr>
      <w:tr w:rsidR="000E6971" w:rsidRPr="00D43A7B" w14:paraId="6AF0AEE3" w14:textId="77777777" w:rsidTr="002408A5">
        <w:tc>
          <w:tcPr>
            <w:tcW w:w="1169" w:type="dxa"/>
          </w:tcPr>
          <w:p w14:paraId="62BE78FC" w14:textId="77777777" w:rsidR="000E6971" w:rsidRPr="00D43A7B" w:rsidRDefault="000E6971" w:rsidP="006467E1">
            <w:pPr>
              <w:spacing w:before="0"/>
              <w:jc w:val="right"/>
              <w:rPr>
                <w:rFonts w:cs="Calibri"/>
                <w:sz w:val="22"/>
                <w:szCs w:val="22"/>
              </w:rPr>
            </w:pPr>
            <w:r w:rsidRPr="00D43A7B">
              <w:rPr>
                <w:rFonts w:cs="Calibri"/>
                <w:b/>
                <w:bCs/>
                <w:sz w:val="22"/>
                <w:szCs w:val="22"/>
              </w:rPr>
              <w:t>Fax</w:t>
            </w:r>
            <w:r w:rsidRPr="00D43A7B">
              <w:rPr>
                <w:rFonts w:cs="Calibri"/>
                <w:sz w:val="22"/>
                <w:szCs w:val="22"/>
              </w:rPr>
              <w:t>:</w:t>
            </w:r>
          </w:p>
        </w:tc>
        <w:tc>
          <w:tcPr>
            <w:tcW w:w="4394" w:type="dxa"/>
            <w:tcBorders>
              <w:right w:val="single" w:sz="8" w:space="0" w:color="auto"/>
            </w:tcBorders>
          </w:tcPr>
          <w:p w14:paraId="40344037" w14:textId="77777777" w:rsidR="000E6971" w:rsidRPr="00D43A7B" w:rsidRDefault="000E6971" w:rsidP="006467E1">
            <w:pPr>
              <w:spacing w:before="0"/>
              <w:rPr>
                <w:rFonts w:cs="Calibri"/>
                <w:sz w:val="22"/>
                <w:szCs w:val="22"/>
              </w:rPr>
            </w:pPr>
            <w:r w:rsidRPr="00D43A7B">
              <w:rPr>
                <w:rFonts w:cs="Calibri"/>
                <w:sz w:val="22"/>
                <w:szCs w:val="22"/>
              </w:rPr>
              <w:t>+41-22-730-5853</w:t>
            </w:r>
          </w:p>
        </w:tc>
        <w:tc>
          <w:tcPr>
            <w:tcW w:w="1134" w:type="dxa"/>
            <w:tcBorders>
              <w:left w:val="single" w:sz="8" w:space="0" w:color="auto"/>
            </w:tcBorders>
          </w:tcPr>
          <w:p w14:paraId="2F9045EA" w14:textId="77777777" w:rsidR="000E6971" w:rsidRPr="00D43A7B" w:rsidRDefault="000E6971" w:rsidP="006467E1">
            <w:pPr>
              <w:spacing w:before="0"/>
              <w:jc w:val="right"/>
              <w:rPr>
                <w:rFonts w:cs="Calibri"/>
                <w:sz w:val="22"/>
                <w:szCs w:val="22"/>
              </w:rPr>
            </w:pPr>
            <w:r w:rsidRPr="00D43A7B">
              <w:rPr>
                <w:rFonts w:cs="Calibri"/>
                <w:b/>
                <w:bCs/>
                <w:sz w:val="22"/>
                <w:szCs w:val="22"/>
              </w:rPr>
              <w:t>Fax</w:t>
            </w:r>
            <w:r w:rsidRPr="00D43A7B">
              <w:rPr>
                <w:rFonts w:cs="Calibri"/>
                <w:sz w:val="22"/>
                <w:szCs w:val="22"/>
              </w:rPr>
              <w:t>:</w:t>
            </w:r>
          </w:p>
        </w:tc>
        <w:tc>
          <w:tcPr>
            <w:tcW w:w="3260" w:type="dxa"/>
          </w:tcPr>
          <w:p w14:paraId="4CD6E3DF" w14:textId="77777777" w:rsidR="000E6971" w:rsidRPr="00D43A7B" w:rsidRDefault="000E6971" w:rsidP="006467E1">
            <w:pPr>
              <w:spacing w:before="0"/>
              <w:rPr>
                <w:rFonts w:cs="Calibri"/>
                <w:sz w:val="22"/>
                <w:szCs w:val="22"/>
              </w:rPr>
            </w:pPr>
          </w:p>
        </w:tc>
      </w:tr>
      <w:tr w:rsidR="000E6971" w:rsidRPr="00D43A7B" w14:paraId="468B0F37" w14:textId="77777777" w:rsidTr="002408A5">
        <w:tc>
          <w:tcPr>
            <w:tcW w:w="1169" w:type="dxa"/>
          </w:tcPr>
          <w:p w14:paraId="2E72223E" w14:textId="77777777" w:rsidR="000E6971" w:rsidRPr="00D43A7B" w:rsidRDefault="000E6971" w:rsidP="006467E1">
            <w:pPr>
              <w:spacing w:before="0"/>
              <w:jc w:val="right"/>
              <w:rPr>
                <w:rFonts w:cs="Calibri"/>
                <w:sz w:val="22"/>
                <w:szCs w:val="22"/>
              </w:rPr>
            </w:pPr>
            <w:r>
              <w:rPr>
                <w:rFonts w:cs="Calibri"/>
                <w:b/>
                <w:bCs/>
                <w:sz w:val="22"/>
                <w:szCs w:val="22"/>
              </w:rPr>
              <w:t>Correo-e</w:t>
            </w:r>
            <w:r w:rsidRPr="00D43A7B">
              <w:rPr>
                <w:rFonts w:cs="Calibri"/>
                <w:sz w:val="22"/>
                <w:szCs w:val="22"/>
              </w:rPr>
              <w:t>:</w:t>
            </w:r>
          </w:p>
        </w:tc>
        <w:tc>
          <w:tcPr>
            <w:tcW w:w="4394" w:type="dxa"/>
            <w:tcBorders>
              <w:right w:val="single" w:sz="8" w:space="0" w:color="auto"/>
            </w:tcBorders>
          </w:tcPr>
          <w:p w14:paraId="6B986E07" w14:textId="77777777" w:rsidR="000E6971" w:rsidRPr="00D43A7B" w:rsidRDefault="000E6971" w:rsidP="006467E1">
            <w:pPr>
              <w:spacing w:before="0"/>
              <w:rPr>
                <w:rFonts w:cs="Calibri"/>
                <w:sz w:val="22"/>
                <w:szCs w:val="22"/>
              </w:rPr>
            </w:pPr>
            <w:hyperlink r:id="rId25" w:history="1">
              <w:r w:rsidRPr="00D43A7B">
                <w:rPr>
                  <w:rStyle w:val="Hyperlink"/>
                  <w:rFonts w:cs="Calibri"/>
                  <w:sz w:val="22"/>
                  <w:szCs w:val="22"/>
                </w:rPr>
                <w:t>tsbdir@itu.int</w:t>
              </w:r>
            </w:hyperlink>
            <w:r w:rsidRPr="00D43A7B">
              <w:rPr>
                <w:rFonts w:cs="Calibri"/>
                <w:sz w:val="22"/>
                <w:szCs w:val="22"/>
              </w:rPr>
              <w:t xml:space="preserve"> </w:t>
            </w:r>
          </w:p>
        </w:tc>
        <w:tc>
          <w:tcPr>
            <w:tcW w:w="1134" w:type="dxa"/>
            <w:tcBorders>
              <w:left w:val="single" w:sz="8" w:space="0" w:color="auto"/>
            </w:tcBorders>
          </w:tcPr>
          <w:p w14:paraId="51C1E3A6" w14:textId="77777777" w:rsidR="000E6971" w:rsidRPr="00D43A7B" w:rsidRDefault="000E6971" w:rsidP="006467E1">
            <w:pPr>
              <w:spacing w:before="0"/>
              <w:jc w:val="right"/>
              <w:rPr>
                <w:rFonts w:cs="Calibri"/>
                <w:sz w:val="22"/>
                <w:szCs w:val="22"/>
              </w:rPr>
            </w:pPr>
            <w:r>
              <w:rPr>
                <w:rFonts w:cs="Calibri"/>
                <w:b/>
                <w:bCs/>
                <w:sz w:val="22"/>
                <w:szCs w:val="22"/>
              </w:rPr>
              <w:t>Correo-e</w:t>
            </w:r>
            <w:r w:rsidRPr="00D43A7B">
              <w:rPr>
                <w:rFonts w:cs="Calibri"/>
                <w:sz w:val="22"/>
                <w:szCs w:val="22"/>
              </w:rPr>
              <w:t>:</w:t>
            </w:r>
          </w:p>
        </w:tc>
        <w:tc>
          <w:tcPr>
            <w:tcW w:w="3260" w:type="dxa"/>
          </w:tcPr>
          <w:p w14:paraId="164740BB" w14:textId="77777777" w:rsidR="000E6971" w:rsidRPr="00D43A7B" w:rsidRDefault="000E6971" w:rsidP="006467E1">
            <w:pPr>
              <w:spacing w:before="0"/>
              <w:rPr>
                <w:rFonts w:cs="Calibri"/>
                <w:sz w:val="22"/>
                <w:szCs w:val="22"/>
              </w:rPr>
            </w:pPr>
          </w:p>
        </w:tc>
      </w:tr>
      <w:tr w:rsidR="000E6971" w:rsidRPr="00D43A7B" w14:paraId="35CA04FD" w14:textId="77777777" w:rsidTr="002408A5">
        <w:tc>
          <w:tcPr>
            <w:tcW w:w="1169" w:type="dxa"/>
          </w:tcPr>
          <w:p w14:paraId="5FD37D2E" w14:textId="77777777" w:rsidR="000E6971" w:rsidRPr="00D43A7B" w:rsidRDefault="000E6971" w:rsidP="006467E1">
            <w:pPr>
              <w:spacing w:before="0"/>
              <w:jc w:val="right"/>
              <w:rPr>
                <w:rFonts w:cs="Calibri"/>
                <w:sz w:val="22"/>
                <w:szCs w:val="22"/>
              </w:rPr>
            </w:pPr>
          </w:p>
        </w:tc>
        <w:tc>
          <w:tcPr>
            <w:tcW w:w="4394" w:type="dxa"/>
            <w:tcBorders>
              <w:right w:val="single" w:sz="8" w:space="0" w:color="auto"/>
            </w:tcBorders>
          </w:tcPr>
          <w:p w14:paraId="4F76437F" w14:textId="77777777" w:rsidR="000E6971" w:rsidRPr="00D43A7B" w:rsidRDefault="000E6971" w:rsidP="006467E1">
            <w:pPr>
              <w:spacing w:before="0"/>
              <w:rPr>
                <w:rFonts w:cs="Calibri"/>
                <w:sz w:val="22"/>
                <w:szCs w:val="22"/>
              </w:rPr>
            </w:pPr>
          </w:p>
        </w:tc>
        <w:tc>
          <w:tcPr>
            <w:tcW w:w="1134" w:type="dxa"/>
            <w:tcBorders>
              <w:left w:val="single" w:sz="8" w:space="0" w:color="auto"/>
            </w:tcBorders>
          </w:tcPr>
          <w:p w14:paraId="07084DA9" w14:textId="77777777" w:rsidR="000E6971" w:rsidRPr="00D43A7B" w:rsidRDefault="000E6971" w:rsidP="006467E1">
            <w:pPr>
              <w:spacing w:before="0"/>
              <w:jc w:val="right"/>
              <w:rPr>
                <w:rFonts w:cs="Calibri"/>
                <w:sz w:val="22"/>
                <w:szCs w:val="22"/>
              </w:rPr>
            </w:pPr>
            <w:r w:rsidRPr="00E928B3">
              <w:rPr>
                <w:b/>
                <w:bCs/>
                <w:szCs w:val="24"/>
                <w:lang w:val="es-ES"/>
              </w:rPr>
              <w:t>Fecha</w:t>
            </w:r>
            <w:r w:rsidRPr="00E928B3">
              <w:rPr>
                <w:szCs w:val="24"/>
                <w:lang w:val="es-ES"/>
              </w:rPr>
              <w:t>:</w:t>
            </w:r>
          </w:p>
        </w:tc>
        <w:tc>
          <w:tcPr>
            <w:tcW w:w="3260" w:type="dxa"/>
          </w:tcPr>
          <w:p w14:paraId="6497FCCC" w14:textId="77777777" w:rsidR="000E6971" w:rsidRPr="00D43A7B" w:rsidRDefault="000E6971" w:rsidP="006467E1">
            <w:pPr>
              <w:spacing w:before="0"/>
              <w:rPr>
                <w:rFonts w:cs="Calibri"/>
                <w:sz w:val="22"/>
                <w:szCs w:val="22"/>
              </w:rPr>
            </w:pPr>
            <w:r w:rsidRPr="00E928B3">
              <w:rPr>
                <w:szCs w:val="24"/>
                <w:highlight w:val="green"/>
                <w:lang w:val="es-ES"/>
              </w:rPr>
              <w:t>[Lugar,] [fecha]</w:t>
            </w:r>
          </w:p>
        </w:tc>
      </w:tr>
    </w:tbl>
    <w:p w14:paraId="222E2073" w14:textId="77777777" w:rsidR="000E6971" w:rsidRPr="00E20C07" w:rsidRDefault="000E6971" w:rsidP="000E6971">
      <w:pPr>
        <w:spacing w:before="360"/>
        <w:rPr>
          <w:rFonts w:cs="Calibri"/>
          <w:sz w:val="22"/>
          <w:szCs w:val="22"/>
          <w:lang w:val="es-ES"/>
        </w:rPr>
      </w:pPr>
      <w:r w:rsidRPr="00E20C07">
        <w:rPr>
          <w:rFonts w:cs="Calibri"/>
          <w:sz w:val="22"/>
          <w:szCs w:val="22"/>
          <w:lang w:val="es-ES"/>
        </w:rPr>
        <w:t>Muy Señora mía/Muy Señor mío</w:t>
      </w:r>
      <w:r>
        <w:rPr>
          <w:rFonts w:cs="Calibri"/>
          <w:sz w:val="22"/>
          <w:szCs w:val="22"/>
          <w:lang w:val="es-ES"/>
        </w:rPr>
        <w:t>:</w:t>
      </w:r>
    </w:p>
    <w:p w14:paraId="5E9F9AA4" w14:textId="77777777" w:rsidR="000E6971" w:rsidRPr="00E20C07" w:rsidRDefault="000E6971" w:rsidP="002408A5">
      <w:pPr>
        <w:spacing w:after="240"/>
        <w:rPr>
          <w:rFonts w:cs="Calibri"/>
          <w:sz w:val="22"/>
          <w:szCs w:val="22"/>
          <w:lang w:val="es-ES"/>
        </w:rPr>
      </w:pPr>
      <w:r w:rsidRPr="00E928B3">
        <w:rPr>
          <w:szCs w:val="24"/>
          <w:lang w:val="es-ES"/>
        </w:rPr>
        <w:t xml:space="preserve">En lo que respecta a la consulta a los Estados Miembros sobre los proyectos determinados que se enumeran en la </w:t>
      </w:r>
      <w:hyperlink r:id="rId26" w:history="1">
        <w:r w:rsidRPr="00E20C07">
          <w:rPr>
            <w:rStyle w:val="Hyperlink"/>
            <w:rFonts w:cs="Calibri"/>
            <w:b/>
            <w:bCs/>
            <w:sz w:val="22"/>
            <w:szCs w:val="22"/>
            <w:lang w:val="es-ES"/>
          </w:rPr>
          <w:t xml:space="preserve">Circular </w:t>
        </w:r>
        <w:r>
          <w:rPr>
            <w:rStyle w:val="Hyperlink"/>
            <w:rFonts w:cs="Calibri"/>
            <w:b/>
            <w:bCs/>
            <w:sz w:val="22"/>
            <w:szCs w:val="22"/>
            <w:lang w:val="es-ES"/>
          </w:rPr>
          <w:t xml:space="preserve">TSB </w:t>
        </w:r>
        <w:r w:rsidRPr="00E20C07">
          <w:rPr>
            <w:rStyle w:val="Hyperlink"/>
            <w:rFonts w:cs="Calibri"/>
            <w:b/>
            <w:bCs/>
            <w:sz w:val="22"/>
            <w:szCs w:val="22"/>
            <w:lang w:val="es-ES"/>
          </w:rPr>
          <w:t>104</w:t>
        </w:r>
      </w:hyperlink>
      <w:r w:rsidRPr="00E20C07">
        <w:rPr>
          <w:rFonts w:cs="Calibri"/>
          <w:sz w:val="22"/>
          <w:szCs w:val="22"/>
          <w:lang w:val="es-ES"/>
        </w:rPr>
        <w:t xml:space="preserve">, </w:t>
      </w:r>
      <w:r w:rsidRPr="00E928B3">
        <w:rPr>
          <w:szCs w:val="24"/>
          <w:lang w:val="es-ES"/>
        </w:rPr>
        <w:t>deseo informarle de la opinión de esta Administración, que se refleja en el siguiente cuadro</w:t>
      </w:r>
      <w:r>
        <w:rPr>
          <w:szCs w:val="24"/>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574"/>
      </w:tblGrid>
      <w:tr w:rsidR="000E6971" w:rsidRPr="00246BB6" w14:paraId="235B49DB" w14:textId="77777777" w:rsidTr="002408A5">
        <w:trPr>
          <w:tblHeader/>
        </w:trPr>
        <w:tc>
          <w:tcPr>
            <w:tcW w:w="2055" w:type="dxa"/>
            <w:vAlign w:val="center"/>
          </w:tcPr>
          <w:p w14:paraId="0E2CE34B" w14:textId="77777777" w:rsidR="000E6971" w:rsidRPr="00E20C07" w:rsidRDefault="000E6971" w:rsidP="006467E1">
            <w:pPr>
              <w:spacing w:after="120"/>
              <w:jc w:val="center"/>
              <w:rPr>
                <w:rFonts w:cs="Calibri"/>
                <w:b/>
                <w:bCs/>
                <w:sz w:val="22"/>
                <w:szCs w:val="22"/>
                <w:lang w:val="es-ES"/>
              </w:rPr>
            </w:pPr>
          </w:p>
        </w:tc>
        <w:tc>
          <w:tcPr>
            <w:tcW w:w="7574" w:type="dxa"/>
            <w:vAlign w:val="center"/>
          </w:tcPr>
          <w:p w14:paraId="6B186EB0" w14:textId="77777777" w:rsidR="000E6971" w:rsidRPr="00246BB6" w:rsidRDefault="000E6971" w:rsidP="006467E1">
            <w:pPr>
              <w:tabs>
                <w:tab w:val="clear" w:pos="794"/>
                <w:tab w:val="clear" w:pos="1191"/>
                <w:tab w:val="clear" w:pos="1588"/>
                <w:tab w:val="clear" w:pos="1985"/>
              </w:tabs>
              <w:spacing w:after="120"/>
              <w:ind w:left="939" w:hanging="459"/>
              <w:jc w:val="center"/>
              <w:rPr>
                <w:rFonts w:cs="Calibri"/>
                <w:b/>
                <w:bCs/>
                <w:sz w:val="22"/>
                <w:szCs w:val="22"/>
                <w:lang w:val="es-ES"/>
              </w:rPr>
            </w:pPr>
            <w:r w:rsidRPr="00246BB6">
              <w:rPr>
                <w:rFonts w:cs="Calibri"/>
                <w:b/>
                <w:bCs/>
                <w:sz w:val="22"/>
                <w:szCs w:val="22"/>
                <w:lang w:val="es-ES"/>
              </w:rPr>
              <w:t>Selecc</w:t>
            </w:r>
            <w:r w:rsidRPr="00246BB6">
              <w:rPr>
                <w:rFonts w:cs="Calibri"/>
                <w:b/>
                <w:bCs/>
                <w:szCs w:val="22"/>
                <w:lang w:val="es-ES"/>
              </w:rPr>
              <w:t>iones una de las dos casillas</w:t>
            </w:r>
          </w:p>
        </w:tc>
      </w:tr>
      <w:tr w:rsidR="000E6971" w:rsidRPr="00246BB6" w14:paraId="03EB0638" w14:textId="77777777" w:rsidTr="002408A5">
        <w:trPr>
          <w:trHeight w:val="748"/>
        </w:trPr>
        <w:tc>
          <w:tcPr>
            <w:tcW w:w="2055" w:type="dxa"/>
            <w:vMerge w:val="restart"/>
            <w:vAlign w:val="center"/>
          </w:tcPr>
          <w:p w14:paraId="002D0A0A" w14:textId="77777777"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revisión de UIT-T X.1280</w:t>
            </w:r>
          </w:p>
        </w:tc>
        <w:tc>
          <w:tcPr>
            <w:tcW w:w="7574" w:type="dxa"/>
            <w:vAlign w:val="center"/>
          </w:tcPr>
          <w:p w14:paraId="5AE6CCF1"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635112F1"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3850842A"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31DC4DFE" w14:textId="77777777" w:rsidTr="002408A5">
        <w:trPr>
          <w:trHeight w:val="747"/>
        </w:trPr>
        <w:tc>
          <w:tcPr>
            <w:tcW w:w="2055" w:type="dxa"/>
            <w:vMerge/>
            <w:vAlign w:val="center"/>
          </w:tcPr>
          <w:p w14:paraId="6A5A4657"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24497A0F"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63DE43E0" w14:textId="77777777" w:rsidTr="002408A5">
        <w:trPr>
          <w:trHeight w:val="748"/>
        </w:trPr>
        <w:tc>
          <w:tcPr>
            <w:tcW w:w="2055" w:type="dxa"/>
            <w:vMerge w:val="restart"/>
            <w:vAlign w:val="center"/>
          </w:tcPr>
          <w:p w14:paraId="6BA8DA1E" w14:textId="2CDFB1D2"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X.1286 (ex</w:t>
            </w:r>
            <w:r w:rsidR="002408A5">
              <w:rPr>
                <w:rFonts w:cs="Calibri"/>
                <w:b/>
                <w:bCs/>
                <w:sz w:val="22"/>
                <w:szCs w:val="22"/>
                <w:lang w:val="es-ES"/>
              </w:rPr>
              <w:t> </w:t>
            </w:r>
            <w:r w:rsidRPr="00E20C07">
              <w:rPr>
                <w:rFonts w:cs="Calibri"/>
                <w:b/>
                <w:bCs/>
                <w:sz w:val="22"/>
                <w:szCs w:val="22"/>
                <w:lang w:val="es-ES"/>
              </w:rPr>
              <w:t>X.accsadlt)</w:t>
            </w:r>
          </w:p>
        </w:tc>
        <w:tc>
          <w:tcPr>
            <w:tcW w:w="7574" w:type="dxa"/>
            <w:vAlign w:val="center"/>
          </w:tcPr>
          <w:p w14:paraId="47C4B0BA"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5FBCA4E9"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630F7A93"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61D438D3" w14:textId="77777777" w:rsidTr="002408A5">
        <w:trPr>
          <w:trHeight w:val="747"/>
        </w:trPr>
        <w:tc>
          <w:tcPr>
            <w:tcW w:w="2055" w:type="dxa"/>
            <w:vMerge/>
            <w:vAlign w:val="center"/>
          </w:tcPr>
          <w:p w14:paraId="60DEC67C"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5D716247"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2B229589" w14:textId="77777777" w:rsidTr="002408A5">
        <w:trPr>
          <w:trHeight w:val="748"/>
        </w:trPr>
        <w:tc>
          <w:tcPr>
            <w:tcW w:w="2055" w:type="dxa"/>
            <w:vMerge w:val="restart"/>
            <w:vAlign w:val="center"/>
          </w:tcPr>
          <w:p w14:paraId="2594DA3C" w14:textId="7AD7B686"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X.1821</w:t>
            </w:r>
            <w:r w:rsidR="002408A5">
              <w:rPr>
                <w:rFonts w:cs="Calibri"/>
                <w:b/>
                <w:bCs/>
                <w:sz w:val="22"/>
                <w:szCs w:val="22"/>
                <w:lang w:val="es-ES"/>
              </w:rPr>
              <w:br/>
            </w:r>
            <w:r w:rsidRPr="00E20C07">
              <w:rPr>
                <w:rFonts w:cs="Calibri"/>
                <w:b/>
                <w:bCs/>
                <w:sz w:val="22"/>
                <w:szCs w:val="22"/>
                <w:lang w:val="es-ES"/>
              </w:rPr>
              <w:t>(ex X.5Gsec-asra)</w:t>
            </w:r>
          </w:p>
        </w:tc>
        <w:tc>
          <w:tcPr>
            <w:tcW w:w="7574" w:type="dxa"/>
            <w:vAlign w:val="center"/>
          </w:tcPr>
          <w:p w14:paraId="5A84F2A2"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395D0B97"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4192786C"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6671F9BE" w14:textId="77777777" w:rsidTr="002408A5">
        <w:trPr>
          <w:trHeight w:val="747"/>
        </w:trPr>
        <w:tc>
          <w:tcPr>
            <w:tcW w:w="2055" w:type="dxa"/>
            <w:vMerge/>
            <w:vAlign w:val="center"/>
          </w:tcPr>
          <w:p w14:paraId="68CF7B7D"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7AC158A0"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78B76B1D" w14:textId="77777777" w:rsidTr="002408A5">
        <w:trPr>
          <w:trHeight w:val="748"/>
        </w:trPr>
        <w:tc>
          <w:tcPr>
            <w:tcW w:w="2055" w:type="dxa"/>
            <w:vMerge w:val="restart"/>
            <w:vAlign w:val="center"/>
          </w:tcPr>
          <w:p w14:paraId="3D86E589" w14:textId="40823099"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X.1350(ex X.sr-iiot)</w:t>
            </w:r>
          </w:p>
        </w:tc>
        <w:tc>
          <w:tcPr>
            <w:tcW w:w="7574" w:type="dxa"/>
            <w:vAlign w:val="center"/>
          </w:tcPr>
          <w:p w14:paraId="7B2087BE"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2A046F19"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0726DB4A"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740EFA52" w14:textId="77777777" w:rsidTr="002408A5">
        <w:trPr>
          <w:trHeight w:val="747"/>
        </w:trPr>
        <w:tc>
          <w:tcPr>
            <w:tcW w:w="2055" w:type="dxa"/>
            <w:vMerge/>
            <w:vAlign w:val="center"/>
          </w:tcPr>
          <w:p w14:paraId="2F953172"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0996AA46"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3C63CF9E" w14:textId="77777777" w:rsidTr="002408A5">
        <w:trPr>
          <w:trHeight w:val="748"/>
        </w:trPr>
        <w:tc>
          <w:tcPr>
            <w:tcW w:w="2055" w:type="dxa"/>
            <w:vMerge w:val="restart"/>
            <w:vAlign w:val="center"/>
          </w:tcPr>
          <w:p w14:paraId="7DA61325" w14:textId="77777777"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X.2105 (ex X.st-ssc)</w:t>
            </w:r>
          </w:p>
        </w:tc>
        <w:tc>
          <w:tcPr>
            <w:tcW w:w="7574" w:type="dxa"/>
            <w:vAlign w:val="center"/>
          </w:tcPr>
          <w:p w14:paraId="67398047"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23FB1E27"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73C08965"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30BB9345" w14:textId="77777777" w:rsidTr="002408A5">
        <w:trPr>
          <w:trHeight w:val="747"/>
        </w:trPr>
        <w:tc>
          <w:tcPr>
            <w:tcW w:w="2055" w:type="dxa"/>
            <w:vMerge/>
            <w:vAlign w:val="center"/>
          </w:tcPr>
          <w:p w14:paraId="5C20B7D7"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6E398BF8"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0A43813E" w14:textId="77777777" w:rsidTr="002408A5">
        <w:trPr>
          <w:trHeight w:val="748"/>
        </w:trPr>
        <w:tc>
          <w:tcPr>
            <w:tcW w:w="2055" w:type="dxa"/>
            <w:vMerge w:val="restart"/>
            <w:vAlign w:val="center"/>
          </w:tcPr>
          <w:p w14:paraId="270D8061" w14:textId="77777777"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X.2210 (ex X.ig-dw)</w:t>
            </w:r>
          </w:p>
        </w:tc>
        <w:tc>
          <w:tcPr>
            <w:tcW w:w="7574" w:type="dxa"/>
            <w:vAlign w:val="center"/>
          </w:tcPr>
          <w:p w14:paraId="4C02D990"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2461385D"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40BC1377"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4AB42195" w14:textId="77777777" w:rsidTr="002408A5">
        <w:trPr>
          <w:trHeight w:val="747"/>
        </w:trPr>
        <w:tc>
          <w:tcPr>
            <w:tcW w:w="2055" w:type="dxa"/>
            <w:vMerge/>
            <w:vAlign w:val="center"/>
          </w:tcPr>
          <w:p w14:paraId="5AC1E62A"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5BA7AD67"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4E8EA9D1" w14:textId="77777777" w:rsidTr="002408A5">
        <w:trPr>
          <w:trHeight w:val="748"/>
        </w:trPr>
        <w:tc>
          <w:tcPr>
            <w:tcW w:w="2055" w:type="dxa"/>
            <w:vMerge w:val="restart"/>
            <w:vAlign w:val="center"/>
          </w:tcPr>
          <w:p w14:paraId="7B7930CF" w14:textId="77777777"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X.1910 (ex X.tc-ifd)</w:t>
            </w:r>
          </w:p>
        </w:tc>
        <w:tc>
          <w:tcPr>
            <w:tcW w:w="7574" w:type="dxa"/>
            <w:vAlign w:val="center"/>
          </w:tcPr>
          <w:p w14:paraId="735273AD"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3D2CA511"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74C54255"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551796E7" w14:textId="77777777" w:rsidTr="002408A5">
        <w:trPr>
          <w:trHeight w:val="747"/>
        </w:trPr>
        <w:tc>
          <w:tcPr>
            <w:tcW w:w="2055" w:type="dxa"/>
            <w:vMerge/>
            <w:vAlign w:val="center"/>
          </w:tcPr>
          <w:p w14:paraId="5215A957"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240E5675"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2F771843" w14:textId="77777777" w:rsidTr="002408A5">
        <w:trPr>
          <w:trHeight w:val="748"/>
        </w:trPr>
        <w:tc>
          <w:tcPr>
            <w:tcW w:w="2055" w:type="dxa"/>
            <w:vMerge w:val="restart"/>
            <w:vAlign w:val="center"/>
          </w:tcPr>
          <w:p w14:paraId="0504F1F1" w14:textId="7C931E05"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X.1651</w:t>
            </w:r>
            <w:r w:rsidR="002408A5">
              <w:rPr>
                <w:rFonts w:cs="Calibri"/>
                <w:b/>
                <w:bCs/>
                <w:sz w:val="22"/>
                <w:szCs w:val="22"/>
                <w:lang w:val="es-ES"/>
              </w:rPr>
              <w:br/>
            </w:r>
            <w:r w:rsidRPr="00E20C07">
              <w:rPr>
                <w:rFonts w:cs="Calibri"/>
                <w:b/>
                <w:bCs/>
                <w:sz w:val="22"/>
                <w:szCs w:val="22"/>
                <w:lang w:val="es-ES"/>
              </w:rPr>
              <w:t>(ex X.soar-cc)</w:t>
            </w:r>
          </w:p>
        </w:tc>
        <w:tc>
          <w:tcPr>
            <w:tcW w:w="7574" w:type="dxa"/>
            <w:vAlign w:val="center"/>
          </w:tcPr>
          <w:p w14:paraId="29C24BBF"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1DE0A3C6"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4DF79E0C"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4A0FC13E" w14:textId="77777777" w:rsidTr="002408A5">
        <w:trPr>
          <w:trHeight w:val="747"/>
        </w:trPr>
        <w:tc>
          <w:tcPr>
            <w:tcW w:w="2055" w:type="dxa"/>
            <w:vMerge/>
            <w:vAlign w:val="center"/>
          </w:tcPr>
          <w:p w14:paraId="06EA9D62"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71A46050"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7DFCE0C7" w14:textId="77777777" w:rsidTr="002408A5">
        <w:trPr>
          <w:trHeight w:val="748"/>
        </w:trPr>
        <w:tc>
          <w:tcPr>
            <w:tcW w:w="2055" w:type="dxa"/>
            <w:vMerge w:val="restart"/>
            <w:vAlign w:val="center"/>
          </w:tcPr>
          <w:p w14:paraId="59753BD1" w14:textId="45F8D939"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X.1607</w:t>
            </w:r>
            <w:r w:rsidR="002408A5">
              <w:rPr>
                <w:rFonts w:cs="Calibri"/>
                <w:b/>
                <w:bCs/>
                <w:sz w:val="22"/>
                <w:szCs w:val="22"/>
                <w:lang w:val="es-ES"/>
              </w:rPr>
              <w:br/>
            </w:r>
            <w:r w:rsidRPr="00E20C07">
              <w:rPr>
                <w:rFonts w:cs="Calibri"/>
                <w:b/>
                <w:bCs/>
                <w:sz w:val="22"/>
                <w:szCs w:val="22"/>
                <w:lang w:val="es-ES"/>
              </w:rPr>
              <w:t>(ex X.asm-cc)</w:t>
            </w:r>
          </w:p>
        </w:tc>
        <w:tc>
          <w:tcPr>
            <w:tcW w:w="7574" w:type="dxa"/>
            <w:vAlign w:val="center"/>
          </w:tcPr>
          <w:p w14:paraId="0184A808"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592EEBFC"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781FFB69"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15DDE367" w14:textId="77777777" w:rsidTr="002408A5">
        <w:trPr>
          <w:trHeight w:val="747"/>
        </w:trPr>
        <w:tc>
          <w:tcPr>
            <w:tcW w:w="2055" w:type="dxa"/>
            <w:vMerge/>
            <w:vAlign w:val="center"/>
          </w:tcPr>
          <w:p w14:paraId="69483963"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12CE77FD"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4FAB47D9" w14:textId="77777777" w:rsidTr="002408A5">
        <w:trPr>
          <w:trHeight w:val="748"/>
        </w:trPr>
        <w:tc>
          <w:tcPr>
            <w:tcW w:w="2055" w:type="dxa"/>
            <w:vMerge w:val="restart"/>
            <w:vAlign w:val="center"/>
          </w:tcPr>
          <w:p w14:paraId="7C69AC9F" w14:textId="77777777"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X.1418 (ex X.sg-dcs)</w:t>
            </w:r>
          </w:p>
        </w:tc>
        <w:tc>
          <w:tcPr>
            <w:tcW w:w="7574" w:type="dxa"/>
            <w:vAlign w:val="center"/>
          </w:tcPr>
          <w:p w14:paraId="7D105787"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76FADB56"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10BD77D8"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1BD37E9E" w14:textId="77777777" w:rsidTr="002408A5">
        <w:trPr>
          <w:trHeight w:val="747"/>
        </w:trPr>
        <w:tc>
          <w:tcPr>
            <w:tcW w:w="2055" w:type="dxa"/>
            <w:vMerge/>
            <w:vAlign w:val="center"/>
          </w:tcPr>
          <w:p w14:paraId="78F03A60"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32FC8051"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r w:rsidR="000E6971" w:rsidRPr="00246BB6" w14:paraId="6F8D9145" w14:textId="77777777" w:rsidTr="002408A5">
        <w:trPr>
          <w:trHeight w:val="748"/>
        </w:trPr>
        <w:tc>
          <w:tcPr>
            <w:tcW w:w="2055" w:type="dxa"/>
            <w:vMerge w:val="restart"/>
            <w:vAlign w:val="center"/>
          </w:tcPr>
          <w:p w14:paraId="1BAD290D" w14:textId="30700959" w:rsidR="000E6971" w:rsidRPr="00E20C07" w:rsidRDefault="000E6971" w:rsidP="006467E1">
            <w:pPr>
              <w:spacing w:before="60" w:after="60"/>
              <w:jc w:val="center"/>
              <w:rPr>
                <w:rFonts w:cs="Calibri"/>
                <w:b/>
                <w:bCs/>
                <w:sz w:val="22"/>
                <w:szCs w:val="22"/>
                <w:lang w:val="es-ES"/>
              </w:rPr>
            </w:pPr>
            <w:r w:rsidRPr="00E20C07">
              <w:rPr>
                <w:rFonts w:cs="Calibri"/>
                <w:b/>
                <w:bCs/>
                <w:sz w:val="22"/>
                <w:szCs w:val="22"/>
                <w:lang w:val="es-ES"/>
              </w:rPr>
              <w:t>Proyecto de nueva X.1417</w:t>
            </w:r>
            <w:r w:rsidR="002408A5">
              <w:rPr>
                <w:rFonts w:cs="Calibri"/>
                <w:b/>
                <w:bCs/>
                <w:sz w:val="22"/>
                <w:szCs w:val="22"/>
                <w:lang w:val="es-ES"/>
              </w:rPr>
              <w:br/>
            </w:r>
            <w:r w:rsidRPr="00E20C07">
              <w:rPr>
                <w:rFonts w:cs="Calibri"/>
                <w:b/>
                <w:bCs/>
                <w:sz w:val="22"/>
                <w:szCs w:val="22"/>
                <w:lang w:val="es-ES"/>
              </w:rPr>
              <w:t>(ex X.sr-dpts)</w:t>
            </w:r>
          </w:p>
        </w:tc>
        <w:tc>
          <w:tcPr>
            <w:tcW w:w="7574" w:type="dxa"/>
            <w:vAlign w:val="center"/>
          </w:tcPr>
          <w:p w14:paraId="5D0C8D4C" w14:textId="77777777" w:rsidR="000E6971" w:rsidRPr="00BB5AD2" w:rsidRDefault="000E6971" w:rsidP="006467E1">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45957194" w14:textId="77777777" w:rsidR="000E6971" w:rsidRPr="00BB5AD2" w:rsidRDefault="000E6971" w:rsidP="006467E1">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113313DC" w14:textId="77777777" w:rsidR="000E6971" w:rsidRPr="00E20C07" w:rsidRDefault="000E6971" w:rsidP="006467E1">
            <w:pPr>
              <w:tabs>
                <w:tab w:val="clear" w:pos="794"/>
                <w:tab w:val="clear" w:pos="1191"/>
                <w:tab w:val="clear" w:pos="1588"/>
                <w:tab w:val="clear" w:pos="1985"/>
              </w:tabs>
              <w:spacing w:before="60" w:after="60"/>
              <w:ind w:left="939" w:hanging="459"/>
              <w:rPr>
                <w:rFonts w:cs="Calibr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0E6971" w:rsidRPr="00246BB6" w14:paraId="5EECF46C" w14:textId="77777777" w:rsidTr="002408A5">
        <w:trPr>
          <w:trHeight w:val="747"/>
        </w:trPr>
        <w:tc>
          <w:tcPr>
            <w:tcW w:w="2055" w:type="dxa"/>
            <w:vMerge/>
            <w:vAlign w:val="center"/>
          </w:tcPr>
          <w:p w14:paraId="250B06AB" w14:textId="77777777" w:rsidR="000E6971" w:rsidRPr="00E20C07" w:rsidRDefault="000E6971" w:rsidP="006467E1">
            <w:pPr>
              <w:spacing w:before="60" w:after="60"/>
              <w:jc w:val="center"/>
              <w:rPr>
                <w:rFonts w:cs="Calibri"/>
                <w:b/>
                <w:bCs/>
                <w:sz w:val="22"/>
                <w:szCs w:val="22"/>
                <w:lang w:val="es-ES"/>
              </w:rPr>
            </w:pPr>
          </w:p>
        </w:tc>
        <w:tc>
          <w:tcPr>
            <w:tcW w:w="7574" w:type="dxa"/>
            <w:vAlign w:val="center"/>
          </w:tcPr>
          <w:p w14:paraId="330B98AD" w14:textId="77777777" w:rsidR="000E6971" w:rsidRPr="00E20C07" w:rsidRDefault="000E6971" w:rsidP="006467E1">
            <w:pPr>
              <w:tabs>
                <w:tab w:val="clear" w:pos="794"/>
                <w:tab w:val="clear" w:pos="1191"/>
                <w:tab w:val="clear" w:pos="1588"/>
                <w:tab w:val="clear" w:pos="1985"/>
                <w:tab w:val="left" w:pos="250"/>
              </w:tabs>
              <w:spacing w:before="60" w:after="60"/>
              <w:ind w:left="459" w:hanging="459"/>
              <w:rPr>
                <w:rFonts w:cs="Calibri"/>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bl>
    <w:p w14:paraId="4791CA0A" w14:textId="77777777" w:rsidR="000E6971" w:rsidRPr="00E20C07" w:rsidRDefault="000E6971" w:rsidP="002408A5">
      <w:pPr>
        <w:rPr>
          <w:rFonts w:cs="Calibri"/>
          <w:sz w:val="22"/>
          <w:szCs w:val="22"/>
          <w:lang w:val="es-ES"/>
        </w:rPr>
      </w:pPr>
      <w:r w:rsidRPr="00E20C07">
        <w:rPr>
          <w:rFonts w:cs="Calibri"/>
          <w:sz w:val="22"/>
          <w:szCs w:val="22"/>
          <w:lang w:val="es-ES"/>
        </w:rPr>
        <w:t>Atentamente,</w:t>
      </w:r>
    </w:p>
    <w:p w14:paraId="333C1246" w14:textId="77777777" w:rsidR="000E6971" w:rsidRPr="00E928B3" w:rsidRDefault="000E6971" w:rsidP="000E6971">
      <w:pPr>
        <w:widowControl w:val="0"/>
        <w:spacing w:before="1200"/>
        <w:rPr>
          <w:szCs w:val="24"/>
          <w:highlight w:val="green"/>
          <w:lang w:val="es-ES"/>
        </w:rPr>
      </w:pPr>
      <w:r w:rsidRPr="00E928B3">
        <w:rPr>
          <w:szCs w:val="24"/>
          <w:highlight w:val="green"/>
          <w:lang w:val="es-ES"/>
        </w:rPr>
        <w:t>[Nombre]</w:t>
      </w:r>
    </w:p>
    <w:p w14:paraId="2295D761" w14:textId="77777777" w:rsidR="000E6971" w:rsidRPr="00E928B3" w:rsidRDefault="000E6971" w:rsidP="000E6971">
      <w:pPr>
        <w:widowControl w:val="0"/>
        <w:rPr>
          <w:szCs w:val="24"/>
          <w:lang w:val="es-ES"/>
        </w:rPr>
      </w:pPr>
      <w:r w:rsidRPr="00E928B3">
        <w:rPr>
          <w:szCs w:val="24"/>
          <w:highlight w:val="green"/>
          <w:lang w:val="es-ES"/>
        </w:rPr>
        <w:t>[Cargo oficial/título]</w:t>
      </w:r>
    </w:p>
    <w:p w14:paraId="108703C5" w14:textId="0C02138C" w:rsidR="000E6971" w:rsidRDefault="000E6971" w:rsidP="000E6971">
      <w:pPr>
        <w:tabs>
          <w:tab w:val="clear" w:pos="794"/>
          <w:tab w:val="clear" w:pos="1191"/>
          <w:tab w:val="clear" w:pos="1588"/>
          <w:tab w:val="clear" w:pos="1985"/>
        </w:tabs>
        <w:overflowPunct/>
        <w:autoSpaceDE/>
        <w:autoSpaceDN/>
        <w:adjustRightInd/>
        <w:spacing w:before="0"/>
        <w:textAlignment w:val="auto"/>
        <w:rPr>
          <w:szCs w:val="24"/>
          <w:lang w:val="es-ES"/>
        </w:rPr>
      </w:pPr>
      <w:r w:rsidRPr="00E928B3">
        <w:rPr>
          <w:szCs w:val="24"/>
          <w:lang w:val="es-ES"/>
        </w:rPr>
        <w:t xml:space="preserve">Administración de </w:t>
      </w:r>
      <w:r w:rsidRPr="00E928B3">
        <w:rPr>
          <w:szCs w:val="24"/>
          <w:highlight w:val="green"/>
          <w:lang w:val="es-ES"/>
        </w:rPr>
        <w:t>[Estado Miembro]</w:t>
      </w:r>
    </w:p>
    <w:p w14:paraId="46B4976F" w14:textId="16E9F05C" w:rsidR="000E6971" w:rsidRPr="000E6971" w:rsidRDefault="000E6971" w:rsidP="000E6971">
      <w:pPr>
        <w:jc w:val="center"/>
      </w:pPr>
      <w:r>
        <w:t>______________</w:t>
      </w:r>
    </w:p>
    <w:sectPr w:rsidR="000E6971" w:rsidRPr="000E6971" w:rsidSect="00B87E9E">
      <w:headerReference w:type="default" r:id="rId27"/>
      <w:footerReference w:type="first" r:id="rId28"/>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70B0" w14:textId="77777777" w:rsidR="000E6971" w:rsidRDefault="000E6971">
      <w:r>
        <w:separator/>
      </w:r>
    </w:p>
  </w:endnote>
  <w:endnote w:type="continuationSeparator" w:id="0">
    <w:p w14:paraId="0FCED910" w14:textId="77777777" w:rsidR="000E6971" w:rsidRDefault="000E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AB6"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4B7F" w14:textId="77777777" w:rsidR="000E6971" w:rsidRDefault="000E6971">
      <w:r>
        <w:t>____________________</w:t>
      </w:r>
    </w:p>
  </w:footnote>
  <w:footnote w:type="continuationSeparator" w:id="0">
    <w:p w14:paraId="7C1F29D7" w14:textId="77777777" w:rsidR="000E6971" w:rsidRDefault="000E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ABBA" w14:textId="332628D8"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59F9BFC8" w14:textId="1CD499C1" w:rsidR="000E6971" w:rsidRPr="00303D62" w:rsidRDefault="000E6971" w:rsidP="000E6971">
    <w:pPr>
      <w:pStyle w:val="Header"/>
      <w:spacing w:after="120"/>
      <w:rPr>
        <w:sz w:val="18"/>
        <w:szCs w:val="18"/>
      </w:rPr>
    </w:pPr>
    <w:r>
      <w:rPr>
        <w:rStyle w:val="PageNumber"/>
        <w:sz w:val="18"/>
        <w:szCs w:val="18"/>
      </w:rPr>
      <w:t>Circular TSB 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B454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2E8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D89E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0098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1285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6AE9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4BF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9A8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7EAF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688C1604"/>
    <w:multiLevelType w:val="multilevel"/>
    <w:tmpl w:val="688C16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10"/>
  </w:num>
  <w:num w:numId="2" w16cid:durableId="1345282128">
    <w:abstractNumId w:val="14"/>
  </w:num>
  <w:num w:numId="3" w16cid:durableId="1069613404">
    <w:abstractNumId w:val="13"/>
  </w:num>
  <w:num w:numId="4" w16cid:durableId="374936234">
    <w:abstractNumId w:val="11"/>
  </w:num>
  <w:num w:numId="5" w16cid:durableId="1420322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8369884">
    <w:abstractNumId w:val="9"/>
  </w:num>
  <w:num w:numId="7" w16cid:durableId="1303388350">
    <w:abstractNumId w:val="7"/>
  </w:num>
  <w:num w:numId="8" w16cid:durableId="2558643">
    <w:abstractNumId w:val="6"/>
  </w:num>
  <w:num w:numId="9" w16cid:durableId="1628195405">
    <w:abstractNumId w:val="5"/>
  </w:num>
  <w:num w:numId="10" w16cid:durableId="175778058">
    <w:abstractNumId w:val="4"/>
  </w:num>
  <w:num w:numId="11" w16cid:durableId="197740598">
    <w:abstractNumId w:val="8"/>
  </w:num>
  <w:num w:numId="12" w16cid:durableId="1608732725">
    <w:abstractNumId w:val="3"/>
  </w:num>
  <w:num w:numId="13" w16cid:durableId="1686130139">
    <w:abstractNumId w:val="2"/>
  </w:num>
  <w:num w:numId="14" w16cid:durableId="583104139">
    <w:abstractNumId w:val="1"/>
  </w:num>
  <w:num w:numId="15" w16cid:durableId="184060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71"/>
    <w:rsid w:val="00002529"/>
    <w:rsid w:val="00085662"/>
    <w:rsid w:val="000C382F"/>
    <w:rsid w:val="000E6971"/>
    <w:rsid w:val="001173CC"/>
    <w:rsid w:val="001350B9"/>
    <w:rsid w:val="0014464D"/>
    <w:rsid w:val="001A54CC"/>
    <w:rsid w:val="002408A5"/>
    <w:rsid w:val="00257FB4"/>
    <w:rsid w:val="002846F3"/>
    <w:rsid w:val="002E496E"/>
    <w:rsid w:val="00303D62"/>
    <w:rsid w:val="00335367"/>
    <w:rsid w:val="00370C2D"/>
    <w:rsid w:val="003D1E8D"/>
    <w:rsid w:val="003D673B"/>
    <w:rsid w:val="003F2855"/>
    <w:rsid w:val="00401C20"/>
    <w:rsid w:val="004A7957"/>
    <w:rsid w:val="004C4144"/>
    <w:rsid w:val="0055719E"/>
    <w:rsid w:val="005C50BD"/>
    <w:rsid w:val="005F68A0"/>
    <w:rsid w:val="006969B4"/>
    <w:rsid w:val="006A06C5"/>
    <w:rsid w:val="006E4F7B"/>
    <w:rsid w:val="00781E2A"/>
    <w:rsid w:val="007933A2"/>
    <w:rsid w:val="007B6316"/>
    <w:rsid w:val="00814503"/>
    <w:rsid w:val="008258C2"/>
    <w:rsid w:val="008505BD"/>
    <w:rsid w:val="00850C78"/>
    <w:rsid w:val="00876165"/>
    <w:rsid w:val="00884D12"/>
    <w:rsid w:val="008C17AD"/>
    <w:rsid w:val="008D02CD"/>
    <w:rsid w:val="0091370C"/>
    <w:rsid w:val="0095172A"/>
    <w:rsid w:val="009A0BA0"/>
    <w:rsid w:val="009F12B9"/>
    <w:rsid w:val="00A54E47"/>
    <w:rsid w:val="00AB6E3A"/>
    <w:rsid w:val="00AE7093"/>
    <w:rsid w:val="00B422BC"/>
    <w:rsid w:val="00B43F77"/>
    <w:rsid w:val="00B55A3E"/>
    <w:rsid w:val="00B87E9E"/>
    <w:rsid w:val="00B95F0A"/>
    <w:rsid w:val="00B96180"/>
    <w:rsid w:val="00BD60E9"/>
    <w:rsid w:val="00C116FE"/>
    <w:rsid w:val="00C17AC0"/>
    <w:rsid w:val="00C34772"/>
    <w:rsid w:val="00C5465A"/>
    <w:rsid w:val="00D54642"/>
    <w:rsid w:val="00D834E7"/>
    <w:rsid w:val="00DD77C9"/>
    <w:rsid w:val="00DF3538"/>
    <w:rsid w:val="00E839B0"/>
    <w:rsid w:val="00E92C09"/>
    <w:rsid w:val="00F14380"/>
    <w:rsid w:val="00F6461F"/>
    <w:rsid w:val="00FC416A"/>
    <w:rsid w:val="00FC4B20"/>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1140A"/>
  <w15:docId w15:val="{A6828585-8AE8-4DC3-81E2-9ED33E1B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0E6971"/>
    <w:rPr>
      <w:color w:val="605E5C"/>
      <w:shd w:val="clear" w:color="auto" w:fill="E1DFDD"/>
    </w:rPr>
  </w:style>
  <w:style w:type="paragraph" w:customStyle="1" w:styleId="Annextitle0">
    <w:name w:val="Annex_title"/>
    <w:basedOn w:val="Normal"/>
    <w:next w:val="Normal"/>
    <w:rsid w:val="000E6971"/>
    <w:pPr>
      <w:keepNext/>
      <w:keepLines/>
      <w:spacing w:before="240" w:after="280"/>
      <w:jc w:val="center"/>
    </w:pPr>
    <w:rPr>
      <w:rFonts w:ascii="Calibri" w:eastAsiaTheme="minorEastAsia" w:hAnsi="Calibri"/>
      <w:b/>
      <w:sz w:val="28"/>
      <w:lang w:val="en-GB" w:eastAsia="en-GB"/>
    </w:rPr>
  </w:style>
  <w:style w:type="paragraph" w:styleId="NormalWeb">
    <w:name w:val="Normal (Web)"/>
    <w:basedOn w:val="Normal"/>
    <w:uiPriority w:val="99"/>
    <w:unhideWhenUsed/>
    <w:qFormat/>
    <w:rsid w:val="000E6971"/>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Cs w:val="24"/>
      <w:lang w:val="en-GB" w:eastAsia="ja-JP"/>
    </w:rPr>
  </w:style>
  <w:style w:type="paragraph" w:customStyle="1" w:styleId="Reasons">
    <w:name w:val="Reasons"/>
    <w:basedOn w:val="Normal"/>
    <w:qFormat/>
    <w:rsid w:val="000E6971"/>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itu.int/md/T25-SG17-R-0029" TargetMode="External"/><Relationship Id="rId26" Type="http://schemas.openxmlformats.org/officeDocument/2006/relationships/hyperlink" Target="https://www.itu.int/md/meetingdoc.asp?lang=en&amp;parent=T25-TSB-CIR&amp;destination=SG17" TargetMode="External"/><Relationship Id="rId3" Type="http://schemas.openxmlformats.org/officeDocument/2006/relationships/styles" Target="styles.xml"/><Relationship Id="rId21" Type="http://schemas.openxmlformats.org/officeDocument/2006/relationships/hyperlink" Target="http://www.itu.int/md/T25-SG17-R-0032" TargetMode="External"/><Relationship Id="rId7" Type="http://schemas.openxmlformats.org/officeDocument/2006/relationships/endnotes" Target="endnotes.xml"/><Relationship Id="rId12" Type="http://schemas.openxmlformats.org/officeDocument/2006/relationships/hyperlink" Target="http://www.itu.int/ipr/" TargetMode="External"/><Relationship Id="rId17" Type="http://schemas.openxmlformats.org/officeDocument/2006/relationships/hyperlink" Target="http://www.itu.int/md/T25-SG17-R-0028" TargetMode="External"/><Relationship Id="rId25" Type="http://schemas.openxmlformats.org/officeDocument/2006/relationships/hyperlink" Target="mailto:tsbdir@itu.int" TargetMode="External"/><Relationship Id="rId2" Type="http://schemas.openxmlformats.org/officeDocument/2006/relationships/numbering" Target="numbering.xml"/><Relationship Id="rId16" Type="http://schemas.openxmlformats.org/officeDocument/2006/relationships/hyperlink" Target="http://www.itu.int/md/T25-SG17-R-0027" TargetMode="External"/><Relationship Id="rId20" Type="http://schemas.openxmlformats.org/officeDocument/2006/relationships/hyperlink" Target="http://www.itu.int/md/T25-SG17-R-003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8/es" TargetMode="External"/><Relationship Id="rId24" Type="http://schemas.openxmlformats.org/officeDocument/2006/relationships/hyperlink" Target="http://www.itu.int/md/T25-SG17-R-0035" TargetMode="External"/><Relationship Id="rId5" Type="http://schemas.openxmlformats.org/officeDocument/2006/relationships/webSettings" Target="webSettings.xml"/><Relationship Id="rId15" Type="http://schemas.openxmlformats.org/officeDocument/2006/relationships/hyperlink" Target="http://www.itu.int/md/T25-SG17-R-0026" TargetMode="External"/><Relationship Id="rId23" Type="http://schemas.openxmlformats.org/officeDocument/2006/relationships/hyperlink" Target="http://www.itu.int/md/T25-SG17-R-0034" TargetMode="External"/><Relationship Id="rId28" Type="http://schemas.openxmlformats.org/officeDocument/2006/relationships/footer" Target="footer1.xml"/><Relationship Id="rId10" Type="http://schemas.openxmlformats.org/officeDocument/2006/relationships/hyperlink" Target="https://www.itu.int/dms_pub/itu-t/opb/res/T-RES-T.1-2022-PDF-E.pdf" TargetMode="External"/><Relationship Id="rId19" Type="http://schemas.openxmlformats.org/officeDocument/2006/relationships/hyperlink" Target="http://www.itu.int/md/T25-SG17-R-0030"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www.itu.int/md/T25-SG17-R-0025" TargetMode="External"/><Relationship Id="rId22" Type="http://schemas.openxmlformats.org/officeDocument/2006/relationships/hyperlink" Target="http://www.itu.int/md/T25-SG17-R-0033"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213</TotalTime>
  <Pages>11</Pages>
  <Words>4308</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30094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8</cp:revision>
  <cp:lastPrinted>2026-03-11T08:13:00Z</cp:lastPrinted>
  <dcterms:created xsi:type="dcterms:W3CDTF">2026-02-25T10:32:00Z</dcterms:created>
  <dcterms:modified xsi:type="dcterms:W3CDTF">2026-03-11T08:13:00Z</dcterms:modified>
</cp:coreProperties>
</file>