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886"/>
        <w:tblW w:w="9817" w:type="dxa"/>
        <w:tblLayout w:type="fixed"/>
        <w:tblLook w:val="0000" w:firstRow="0" w:lastRow="0" w:firstColumn="0" w:lastColumn="0" w:noHBand="0" w:noVBand="0"/>
      </w:tblPr>
      <w:tblGrid>
        <w:gridCol w:w="1418"/>
        <w:gridCol w:w="3260"/>
        <w:gridCol w:w="3149"/>
        <w:gridCol w:w="1984"/>
        <w:gridCol w:w="6"/>
      </w:tblGrid>
      <w:tr w:rsidR="00FA46A0" w:rsidRPr="00C53C88" w14:paraId="493727AE" w14:textId="77777777" w:rsidTr="0035753F">
        <w:trPr>
          <w:gridAfter w:val="1"/>
          <w:wAfter w:w="6" w:type="dxa"/>
          <w:trHeight w:val="1282"/>
        </w:trPr>
        <w:tc>
          <w:tcPr>
            <w:tcW w:w="1418" w:type="dxa"/>
            <w:tcMar>
              <w:left w:w="0" w:type="dxa"/>
              <w:right w:w="0" w:type="dxa"/>
            </w:tcMar>
            <w:vAlign w:val="center"/>
          </w:tcPr>
          <w:p w14:paraId="34BA4822" w14:textId="77777777" w:rsidR="00FA46A0" w:rsidRPr="0080257B" w:rsidRDefault="009747C5" w:rsidP="0035753F">
            <w:pPr>
              <w:pStyle w:val="Tabletext"/>
              <w:jc w:val="center"/>
              <w:rPr>
                <w:lang w:val="ru-RU"/>
              </w:rPr>
            </w:pPr>
            <w:r w:rsidRPr="0080257B">
              <w:rPr>
                <w:noProof/>
                <w:lang w:val="ru-RU" w:eastAsia="zh-CN"/>
              </w:rPr>
              <w:drawing>
                <wp:inline distT="0" distB="0" distL="0" distR="0" wp14:anchorId="69A32A76" wp14:editId="33A0D3A0">
                  <wp:extent cx="808355" cy="80835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F437C\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noFill/>
                          </a:ln>
                        </pic:spPr>
                      </pic:pic>
                    </a:graphicData>
                  </a:graphic>
                </wp:inline>
              </w:drawing>
            </w:r>
          </w:p>
        </w:tc>
        <w:tc>
          <w:tcPr>
            <w:tcW w:w="6409" w:type="dxa"/>
            <w:gridSpan w:val="2"/>
            <w:tcMar>
              <w:left w:w="142" w:type="dxa"/>
            </w:tcMar>
            <w:vAlign w:val="center"/>
          </w:tcPr>
          <w:p w14:paraId="696DFD0B" w14:textId="77777777" w:rsidR="00FA46A0" w:rsidRPr="0080257B" w:rsidRDefault="00B61012" w:rsidP="0035753F">
            <w:pPr>
              <w:spacing w:before="0"/>
              <w:rPr>
                <w:rFonts w:cs="Times New Roman Bold"/>
                <w:b/>
                <w:bCs/>
                <w:smallCaps/>
                <w:sz w:val="26"/>
                <w:szCs w:val="26"/>
                <w:lang w:val="ru-RU"/>
              </w:rPr>
            </w:pPr>
            <w:r w:rsidRPr="0080257B">
              <w:rPr>
                <w:b/>
                <w:bCs/>
                <w:smallCaps/>
                <w:sz w:val="32"/>
                <w:szCs w:val="32"/>
                <w:lang w:val="ru-RU"/>
              </w:rPr>
              <w:t>Международный союз электросвязи</w:t>
            </w:r>
          </w:p>
          <w:p w14:paraId="3B916DC8" w14:textId="77777777" w:rsidR="00FA46A0" w:rsidRPr="0080257B" w:rsidRDefault="00B61012" w:rsidP="0035753F">
            <w:pPr>
              <w:spacing w:before="0"/>
              <w:rPr>
                <w:rFonts w:ascii="Verdana" w:hAnsi="Verdana"/>
                <w:b/>
                <w:bCs/>
                <w:smallCaps/>
                <w:color w:val="FFFFFF"/>
                <w:sz w:val="26"/>
                <w:szCs w:val="26"/>
                <w:lang w:val="ru-RU"/>
              </w:rPr>
            </w:pPr>
            <w:r w:rsidRPr="0080257B">
              <w:rPr>
                <w:b/>
                <w:bCs/>
                <w:smallCaps/>
                <w:sz w:val="26"/>
                <w:szCs w:val="26"/>
                <w:lang w:val="ru-RU"/>
              </w:rPr>
              <w:t>Бюро стандартизации электросвязи</w:t>
            </w:r>
          </w:p>
        </w:tc>
        <w:tc>
          <w:tcPr>
            <w:tcW w:w="1984" w:type="dxa"/>
            <w:vAlign w:val="center"/>
          </w:tcPr>
          <w:p w14:paraId="552D62E1" w14:textId="77777777" w:rsidR="00FA46A0" w:rsidRPr="0080257B" w:rsidRDefault="00FA46A0" w:rsidP="0035753F">
            <w:pPr>
              <w:spacing w:before="0"/>
              <w:jc w:val="right"/>
              <w:rPr>
                <w:rFonts w:ascii="Verdana" w:hAnsi="Verdana"/>
                <w:color w:val="FFFFFF"/>
                <w:sz w:val="26"/>
                <w:szCs w:val="26"/>
                <w:lang w:val="ru-RU"/>
              </w:rPr>
            </w:pPr>
          </w:p>
        </w:tc>
      </w:tr>
      <w:tr w:rsidR="00FA46A0" w:rsidRPr="0080257B" w14:paraId="0DC86AF3" w14:textId="77777777" w:rsidTr="0035753F">
        <w:trPr>
          <w:gridAfter w:val="1"/>
          <w:wAfter w:w="6" w:type="dxa"/>
          <w:cantSplit/>
          <w:trHeight w:val="73"/>
        </w:trPr>
        <w:tc>
          <w:tcPr>
            <w:tcW w:w="4678" w:type="dxa"/>
            <w:gridSpan w:val="2"/>
            <w:vAlign w:val="center"/>
          </w:tcPr>
          <w:p w14:paraId="63FA2529" w14:textId="77777777" w:rsidR="00FA46A0" w:rsidRPr="0080257B" w:rsidRDefault="00FA46A0" w:rsidP="0035753F">
            <w:pPr>
              <w:pStyle w:val="Tabletext"/>
              <w:spacing w:before="240" w:after="240"/>
              <w:jc w:val="right"/>
              <w:rPr>
                <w:szCs w:val="22"/>
                <w:lang w:val="ru-RU"/>
              </w:rPr>
            </w:pPr>
          </w:p>
        </w:tc>
        <w:tc>
          <w:tcPr>
            <w:tcW w:w="5133" w:type="dxa"/>
            <w:gridSpan w:val="2"/>
            <w:vAlign w:val="center"/>
          </w:tcPr>
          <w:p w14:paraId="0E7085C4" w14:textId="58473669" w:rsidR="00FA46A0" w:rsidRPr="0080257B" w:rsidRDefault="00DF3447" w:rsidP="00C53C88">
            <w:pPr>
              <w:pStyle w:val="Tabletext"/>
              <w:spacing w:before="120" w:after="120"/>
              <w:rPr>
                <w:szCs w:val="22"/>
                <w:lang w:val="ru-RU"/>
              </w:rPr>
            </w:pPr>
            <w:r w:rsidRPr="0080257B">
              <w:rPr>
                <w:lang w:val="ru-RU"/>
              </w:rPr>
              <w:t xml:space="preserve">Женева, </w:t>
            </w:r>
            <w:r w:rsidR="005D5802" w:rsidRPr="0080257B">
              <w:rPr>
                <w:color w:val="000000"/>
                <w:lang w:val="ru-RU"/>
              </w:rPr>
              <w:t>1</w:t>
            </w:r>
            <w:r w:rsidR="00A97A01">
              <w:rPr>
                <w:color w:val="000000"/>
                <w:lang w:val="ru-RU"/>
              </w:rPr>
              <w:t>3</w:t>
            </w:r>
            <w:r w:rsidR="005D5802" w:rsidRPr="0080257B">
              <w:rPr>
                <w:color w:val="000000"/>
                <w:lang w:val="ru-RU"/>
              </w:rPr>
              <w:t xml:space="preserve"> </w:t>
            </w:r>
            <w:r w:rsidR="00A97A01">
              <w:rPr>
                <w:color w:val="000000"/>
                <w:lang w:val="ru-RU"/>
              </w:rPr>
              <w:t xml:space="preserve">февраля </w:t>
            </w:r>
            <w:r w:rsidR="00D1428E" w:rsidRPr="0080257B">
              <w:rPr>
                <w:color w:val="000000"/>
                <w:lang w:val="ru-RU"/>
              </w:rPr>
              <w:t>202</w:t>
            </w:r>
            <w:r w:rsidR="005D5802" w:rsidRPr="0080257B">
              <w:rPr>
                <w:color w:val="000000"/>
                <w:lang w:val="ru-RU"/>
              </w:rPr>
              <w:t>6</w:t>
            </w:r>
            <w:r w:rsidR="00D1428E" w:rsidRPr="0080257B">
              <w:rPr>
                <w:color w:val="000000"/>
                <w:lang w:val="ru-RU"/>
              </w:rPr>
              <w:t xml:space="preserve"> года</w:t>
            </w:r>
          </w:p>
        </w:tc>
      </w:tr>
      <w:tr w:rsidR="00B84746" w:rsidRPr="00C53C88" w14:paraId="21DD573F" w14:textId="77777777" w:rsidTr="0035753F">
        <w:trPr>
          <w:cantSplit/>
          <w:trHeight w:val="306"/>
        </w:trPr>
        <w:tc>
          <w:tcPr>
            <w:tcW w:w="1418" w:type="dxa"/>
          </w:tcPr>
          <w:p w14:paraId="5CBBAF56" w14:textId="77777777" w:rsidR="00B84746" w:rsidRPr="0080257B" w:rsidRDefault="00B84746" w:rsidP="0035753F">
            <w:pPr>
              <w:pStyle w:val="Tabletext"/>
              <w:rPr>
                <w:szCs w:val="22"/>
                <w:lang w:val="ru-RU"/>
              </w:rPr>
            </w:pPr>
            <w:r w:rsidRPr="0080257B">
              <w:rPr>
                <w:b/>
                <w:bCs/>
                <w:szCs w:val="22"/>
                <w:lang w:val="ru-RU"/>
              </w:rPr>
              <w:t>Осн</w:t>
            </w:r>
            <w:r w:rsidRPr="0080257B">
              <w:rPr>
                <w:szCs w:val="22"/>
                <w:lang w:val="ru-RU"/>
              </w:rPr>
              <w:t>.:</w:t>
            </w:r>
          </w:p>
        </w:tc>
        <w:tc>
          <w:tcPr>
            <w:tcW w:w="3260" w:type="dxa"/>
          </w:tcPr>
          <w:p w14:paraId="274265E3" w14:textId="7DF9F7C8" w:rsidR="00B84746" w:rsidRPr="0080257B" w:rsidRDefault="00B84746" w:rsidP="0035753F">
            <w:pPr>
              <w:pStyle w:val="Tabletext"/>
              <w:rPr>
                <w:b/>
                <w:bCs/>
                <w:szCs w:val="22"/>
                <w:lang w:val="ru-RU"/>
              </w:rPr>
            </w:pPr>
            <w:r w:rsidRPr="0080257B">
              <w:rPr>
                <w:b/>
                <w:bCs/>
                <w:szCs w:val="22"/>
                <w:lang w:val="ru-RU"/>
              </w:rPr>
              <w:t xml:space="preserve">Циркуляр </w:t>
            </w:r>
            <w:r w:rsidR="005D5802" w:rsidRPr="0080257B">
              <w:rPr>
                <w:b/>
                <w:bCs/>
                <w:szCs w:val="22"/>
                <w:lang w:val="ru-RU"/>
              </w:rPr>
              <w:t>10</w:t>
            </w:r>
            <w:r w:rsidR="004F696B">
              <w:rPr>
                <w:b/>
                <w:bCs/>
                <w:szCs w:val="22"/>
                <w:lang w:val="ru-RU"/>
              </w:rPr>
              <w:t>4</w:t>
            </w:r>
            <w:r w:rsidRPr="0080257B">
              <w:rPr>
                <w:b/>
                <w:bCs/>
                <w:szCs w:val="22"/>
                <w:lang w:val="ru-RU"/>
              </w:rPr>
              <w:t xml:space="preserve"> БСЭ</w:t>
            </w:r>
            <w:r w:rsidRPr="0080257B">
              <w:rPr>
                <w:b/>
                <w:bCs/>
                <w:szCs w:val="22"/>
                <w:lang w:val="ru-RU"/>
              </w:rPr>
              <w:br/>
            </w:r>
            <w:r w:rsidR="004F696B">
              <w:rPr>
                <w:rFonts w:cs="Calibri"/>
                <w:color w:val="000000"/>
                <w:szCs w:val="22"/>
              </w:rPr>
              <w:t>SG17/XY</w:t>
            </w:r>
          </w:p>
        </w:tc>
        <w:tc>
          <w:tcPr>
            <w:tcW w:w="5139" w:type="dxa"/>
            <w:gridSpan w:val="3"/>
            <w:vMerge w:val="restart"/>
          </w:tcPr>
          <w:p w14:paraId="04E7EB04" w14:textId="73F39979" w:rsidR="00B84746" w:rsidRPr="0080257B" w:rsidRDefault="00B84746" w:rsidP="0035753F">
            <w:pPr>
              <w:tabs>
                <w:tab w:val="clear" w:pos="794"/>
                <w:tab w:val="clear" w:pos="1191"/>
                <w:tab w:val="clear" w:pos="1588"/>
                <w:tab w:val="clear" w:pos="1985"/>
                <w:tab w:val="left" w:pos="284"/>
              </w:tabs>
              <w:overflowPunct/>
              <w:autoSpaceDE/>
              <w:autoSpaceDN/>
              <w:adjustRightInd/>
              <w:spacing w:before="40" w:after="40"/>
              <w:ind w:left="284" w:hanging="284"/>
              <w:textAlignment w:val="auto"/>
              <w:rPr>
                <w:szCs w:val="22"/>
                <w:lang w:val="ru-RU"/>
              </w:rPr>
            </w:pPr>
            <w:r w:rsidRPr="0080257B">
              <w:rPr>
                <w:b/>
                <w:bCs/>
                <w:szCs w:val="22"/>
                <w:lang w:val="ru-RU"/>
              </w:rPr>
              <w:t>Кому</w:t>
            </w:r>
            <w:r w:rsidRPr="0080257B">
              <w:rPr>
                <w:szCs w:val="22"/>
                <w:lang w:val="ru-RU"/>
              </w:rPr>
              <w:t>:</w:t>
            </w:r>
          </w:p>
          <w:p w14:paraId="1A727018" w14:textId="35BD67D9" w:rsidR="00B84746" w:rsidRPr="0080257B" w:rsidRDefault="00D1428E" w:rsidP="0035753F">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rPr>
                <w:szCs w:val="22"/>
                <w:lang w:val="ru-RU"/>
              </w:rPr>
            </w:pPr>
            <w:r w:rsidRPr="0080257B">
              <w:rPr>
                <w:rFonts w:cs="Calibri"/>
                <w:szCs w:val="22"/>
                <w:lang w:val="ru-RU"/>
              </w:rPr>
              <w:t>−</w:t>
            </w:r>
            <w:r w:rsidR="00B84746" w:rsidRPr="0080257B">
              <w:rPr>
                <w:szCs w:val="22"/>
                <w:lang w:val="ru-RU"/>
              </w:rPr>
              <w:tab/>
              <w:t>Администрациям Государств – Членов Союза</w:t>
            </w:r>
          </w:p>
          <w:p w14:paraId="0A1BE36B" w14:textId="6D71BD88" w:rsidR="006418A3" w:rsidRPr="0080257B" w:rsidRDefault="006418A3" w:rsidP="0035753F">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rPr>
                <w:szCs w:val="22"/>
                <w:lang w:val="ru-RU"/>
              </w:rPr>
            </w:pPr>
            <w:r w:rsidRPr="0080257B">
              <w:rPr>
                <w:rFonts w:cs="Calibri"/>
                <w:szCs w:val="22"/>
                <w:lang w:val="ru-RU"/>
              </w:rPr>
              <w:t>−</w:t>
            </w:r>
            <w:r w:rsidRPr="0080257B">
              <w:rPr>
                <w:szCs w:val="22"/>
                <w:lang w:val="ru-RU"/>
              </w:rPr>
              <w:tab/>
              <w:t>Государству Палестина (Рез. 99 (Пересм. Дубай, 2018 г.))</w:t>
            </w:r>
          </w:p>
          <w:p w14:paraId="30EFCD1F" w14:textId="77777777" w:rsidR="00E30580" w:rsidRPr="0080257B" w:rsidRDefault="00E30580" w:rsidP="0035753F">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rPr>
                <w:szCs w:val="22"/>
                <w:lang w:val="ru-RU"/>
              </w:rPr>
            </w:pPr>
            <w:r w:rsidRPr="0080257B">
              <w:rPr>
                <w:b/>
                <w:bCs/>
                <w:szCs w:val="22"/>
                <w:lang w:val="ru-RU"/>
              </w:rPr>
              <w:t>Копии</w:t>
            </w:r>
            <w:r w:rsidRPr="0080257B">
              <w:rPr>
                <w:szCs w:val="22"/>
                <w:lang w:val="ru-RU"/>
              </w:rPr>
              <w:t>:</w:t>
            </w:r>
          </w:p>
          <w:p w14:paraId="081F1570" w14:textId="335E27E8" w:rsidR="00B84746" w:rsidRPr="0080257B" w:rsidRDefault="00D1428E" w:rsidP="0035753F">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rPr>
                <w:b/>
                <w:bCs/>
                <w:szCs w:val="22"/>
                <w:lang w:val="ru-RU"/>
              </w:rPr>
            </w:pPr>
            <w:r w:rsidRPr="0080257B">
              <w:rPr>
                <w:rFonts w:cs="Calibri"/>
                <w:szCs w:val="22"/>
                <w:lang w:val="ru-RU"/>
              </w:rPr>
              <w:t>−</w:t>
            </w:r>
            <w:r w:rsidR="00B84746" w:rsidRPr="0080257B">
              <w:rPr>
                <w:szCs w:val="22"/>
                <w:lang w:val="ru-RU"/>
              </w:rPr>
              <w:tab/>
              <w:t>Членам Сектора МСЭ-Т</w:t>
            </w:r>
          </w:p>
          <w:p w14:paraId="121DBC0C" w14:textId="082B6A5C" w:rsidR="00B84746" w:rsidRPr="0080257B" w:rsidRDefault="00D1428E" w:rsidP="0035753F">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rPr>
                <w:szCs w:val="22"/>
                <w:lang w:val="ru-RU"/>
              </w:rPr>
            </w:pPr>
            <w:r w:rsidRPr="0080257B">
              <w:rPr>
                <w:rFonts w:cs="Calibri"/>
                <w:szCs w:val="22"/>
                <w:lang w:val="ru-RU"/>
              </w:rPr>
              <w:t>−</w:t>
            </w:r>
            <w:r w:rsidR="00B84746" w:rsidRPr="0080257B">
              <w:rPr>
                <w:szCs w:val="22"/>
                <w:lang w:val="ru-RU"/>
              </w:rPr>
              <w:tab/>
              <w:t>Ассоциированным членам МСЭ-Т</w:t>
            </w:r>
            <w:r w:rsidR="00F12D97" w:rsidRPr="0080257B">
              <w:rPr>
                <w:szCs w:val="22"/>
                <w:lang w:val="ru-RU"/>
              </w:rPr>
              <w:t xml:space="preserve">, </w:t>
            </w:r>
            <w:r w:rsidR="00F12D97" w:rsidRPr="0080257B">
              <w:rPr>
                <w:lang w:val="ru-RU"/>
              </w:rPr>
              <w:t xml:space="preserve">участвующим в работе </w:t>
            </w:r>
            <w:r w:rsidR="004F696B">
              <w:rPr>
                <w:lang w:val="ru-RU"/>
              </w:rPr>
              <w:t>17</w:t>
            </w:r>
            <w:r w:rsidR="00F12D97" w:rsidRPr="0080257B">
              <w:rPr>
                <w:lang w:val="ru-RU"/>
              </w:rPr>
              <w:noBreakHyphen/>
              <w:t>й Исследовательской комиссии</w:t>
            </w:r>
          </w:p>
          <w:p w14:paraId="16ECAE56" w14:textId="7720B8B9" w:rsidR="00B84746" w:rsidRPr="0080257B" w:rsidRDefault="00D1428E" w:rsidP="0035753F">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rPr>
                <w:szCs w:val="22"/>
                <w:lang w:val="ru-RU"/>
              </w:rPr>
            </w:pPr>
            <w:r w:rsidRPr="0080257B">
              <w:rPr>
                <w:rFonts w:cs="Calibri"/>
                <w:szCs w:val="22"/>
                <w:lang w:val="ru-RU"/>
              </w:rPr>
              <w:t>−</w:t>
            </w:r>
            <w:r w:rsidR="00B84746" w:rsidRPr="0080257B">
              <w:rPr>
                <w:szCs w:val="22"/>
                <w:lang w:val="ru-RU"/>
              </w:rPr>
              <w:tab/>
              <w:t>Академическим организациям − Членам МСЭ</w:t>
            </w:r>
          </w:p>
          <w:p w14:paraId="42C0D163" w14:textId="7BB6A2DD" w:rsidR="00B84746" w:rsidRPr="0080257B" w:rsidRDefault="00D1428E" w:rsidP="0035753F">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rPr>
                <w:szCs w:val="22"/>
                <w:lang w:val="ru-RU"/>
              </w:rPr>
            </w:pPr>
            <w:r w:rsidRPr="0080257B">
              <w:rPr>
                <w:rFonts w:cs="Calibri"/>
                <w:szCs w:val="22"/>
                <w:lang w:val="ru-RU"/>
              </w:rPr>
              <w:t>−</w:t>
            </w:r>
            <w:r w:rsidR="00B84746" w:rsidRPr="0080257B">
              <w:rPr>
                <w:szCs w:val="22"/>
                <w:lang w:val="ru-RU"/>
              </w:rPr>
              <w:tab/>
            </w:r>
            <w:r w:rsidR="00F12D97" w:rsidRPr="0080257B">
              <w:rPr>
                <w:lang w:val="ru-RU"/>
              </w:rPr>
              <w:t xml:space="preserve">Председателю и заместителям </w:t>
            </w:r>
            <w:r w:rsidR="00F26A42" w:rsidRPr="0080257B">
              <w:rPr>
                <w:lang w:val="ru-RU"/>
              </w:rPr>
              <w:t xml:space="preserve">Председателя </w:t>
            </w:r>
            <w:r w:rsidR="00EA6345" w:rsidRPr="0080257B">
              <w:rPr>
                <w:lang w:val="ru-RU"/>
              </w:rPr>
              <w:br/>
            </w:r>
            <w:r w:rsidR="004F696B">
              <w:rPr>
                <w:lang w:val="ru-RU"/>
              </w:rPr>
              <w:t>17</w:t>
            </w:r>
            <w:r w:rsidR="00F12D97" w:rsidRPr="0080257B">
              <w:rPr>
                <w:lang w:val="ru-RU"/>
              </w:rPr>
              <w:noBreakHyphen/>
              <w:t>й Исследовательской комиссии МСЭ-Т</w:t>
            </w:r>
          </w:p>
          <w:p w14:paraId="7A2D983B" w14:textId="6F36B6CA" w:rsidR="00B84746" w:rsidRPr="0080257B" w:rsidRDefault="00D1428E" w:rsidP="0035753F">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rPr>
                <w:szCs w:val="22"/>
                <w:lang w:val="ru-RU"/>
              </w:rPr>
            </w:pPr>
            <w:r w:rsidRPr="0080257B">
              <w:rPr>
                <w:rFonts w:cs="Calibri"/>
                <w:szCs w:val="22"/>
                <w:lang w:val="ru-RU"/>
              </w:rPr>
              <w:t>−</w:t>
            </w:r>
            <w:r w:rsidR="00B84746" w:rsidRPr="0080257B">
              <w:rPr>
                <w:szCs w:val="22"/>
                <w:lang w:val="ru-RU"/>
              </w:rPr>
              <w:tab/>
              <w:t>Директору Бюро развития электросвязи</w:t>
            </w:r>
          </w:p>
          <w:p w14:paraId="78139238" w14:textId="62DFEC1B" w:rsidR="00ED2F1E" w:rsidRPr="0080257B" w:rsidRDefault="00D1428E" w:rsidP="0035753F">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120"/>
              <w:ind w:left="284" w:hanging="284"/>
              <w:rPr>
                <w:szCs w:val="22"/>
                <w:lang w:val="ru-RU"/>
              </w:rPr>
            </w:pPr>
            <w:r w:rsidRPr="0080257B">
              <w:rPr>
                <w:rFonts w:cs="Calibri"/>
                <w:szCs w:val="22"/>
                <w:lang w:val="ru-RU"/>
              </w:rPr>
              <w:t>−</w:t>
            </w:r>
            <w:r w:rsidR="00B84746" w:rsidRPr="0080257B">
              <w:rPr>
                <w:szCs w:val="22"/>
                <w:lang w:val="ru-RU"/>
              </w:rPr>
              <w:tab/>
              <w:t>Директору Бюро радиосвязи</w:t>
            </w:r>
          </w:p>
        </w:tc>
      </w:tr>
      <w:tr w:rsidR="00F5182A" w:rsidRPr="0080257B" w14:paraId="59643F58" w14:textId="77777777" w:rsidTr="0035753F">
        <w:trPr>
          <w:cantSplit/>
          <w:trHeight w:val="70"/>
        </w:trPr>
        <w:tc>
          <w:tcPr>
            <w:tcW w:w="1418" w:type="dxa"/>
          </w:tcPr>
          <w:p w14:paraId="0F76D4B7" w14:textId="1F5DB193" w:rsidR="00F5182A" w:rsidRPr="00C53C88" w:rsidRDefault="00F5182A" w:rsidP="0035753F">
            <w:pPr>
              <w:pStyle w:val="Tabletext"/>
              <w:rPr>
                <w:szCs w:val="22"/>
                <w:lang w:val="ru-RU"/>
              </w:rPr>
            </w:pPr>
            <w:r w:rsidRPr="00C53C88">
              <w:rPr>
                <w:szCs w:val="22"/>
                <w:lang w:val="ru-RU"/>
              </w:rPr>
              <w:t>Тел</w:t>
            </w:r>
            <w:r w:rsidR="00832E53" w:rsidRPr="00C53C88">
              <w:rPr>
                <w:szCs w:val="22"/>
                <w:lang w:val="ru-RU"/>
              </w:rPr>
              <w:t>.</w:t>
            </w:r>
            <w:r w:rsidRPr="00C53C88">
              <w:rPr>
                <w:szCs w:val="22"/>
                <w:lang w:val="ru-RU"/>
              </w:rPr>
              <w:t>:</w:t>
            </w:r>
          </w:p>
        </w:tc>
        <w:tc>
          <w:tcPr>
            <w:tcW w:w="3260" w:type="dxa"/>
          </w:tcPr>
          <w:p w14:paraId="5CCB23E1" w14:textId="7E9D6C87" w:rsidR="00F5182A" w:rsidRPr="0080257B" w:rsidRDefault="00B9071B" w:rsidP="0035753F">
            <w:pPr>
              <w:pStyle w:val="Tabletext"/>
              <w:rPr>
                <w:b/>
                <w:szCs w:val="22"/>
                <w:lang w:val="ru-RU"/>
              </w:rPr>
            </w:pPr>
            <w:r w:rsidRPr="0080257B">
              <w:rPr>
                <w:szCs w:val="22"/>
                <w:lang w:val="ru-RU"/>
              </w:rPr>
              <w:t xml:space="preserve">+41 22 730 </w:t>
            </w:r>
            <w:r w:rsidR="004F696B">
              <w:rPr>
                <w:rFonts w:cs="Calibri"/>
                <w:color w:val="000000"/>
                <w:szCs w:val="22"/>
              </w:rPr>
              <w:t>6206</w:t>
            </w:r>
          </w:p>
        </w:tc>
        <w:tc>
          <w:tcPr>
            <w:tcW w:w="5139" w:type="dxa"/>
            <w:gridSpan w:val="3"/>
            <w:vMerge/>
          </w:tcPr>
          <w:p w14:paraId="782C5FCD" w14:textId="77777777" w:rsidR="00F5182A" w:rsidRPr="0080257B" w:rsidRDefault="00F5182A" w:rsidP="0035753F">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rPr>
                <w:szCs w:val="22"/>
                <w:lang w:val="ru-RU"/>
              </w:rPr>
            </w:pPr>
          </w:p>
        </w:tc>
      </w:tr>
      <w:tr w:rsidR="00F5182A" w:rsidRPr="0080257B" w14:paraId="3EF71149" w14:textId="77777777" w:rsidTr="0035753F">
        <w:trPr>
          <w:cantSplit/>
          <w:trHeight w:val="388"/>
        </w:trPr>
        <w:tc>
          <w:tcPr>
            <w:tcW w:w="1418" w:type="dxa"/>
          </w:tcPr>
          <w:p w14:paraId="65A440B2" w14:textId="7E271778" w:rsidR="00F5182A" w:rsidRPr="00C53C88" w:rsidRDefault="00F5182A" w:rsidP="0035753F">
            <w:pPr>
              <w:pStyle w:val="Tabletext"/>
              <w:rPr>
                <w:szCs w:val="22"/>
                <w:lang w:val="ru-RU"/>
              </w:rPr>
            </w:pPr>
            <w:r w:rsidRPr="00C53C88">
              <w:rPr>
                <w:szCs w:val="22"/>
                <w:lang w:val="ru-RU"/>
              </w:rPr>
              <w:t>Факс:</w:t>
            </w:r>
          </w:p>
        </w:tc>
        <w:tc>
          <w:tcPr>
            <w:tcW w:w="3260" w:type="dxa"/>
          </w:tcPr>
          <w:p w14:paraId="6952E333" w14:textId="42492A4F" w:rsidR="00F5182A" w:rsidRPr="0080257B" w:rsidRDefault="00B9071B" w:rsidP="0035753F">
            <w:pPr>
              <w:pStyle w:val="Tabletext"/>
              <w:rPr>
                <w:szCs w:val="22"/>
                <w:lang w:val="ru-RU"/>
              </w:rPr>
            </w:pPr>
            <w:r w:rsidRPr="0080257B">
              <w:rPr>
                <w:szCs w:val="22"/>
                <w:lang w:val="ru-RU"/>
              </w:rPr>
              <w:t xml:space="preserve">+41 22 730 </w:t>
            </w:r>
            <w:r w:rsidR="00D1428E" w:rsidRPr="0080257B">
              <w:rPr>
                <w:color w:val="000000"/>
                <w:lang w:val="ru-RU"/>
              </w:rPr>
              <w:t>5853</w:t>
            </w:r>
          </w:p>
        </w:tc>
        <w:tc>
          <w:tcPr>
            <w:tcW w:w="5139" w:type="dxa"/>
            <w:gridSpan w:val="3"/>
            <w:vMerge/>
          </w:tcPr>
          <w:p w14:paraId="2BE30301" w14:textId="77777777" w:rsidR="00F5182A" w:rsidRPr="0080257B" w:rsidRDefault="00F5182A" w:rsidP="0035753F">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rPr>
                <w:szCs w:val="22"/>
                <w:lang w:val="ru-RU"/>
              </w:rPr>
            </w:pPr>
          </w:p>
        </w:tc>
      </w:tr>
      <w:tr w:rsidR="00F5182A" w:rsidRPr="0080257B" w14:paraId="14553D92" w14:textId="77777777" w:rsidTr="0035753F">
        <w:trPr>
          <w:cantSplit/>
          <w:trHeight w:val="801"/>
        </w:trPr>
        <w:tc>
          <w:tcPr>
            <w:tcW w:w="1418" w:type="dxa"/>
          </w:tcPr>
          <w:p w14:paraId="75DF072E" w14:textId="209F9EC1" w:rsidR="00F5182A" w:rsidRPr="00C53C88" w:rsidRDefault="00F5182A" w:rsidP="0035753F">
            <w:pPr>
              <w:pStyle w:val="Tabletext"/>
              <w:rPr>
                <w:szCs w:val="22"/>
                <w:lang w:val="ru-RU"/>
              </w:rPr>
            </w:pPr>
            <w:r w:rsidRPr="00C53C88">
              <w:rPr>
                <w:szCs w:val="22"/>
                <w:lang w:val="ru-RU"/>
              </w:rPr>
              <w:t>Эл. почта:</w:t>
            </w:r>
          </w:p>
        </w:tc>
        <w:tc>
          <w:tcPr>
            <w:tcW w:w="3260" w:type="dxa"/>
          </w:tcPr>
          <w:p w14:paraId="0823655A" w14:textId="614B583C" w:rsidR="00F5182A" w:rsidRPr="0080257B" w:rsidRDefault="004F696B" w:rsidP="0035753F">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rPr>
                <w:szCs w:val="22"/>
                <w:lang w:val="ru-RU"/>
              </w:rPr>
            </w:pPr>
            <w:hyperlink r:id="rId12" w:history="1">
              <w:r w:rsidRPr="004F696B">
                <w:rPr>
                  <w:rStyle w:val="Hyperlink"/>
                </w:rPr>
                <w:t>tsbsg17@itu.int</w:t>
              </w:r>
            </w:hyperlink>
          </w:p>
        </w:tc>
        <w:tc>
          <w:tcPr>
            <w:tcW w:w="5139" w:type="dxa"/>
            <w:gridSpan w:val="3"/>
            <w:vMerge/>
          </w:tcPr>
          <w:p w14:paraId="498BD41D" w14:textId="33BA8E1E" w:rsidR="00F5182A" w:rsidRPr="0080257B" w:rsidRDefault="00F5182A" w:rsidP="0035753F">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rPr>
                <w:szCs w:val="22"/>
                <w:lang w:val="ru-RU"/>
              </w:rPr>
            </w:pPr>
          </w:p>
        </w:tc>
      </w:tr>
      <w:tr w:rsidR="00F12D97" w:rsidRPr="00C53C88" w14:paraId="5C105EF0" w14:textId="77777777" w:rsidTr="0035753F">
        <w:trPr>
          <w:cantSplit/>
        </w:trPr>
        <w:tc>
          <w:tcPr>
            <w:tcW w:w="1418" w:type="dxa"/>
          </w:tcPr>
          <w:p w14:paraId="2527C622" w14:textId="77777777" w:rsidR="00F12D97" w:rsidRPr="0080257B" w:rsidRDefault="00F12D97" w:rsidP="0035753F">
            <w:pPr>
              <w:pStyle w:val="Tabletext"/>
              <w:spacing w:before="120" w:after="0"/>
              <w:rPr>
                <w:szCs w:val="22"/>
                <w:lang w:val="ru-RU"/>
              </w:rPr>
            </w:pPr>
            <w:r w:rsidRPr="0080257B">
              <w:rPr>
                <w:b/>
                <w:bCs/>
                <w:szCs w:val="22"/>
                <w:lang w:val="ru-RU"/>
              </w:rPr>
              <w:t>Предмет</w:t>
            </w:r>
            <w:r w:rsidRPr="0080257B">
              <w:rPr>
                <w:szCs w:val="22"/>
                <w:lang w:val="ru-RU"/>
              </w:rPr>
              <w:t>:</w:t>
            </w:r>
          </w:p>
        </w:tc>
        <w:tc>
          <w:tcPr>
            <w:tcW w:w="8399" w:type="dxa"/>
            <w:gridSpan w:val="4"/>
          </w:tcPr>
          <w:p w14:paraId="01E8D3C2" w14:textId="422D0D51" w:rsidR="00F12D97" w:rsidRPr="00503F96" w:rsidRDefault="004F696B" w:rsidP="00FA7ABF">
            <w:pPr>
              <w:pStyle w:val="Tabletext"/>
              <w:spacing w:before="120" w:after="0"/>
              <w:rPr>
                <w:rFonts w:asciiTheme="minorHAnsi" w:hAnsiTheme="minorHAnsi" w:cstheme="minorHAnsi"/>
                <w:b/>
                <w:szCs w:val="22"/>
                <w:lang w:val="ru-RU"/>
              </w:rPr>
            </w:pPr>
            <w:r w:rsidRPr="004F696B">
              <w:rPr>
                <w:b/>
                <w:bCs/>
                <w:color w:val="000000"/>
                <w:lang w:val="ru-RU"/>
              </w:rPr>
              <w:t xml:space="preserve">Консультации с Государствами-Членами по проекту пересмотренной Рекомендации МСЭ-Т X.1280 и проектам новых Рекомендаций X.1286 </w:t>
            </w:r>
            <w:r w:rsidR="000E1D42">
              <w:rPr>
                <w:b/>
                <w:bCs/>
                <w:color w:val="000000"/>
                <w:lang w:val="ru-RU"/>
              </w:rPr>
              <w:t xml:space="preserve">(ранее − </w:t>
            </w:r>
            <w:r w:rsidRPr="004F696B">
              <w:rPr>
                <w:b/>
                <w:bCs/>
                <w:color w:val="000000"/>
                <w:lang w:val="ru-RU"/>
              </w:rPr>
              <w:t xml:space="preserve">X.accsadlt), X.1821 </w:t>
            </w:r>
            <w:r w:rsidR="000E1D42">
              <w:rPr>
                <w:b/>
                <w:bCs/>
                <w:color w:val="000000"/>
                <w:lang w:val="ru-RU"/>
              </w:rPr>
              <w:t xml:space="preserve">(ранее − </w:t>
            </w:r>
            <w:r w:rsidRPr="004F696B">
              <w:rPr>
                <w:b/>
                <w:bCs/>
                <w:color w:val="000000"/>
                <w:lang w:val="ru-RU"/>
              </w:rPr>
              <w:t xml:space="preserve">X.5Gsec-asra), X.1350 </w:t>
            </w:r>
            <w:r w:rsidR="000E1D42">
              <w:rPr>
                <w:b/>
                <w:bCs/>
                <w:color w:val="000000"/>
                <w:lang w:val="ru-RU"/>
              </w:rPr>
              <w:t xml:space="preserve">(ранее − </w:t>
            </w:r>
            <w:r w:rsidRPr="004F696B">
              <w:rPr>
                <w:b/>
                <w:bCs/>
                <w:color w:val="000000"/>
                <w:lang w:val="ru-RU"/>
              </w:rPr>
              <w:t xml:space="preserve">X.sr-iiot), X.2105 </w:t>
            </w:r>
            <w:r w:rsidR="000E1D42">
              <w:rPr>
                <w:b/>
                <w:bCs/>
                <w:color w:val="000000"/>
                <w:lang w:val="ru-RU"/>
              </w:rPr>
              <w:t xml:space="preserve">(ранее − </w:t>
            </w:r>
            <w:r w:rsidRPr="004F696B">
              <w:rPr>
                <w:b/>
                <w:bCs/>
                <w:color w:val="000000"/>
                <w:lang w:val="ru-RU"/>
              </w:rPr>
              <w:t xml:space="preserve">X.st-ssc), X.2210 </w:t>
            </w:r>
            <w:r w:rsidR="000E1D42">
              <w:rPr>
                <w:b/>
                <w:bCs/>
                <w:color w:val="000000"/>
                <w:lang w:val="ru-RU"/>
              </w:rPr>
              <w:t xml:space="preserve">(ранее − </w:t>
            </w:r>
            <w:r w:rsidRPr="004F696B">
              <w:rPr>
                <w:b/>
                <w:bCs/>
                <w:color w:val="000000"/>
                <w:lang w:val="ru-RU"/>
              </w:rPr>
              <w:t xml:space="preserve">X.ig-dw), X.1910 </w:t>
            </w:r>
            <w:r w:rsidR="000E1D42">
              <w:rPr>
                <w:b/>
                <w:bCs/>
                <w:color w:val="000000"/>
                <w:lang w:val="ru-RU"/>
              </w:rPr>
              <w:t xml:space="preserve">(ранее − </w:t>
            </w:r>
            <w:r w:rsidRPr="004F696B">
              <w:rPr>
                <w:b/>
                <w:bCs/>
                <w:color w:val="000000"/>
                <w:lang w:val="ru-RU"/>
              </w:rPr>
              <w:t xml:space="preserve">X.tc-ifd), X.1651 </w:t>
            </w:r>
            <w:r w:rsidR="000E1D42">
              <w:rPr>
                <w:b/>
                <w:bCs/>
                <w:color w:val="000000"/>
                <w:lang w:val="ru-RU"/>
              </w:rPr>
              <w:t xml:space="preserve">(ранее − </w:t>
            </w:r>
            <w:r w:rsidRPr="004F696B">
              <w:rPr>
                <w:b/>
                <w:bCs/>
                <w:color w:val="000000"/>
                <w:lang w:val="ru-RU"/>
              </w:rPr>
              <w:t xml:space="preserve">X.soar-cc), X.1607 </w:t>
            </w:r>
            <w:r w:rsidR="000E1D42">
              <w:rPr>
                <w:b/>
                <w:bCs/>
                <w:color w:val="000000"/>
                <w:lang w:val="ru-RU"/>
              </w:rPr>
              <w:t xml:space="preserve">(ранее − </w:t>
            </w:r>
            <w:r w:rsidRPr="004F696B">
              <w:rPr>
                <w:b/>
                <w:bCs/>
                <w:color w:val="000000"/>
                <w:lang w:val="ru-RU"/>
              </w:rPr>
              <w:t xml:space="preserve">X.asm-cc), X.1418 </w:t>
            </w:r>
            <w:r w:rsidR="000E1D42">
              <w:rPr>
                <w:b/>
                <w:bCs/>
                <w:color w:val="000000"/>
                <w:lang w:val="ru-RU"/>
              </w:rPr>
              <w:t xml:space="preserve">(ранее − </w:t>
            </w:r>
            <w:r w:rsidRPr="004F696B">
              <w:rPr>
                <w:b/>
                <w:bCs/>
                <w:color w:val="000000"/>
                <w:lang w:val="ru-RU"/>
              </w:rPr>
              <w:t xml:space="preserve">X.sg-dcs) и X.1417 </w:t>
            </w:r>
            <w:r w:rsidR="000E1D42">
              <w:rPr>
                <w:b/>
                <w:bCs/>
                <w:color w:val="000000"/>
                <w:lang w:val="ru-RU"/>
              </w:rPr>
              <w:t xml:space="preserve">(ранее − </w:t>
            </w:r>
            <w:r w:rsidRPr="004F696B">
              <w:rPr>
                <w:b/>
                <w:bCs/>
                <w:color w:val="000000"/>
                <w:lang w:val="ru-RU"/>
              </w:rPr>
              <w:t>X.sr-dpts), по которым сделано заключение и которые предложены для утверждения на собрании 17-й Исследовательской комиссии МСЭ-Т (Женева, 1–10 июня 2026 г.)</w:t>
            </w:r>
          </w:p>
        </w:tc>
      </w:tr>
    </w:tbl>
    <w:p w14:paraId="660599B5" w14:textId="77777777" w:rsidR="00414B3C" w:rsidRPr="0080257B" w:rsidRDefault="00414B3C" w:rsidP="00C53C88">
      <w:pPr>
        <w:spacing w:before="360"/>
        <w:rPr>
          <w:lang w:val="ru-RU"/>
        </w:rPr>
      </w:pPr>
      <w:r w:rsidRPr="0080257B">
        <w:rPr>
          <w:lang w:val="ru-RU"/>
        </w:rPr>
        <w:t>Уважаемая госпожа,</w:t>
      </w:r>
      <w:r w:rsidRPr="0080257B">
        <w:rPr>
          <w:lang w:val="ru-RU"/>
        </w:rPr>
        <w:br/>
        <w:t>уважаемый господин,</w:t>
      </w:r>
    </w:p>
    <w:p w14:paraId="449880CC" w14:textId="62B40718" w:rsidR="00D1428E" w:rsidRPr="0080257B" w:rsidRDefault="00F12D97" w:rsidP="00FA7ABF">
      <w:pPr>
        <w:jc w:val="both"/>
        <w:rPr>
          <w:lang w:val="ru-RU"/>
        </w:rPr>
      </w:pPr>
      <w:r w:rsidRPr="0080257B">
        <w:rPr>
          <w:lang w:val="ru-RU"/>
        </w:rPr>
        <w:t>1</w:t>
      </w:r>
      <w:r w:rsidRPr="0080257B">
        <w:rPr>
          <w:lang w:val="ru-RU"/>
        </w:rPr>
        <w:tab/>
      </w:r>
      <w:r w:rsidR="004F696B" w:rsidRPr="004F696B">
        <w:rPr>
          <w:lang w:val="ru-RU"/>
        </w:rPr>
        <w:t xml:space="preserve">17-я Исследовательская комиссия МСЭ-Т (Безопасность) намерена применить традиционную процедуру утверждения, описанную в разделе 9 </w:t>
      </w:r>
      <w:hyperlink r:id="rId13" w:history="1">
        <w:r w:rsidR="004F696B" w:rsidRPr="004F696B">
          <w:rPr>
            <w:rStyle w:val="Hyperlink"/>
            <w:lang w:val="ru-RU"/>
          </w:rPr>
          <w:t>Резолюции 1 (Пересм. Женева, 2022 г.) ВАСЭ</w:t>
        </w:r>
      </w:hyperlink>
      <w:r w:rsidR="004F696B" w:rsidRPr="004F696B">
        <w:rPr>
          <w:lang w:val="ru-RU"/>
        </w:rPr>
        <w:t xml:space="preserve">, для утверждения упомянутых выше проектов Рекомендаций на своем следующем собрании, которое состоится в Женеве 1−10 июня 2026 года. Проект повестки дня и вся необходимая информация, касающаяся данного собрания 17-й Исследовательской комиссии МСЭ-Т, будет представлена в </w:t>
      </w:r>
      <w:hyperlink r:id="rId14" w:history="1">
        <w:r w:rsidR="004F696B" w:rsidRPr="004F696B">
          <w:rPr>
            <w:rStyle w:val="Hyperlink"/>
            <w:lang w:val="ru-RU"/>
          </w:rPr>
          <w:t>Коллективном письме 8/17</w:t>
        </w:r>
      </w:hyperlink>
      <w:r w:rsidR="002C388F" w:rsidRPr="0080257B">
        <w:rPr>
          <w:lang w:val="ru-RU"/>
        </w:rPr>
        <w:t>.</w:t>
      </w:r>
      <w:hyperlink r:id="rId15" w:history="1"/>
    </w:p>
    <w:p w14:paraId="2991EEDF" w14:textId="7737B44B" w:rsidR="00D1428E" w:rsidRDefault="00D1428E" w:rsidP="00FA7ABF">
      <w:pPr>
        <w:jc w:val="both"/>
        <w:rPr>
          <w:lang w:val="ru-RU"/>
        </w:rPr>
      </w:pPr>
      <w:r w:rsidRPr="0080257B">
        <w:rPr>
          <w:lang w:val="ru-RU"/>
        </w:rPr>
        <w:t>2</w:t>
      </w:r>
      <w:r w:rsidRPr="0080257B">
        <w:rPr>
          <w:lang w:val="ru-RU"/>
        </w:rPr>
        <w:tab/>
        <w:t xml:space="preserve">Названия, резюме предлагаемых к утверждению проектов Рекомендаций МСЭ-Т и указание на место их размещения содержатся в </w:t>
      </w:r>
      <w:r w:rsidRPr="00CD5309">
        <w:rPr>
          <w:b/>
          <w:bCs/>
          <w:lang w:val="ru-RU"/>
        </w:rPr>
        <w:t>Приложении 1</w:t>
      </w:r>
      <w:r w:rsidRPr="00A933D5">
        <w:rPr>
          <w:lang w:val="ru-RU"/>
        </w:rPr>
        <w:t>.</w:t>
      </w:r>
    </w:p>
    <w:p w14:paraId="0FDE150F" w14:textId="317535B8" w:rsidR="00CD5309" w:rsidRDefault="00CD5309" w:rsidP="00CD5309">
      <w:pPr>
        <w:jc w:val="both"/>
        <w:rPr>
          <w:lang w:val="ru-RU"/>
        </w:rPr>
      </w:pPr>
      <w:r>
        <w:rPr>
          <w:lang w:val="ru-RU"/>
        </w:rPr>
        <w:t>ПРИМЕЧАНИЕ 1 БСЭ. – Ни для одного из проектов этих текстов, по которым сделаны заключения, не был представлен обосновывающий документ согласно Рекомендации A.5 МСЭ-Т.</w:t>
      </w:r>
    </w:p>
    <w:p w14:paraId="55DA9533" w14:textId="2FD65929" w:rsidR="00CD5309" w:rsidRDefault="00CD5309" w:rsidP="00CD5309">
      <w:pPr>
        <w:jc w:val="both"/>
        <w:rPr>
          <w:lang w:val="ru-RU"/>
        </w:rPr>
      </w:pPr>
      <w:r>
        <w:rPr>
          <w:lang w:val="ru-RU"/>
        </w:rPr>
        <w:t xml:space="preserve">ПРИМЕЧАНИЕ 2 БСЭ. – На дату настоящего Циркуляра БСЭ не получило в отношении указанных проектов текстов, по которым сделано заключение, каких-либо заявлений в соответствии с политикой в области прав интеллектуальной собственности (ПИС). Для получения актуальной информации членам предлагается обращаться к базе данных ПИС по адресу </w:t>
      </w:r>
      <w:hyperlink r:id="rId16" w:history="1">
        <w:r w:rsidRPr="00F706E4">
          <w:rPr>
            <w:rStyle w:val="Hyperlink"/>
            <w:lang w:val="ru-RU"/>
          </w:rPr>
          <w:t>www.itu.int/ipr/</w:t>
        </w:r>
      </w:hyperlink>
      <w:r>
        <w:rPr>
          <w:lang w:val="ru-RU"/>
        </w:rPr>
        <w:t>.</w:t>
      </w:r>
    </w:p>
    <w:p w14:paraId="0445E742" w14:textId="57F28513" w:rsidR="00D1428E" w:rsidRPr="0080257B" w:rsidRDefault="00D1428E" w:rsidP="00FA7ABF">
      <w:pPr>
        <w:jc w:val="both"/>
        <w:rPr>
          <w:szCs w:val="22"/>
          <w:lang w:val="ru-RU"/>
        </w:rPr>
      </w:pPr>
      <w:r w:rsidRPr="0080257B">
        <w:rPr>
          <w:lang w:val="ru-RU"/>
        </w:rPr>
        <w:t>3</w:t>
      </w:r>
      <w:r w:rsidRPr="0080257B">
        <w:rPr>
          <w:lang w:val="ru-RU"/>
        </w:rPr>
        <w:tab/>
        <w:t xml:space="preserve">Настоящий Циркуляр открывает официальные консультации с Государствами − Членами МСЭ относительно возможности рассмотрения этих текстов с целью их утверждения на предстоящем собрании в соответствии с п. 9.4 Резолюции 1. Государствам-Членам предлагается заполнить содержащуюся в </w:t>
      </w:r>
      <w:r w:rsidRPr="000C0701">
        <w:rPr>
          <w:b/>
          <w:bCs/>
          <w:lang w:val="ru-RU"/>
        </w:rPr>
        <w:t>Приложении 2</w:t>
      </w:r>
      <w:r w:rsidRPr="0080257B">
        <w:rPr>
          <w:lang w:val="ru-RU"/>
        </w:rPr>
        <w:t xml:space="preserve"> форму и вернуть ее не позднее </w:t>
      </w:r>
      <w:r w:rsidRPr="000C0701">
        <w:rPr>
          <w:b/>
          <w:bCs/>
          <w:lang w:val="ru-RU"/>
        </w:rPr>
        <w:t>23 час. 59 мин.</w:t>
      </w:r>
      <w:r w:rsidRPr="0080257B">
        <w:rPr>
          <w:lang w:val="ru-RU"/>
        </w:rPr>
        <w:t xml:space="preserve"> UTC </w:t>
      </w:r>
      <w:r w:rsidR="00CD5309" w:rsidRPr="005A551D">
        <w:rPr>
          <w:b/>
          <w:bCs/>
          <w:lang w:val="ru-RU"/>
        </w:rPr>
        <w:t>20</w:t>
      </w:r>
      <w:r w:rsidR="002E6E80" w:rsidRPr="0080257B">
        <w:rPr>
          <w:b/>
          <w:bCs/>
          <w:lang w:val="ru-RU"/>
        </w:rPr>
        <w:t xml:space="preserve"> </w:t>
      </w:r>
      <w:r w:rsidR="00CD5309">
        <w:rPr>
          <w:b/>
          <w:bCs/>
          <w:lang w:val="ru-RU"/>
        </w:rPr>
        <w:t>мая</w:t>
      </w:r>
      <w:r w:rsidRPr="0080257B">
        <w:rPr>
          <w:b/>
          <w:bCs/>
          <w:lang w:val="ru-RU"/>
        </w:rPr>
        <w:t xml:space="preserve"> 202</w:t>
      </w:r>
      <w:r w:rsidR="002E6E80" w:rsidRPr="0080257B">
        <w:rPr>
          <w:b/>
          <w:bCs/>
          <w:lang w:val="ru-RU"/>
        </w:rPr>
        <w:t>6</w:t>
      </w:r>
      <w:r w:rsidRPr="0080257B">
        <w:rPr>
          <w:b/>
          <w:bCs/>
          <w:lang w:val="ru-RU"/>
        </w:rPr>
        <w:t> года</w:t>
      </w:r>
      <w:r w:rsidRPr="0080257B">
        <w:rPr>
          <w:lang w:val="ru-RU"/>
        </w:rPr>
        <w:t>.</w:t>
      </w:r>
    </w:p>
    <w:p w14:paraId="08C5847B" w14:textId="420D1158" w:rsidR="00D1428E" w:rsidRPr="0080257B" w:rsidRDefault="00D1428E" w:rsidP="00FA7ABF">
      <w:pPr>
        <w:jc w:val="both"/>
        <w:rPr>
          <w:szCs w:val="22"/>
          <w:lang w:val="ru-RU"/>
        </w:rPr>
      </w:pPr>
      <w:r w:rsidRPr="0080257B">
        <w:rPr>
          <w:lang w:val="ru-RU"/>
        </w:rPr>
        <w:lastRenderedPageBreak/>
        <w:t>4</w:t>
      </w:r>
      <w:r w:rsidRPr="0080257B">
        <w:rPr>
          <w:lang w:val="ru-RU"/>
        </w:rPr>
        <w:tab/>
        <w:t>Если в своих ответах 70% или более Государств-Членов поддержат рассмотрение с целью утверждения, то одно пленарное заседание будет посвящено применению процедуры утверждения. Государства-Члены, которые не предоставят полномочий для осуществления процедуры, должны сообщить Директору БСЭ причины такого мнения и указать, какие возможные изменения могли бы способствовать продолжению работы.</w:t>
      </w:r>
    </w:p>
    <w:p w14:paraId="1C780A53" w14:textId="35890EF8" w:rsidR="00D1428E" w:rsidRPr="0080257B" w:rsidRDefault="00D1428E" w:rsidP="007207FA">
      <w:pPr>
        <w:rPr>
          <w:szCs w:val="22"/>
          <w:lang w:val="ru-RU"/>
        </w:rPr>
      </w:pPr>
      <w:r w:rsidRPr="0080257B">
        <w:rPr>
          <w:lang w:val="ru-RU"/>
        </w:rPr>
        <w:t>С уважением,</w:t>
      </w:r>
    </w:p>
    <w:p w14:paraId="0F1C6E01" w14:textId="51CE830C" w:rsidR="00414B3C" w:rsidRPr="0080257B" w:rsidRDefault="00C53C88" w:rsidP="00C53C88">
      <w:pPr>
        <w:tabs>
          <w:tab w:val="clear" w:pos="1588"/>
          <w:tab w:val="clear" w:pos="1985"/>
          <w:tab w:val="center" w:pos="4819"/>
        </w:tabs>
        <w:spacing w:before="720"/>
        <w:rPr>
          <w:lang w:val="ru-RU"/>
        </w:rPr>
      </w:pPr>
      <w:r>
        <w:rPr>
          <w:noProof/>
          <w:lang w:val="ru-RU"/>
        </w:rPr>
        <w:drawing>
          <wp:anchor distT="0" distB="0" distL="114300" distR="114300" simplePos="0" relativeHeight="251658240" behindDoc="1" locked="0" layoutInCell="1" allowOverlap="1" wp14:anchorId="381A6A72" wp14:editId="67CE7312">
            <wp:simplePos x="0" y="0"/>
            <wp:positionH relativeFrom="margin">
              <wp:align>left</wp:align>
            </wp:positionH>
            <wp:positionV relativeFrom="paragraph">
              <wp:posOffset>48260</wp:posOffset>
            </wp:positionV>
            <wp:extent cx="768350" cy="342900"/>
            <wp:effectExtent l="0" t="0" r="0" b="0"/>
            <wp:wrapNone/>
            <wp:docPr id="463975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75309" name="Picture 463975309"/>
                    <pic:cNvPicPr/>
                  </pic:nvPicPr>
                  <pic:blipFill>
                    <a:blip r:embed="rId17">
                      <a:extLst>
                        <a:ext uri="{28A0092B-C50C-407E-A947-70E740481C1C}">
                          <a14:useLocalDpi xmlns:a14="http://schemas.microsoft.com/office/drawing/2010/main" val="0"/>
                        </a:ext>
                      </a:extLst>
                    </a:blip>
                    <a:stretch>
                      <a:fillRect/>
                    </a:stretch>
                  </pic:blipFill>
                  <pic:spPr>
                    <a:xfrm>
                      <a:off x="0" y="0"/>
                      <a:ext cx="768350" cy="342900"/>
                    </a:xfrm>
                    <a:prstGeom prst="rect">
                      <a:avLst/>
                    </a:prstGeom>
                  </pic:spPr>
                </pic:pic>
              </a:graphicData>
            </a:graphic>
            <wp14:sizeRelV relativeFrom="margin">
              <wp14:pctHeight>0</wp14:pctHeight>
            </wp14:sizeRelV>
          </wp:anchor>
        </w:drawing>
      </w:r>
      <w:r w:rsidR="003E38F2" w:rsidRPr="0080257B">
        <w:rPr>
          <w:lang w:val="ru-RU"/>
        </w:rPr>
        <w:t>Сейдзо Оноэ</w:t>
      </w:r>
      <w:r w:rsidR="00414B3C" w:rsidRPr="0080257B">
        <w:rPr>
          <w:lang w:val="ru-RU"/>
        </w:rPr>
        <w:t xml:space="preserve"> </w:t>
      </w:r>
      <w:r w:rsidR="00414B3C" w:rsidRPr="0080257B">
        <w:rPr>
          <w:lang w:val="ru-RU"/>
        </w:rPr>
        <w:br/>
        <w:t xml:space="preserve">Директор Бюро </w:t>
      </w:r>
      <w:r w:rsidR="00414B3C" w:rsidRPr="0080257B">
        <w:rPr>
          <w:lang w:val="ru-RU"/>
        </w:rPr>
        <w:br/>
        <w:t>стандартизации электросвязи</w:t>
      </w:r>
    </w:p>
    <w:p w14:paraId="74BAA5C8" w14:textId="2F1D0AEC" w:rsidR="00B62ECD" w:rsidRDefault="00C62B05" w:rsidP="00C53C88">
      <w:pPr>
        <w:spacing w:before="840"/>
        <w:rPr>
          <w:lang w:val="ru-RU"/>
        </w:rPr>
      </w:pPr>
      <w:r w:rsidRPr="0080257B">
        <w:rPr>
          <w:b/>
          <w:bCs/>
          <w:lang w:val="ru-RU"/>
        </w:rPr>
        <w:t>Приложения</w:t>
      </w:r>
      <w:r w:rsidRPr="0080257B">
        <w:rPr>
          <w:lang w:val="ru-RU"/>
        </w:rPr>
        <w:t>: 2</w:t>
      </w:r>
    </w:p>
    <w:p w14:paraId="40948413" w14:textId="73FFBD76" w:rsidR="00C62B05" w:rsidRPr="0080257B" w:rsidRDefault="00C62B05" w:rsidP="00B62ECD">
      <w:pPr>
        <w:rPr>
          <w:lang w:val="ru-RU"/>
        </w:rPr>
      </w:pPr>
      <w:r w:rsidRPr="0080257B">
        <w:rPr>
          <w:lang w:val="ru-RU"/>
        </w:rPr>
        <w:br w:type="page"/>
      </w:r>
    </w:p>
    <w:p w14:paraId="5384ECF1" w14:textId="77777777" w:rsidR="00713D99" w:rsidRPr="0080257B" w:rsidRDefault="00713D99" w:rsidP="00BF1038">
      <w:pPr>
        <w:pStyle w:val="AnnexNo"/>
        <w:rPr>
          <w:lang w:val="ru-RU"/>
        </w:rPr>
      </w:pPr>
      <w:r w:rsidRPr="0080257B">
        <w:rPr>
          <w:lang w:val="ru-RU"/>
        </w:rPr>
        <w:lastRenderedPageBreak/>
        <w:t>ПРИЛОЖЕНИЕ 1</w:t>
      </w:r>
    </w:p>
    <w:p w14:paraId="2D82A9A7" w14:textId="12961107" w:rsidR="00713D99" w:rsidRPr="0080257B" w:rsidRDefault="00CD5309" w:rsidP="00BF1038">
      <w:pPr>
        <w:pStyle w:val="Annextitle"/>
        <w:rPr>
          <w:lang w:val="ru-RU"/>
        </w:rPr>
      </w:pPr>
      <w:r w:rsidRPr="00CD5309">
        <w:rPr>
          <w:bCs/>
          <w:lang w:val="ru-RU"/>
        </w:rPr>
        <w:t xml:space="preserve">Резюме и указание на место размещения проекта пересмотренной Рекомендации МСЭ-Т X.1280 и проектов новых Рекомендаций X.1286 </w:t>
      </w:r>
      <w:r w:rsidR="000E1D42">
        <w:rPr>
          <w:bCs/>
          <w:lang w:val="ru-RU"/>
        </w:rPr>
        <w:t xml:space="preserve">(ранее − </w:t>
      </w:r>
      <w:r w:rsidRPr="00CD5309">
        <w:rPr>
          <w:bCs/>
          <w:lang w:val="ru-RU"/>
        </w:rPr>
        <w:t xml:space="preserve">X.accsadlt), X.1821 </w:t>
      </w:r>
      <w:r w:rsidR="000E1D42">
        <w:rPr>
          <w:bCs/>
          <w:lang w:val="ru-RU"/>
        </w:rPr>
        <w:t xml:space="preserve">(ранее − </w:t>
      </w:r>
      <w:r w:rsidRPr="00CD5309">
        <w:rPr>
          <w:bCs/>
          <w:lang w:val="ru-RU"/>
        </w:rPr>
        <w:t xml:space="preserve">X.5Gsec-asra), X.1350 </w:t>
      </w:r>
      <w:r w:rsidR="000E1D42">
        <w:rPr>
          <w:bCs/>
          <w:lang w:val="ru-RU"/>
        </w:rPr>
        <w:t xml:space="preserve">(ранее − </w:t>
      </w:r>
      <w:r w:rsidRPr="00CD5309">
        <w:rPr>
          <w:bCs/>
          <w:lang w:val="ru-RU"/>
        </w:rPr>
        <w:t xml:space="preserve">X.sr-iiot), X.2105 </w:t>
      </w:r>
      <w:r w:rsidR="000E1D42">
        <w:rPr>
          <w:bCs/>
          <w:lang w:val="ru-RU"/>
        </w:rPr>
        <w:t xml:space="preserve">(ранее − </w:t>
      </w:r>
      <w:r w:rsidRPr="00CD5309">
        <w:rPr>
          <w:bCs/>
          <w:lang w:val="ru-RU"/>
        </w:rPr>
        <w:t xml:space="preserve">X.st-ssc), X.2210 </w:t>
      </w:r>
      <w:r w:rsidR="000E1D42">
        <w:rPr>
          <w:bCs/>
          <w:lang w:val="ru-RU"/>
        </w:rPr>
        <w:t xml:space="preserve">(ранее − </w:t>
      </w:r>
      <w:r w:rsidRPr="00CD5309">
        <w:rPr>
          <w:bCs/>
          <w:lang w:val="ru-RU"/>
        </w:rPr>
        <w:t xml:space="preserve">X.ig-dw), X.1910 </w:t>
      </w:r>
      <w:r w:rsidR="000E1D42">
        <w:rPr>
          <w:bCs/>
          <w:lang w:val="ru-RU"/>
        </w:rPr>
        <w:t xml:space="preserve">(ранее − </w:t>
      </w:r>
      <w:r w:rsidRPr="00CD5309">
        <w:rPr>
          <w:bCs/>
          <w:lang w:val="ru-RU"/>
        </w:rPr>
        <w:t xml:space="preserve">X.tc-ifd), X.1651 </w:t>
      </w:r>
      <w:r w:rsidR="000E1D42">
        <w:rPr>
          <w:bCs/>
          <w:lang w:val="ru-RU"/>
        </w:rPr>
        <w:t xml:space="preserve">(ранее − </w:t>
      </w:r>
      <w:r w:rsidRPr="00CD5309">
        <w:rPr>
          <w:bCs/>
          <w:lang w:val="ru-RU"/>
        </w:rPr>
        <w:t xml:space="preserve">X.soar-cc), X.1607 </w:t>
      </w:r>
      <w:r w:rsidR="000E1D42">
        <w:rPr>
          <w:bCs/>
          <w:lang w:val="ru-RU"/>
        </w:rPr>
        <w:t xml:space="preserve">(ранее − </w:t>
      </w:r>
      <w:r w:rsidRPr="00CD5309">
        <w:rPr>
          <w:bCs/>
          <w:lang w:val="ru-RU"/>
        </w:rPr>
        <w:t xml:space="preserve">X.asm-cc), X.1418 </w:t>
      </w:r>
      <w:r w:rsidR="000E1D42">
        <w:rPr>
          <w:bCs/>
          <w:lang w:val="ru-RU"/>
        </w:rPr>
        <w:t xml:space="preserve">(ранее − </w:t>
      </w:r>
      <w:r w:rsidRPr="00CD5309">
        <w:rPr>
          <w:bCs/>
          <w:lang w:val="ru-RU"/>
        </w:rPr>
        <w:t xml:space="preserve">X.sg-dcs) и X.1417 </w:t>
      </w:r>
      <w:r w:rsidR="000E1D42">
        <w:rPr>
          <w:bCs/>
          <w:lang w:val="ru-RU"/>
        </w:rPr>
        <w:t xml:space="preserve">(ранее − </w:t>
      </w:r>
      <w:r w:rsidRPr="00CD5309">
        <w:rPr>
          <w:bCs/>
          <w:lang w:val="ru-RU"/>
        </w:rPr>
        <w:t>X.sr-dpts)</w:t>
      </w:r>
      <w:r w:rsidR="000C0701">
        <w:rPr>
          <w:bCs/>
          <w:lang w:val="ru-RU"/>
        </w:rPr>
        <w:t>, по которым сделано заключение</w:t>
      </w:r>
    </w:p>
    <w:p w14:paraId="340EA80D" w14:textId="5EA8D371" w:rsidR="00313AF3" w:rsidRPr="000E1D42" w:rsidRDefault="00313AF3" w:rsidP="0080257B">
      <w:pPr>
        <w:pStyle w:val="Heading1"/>
        <w:rPr>
          <w:lang w:val="ru-RU"/>
        </w:rPr>
      </w:pPr>
      <w:r w:rsidRPr="000E1D42">
        <w:rPr>
          <w:lang w:val="ru-RU"/>
        </w:rPr>
        <w:t>1</w:t>
      </w:r>
      <w:r w:rsidRPr="000E1D42">
        <w:rPr>
          <w:lang w:val="ru-RU"/>
        </w:rPr>
        <w:tab/>
        <w:t xml:space="preserve">Проект </w:t>
      </w:r>
      <w:r w:rsidR="00A10CEC" w:rsidRPr="000E1D42">
        <w:rPr>
          <w:lang w:val="ru-RU"/>
        </w:rPr>
        <w:t>пересмотренной</w:t>
      </w:r>
      <w:r w:rsidRPr="000E1D42">
        <w:rPr>
          <w:lang w:val="ru-RU"/>
        </w:rPr>
        <w:t xml:space="preserve"> Рекомендации </w:t>
      </w:r>
      <w:r w:rsidR="00CD5309" w:rsidRPr="000E1D42">
        <w:rPr>
          <w:lang w:val="ru-RU"/>
        </w:rPr>
        <w:t xml:space="preserve">МСЭ-Т X.1280 </w:t>
      </w:r>
      <w:r w:rsidR="00EF5D31" w:rsidRPr="000E1D42">
        <w:rPr>
          <w:lang w:val="ru-RU"/>
        </w:rPr>
        <w:t>(</w:t>
      </w:r>
      <w:hyperlink r:id="rId18" w:history="1">
        <w:r w:rsidR="00A10CEC" w:rsidRPr="000E1D42">
          <w:rPr>
            <w:rStyle w:val="Hyperlink"/>
          </w:rPr>
          <w:t>SG</w:t>
        </w:r>
        <w:r w:rsidR="00A10CEC" w:rsidRPr="000A6DFC">
          <w:rPr>
            <w:rStyle w:val="Hyperlink"/>
            <w:lang w:val="ru-RU"/>
          </w:rPr>
          <w:t>17-</w:t>
        </w:r>
        <w:r w:rsidR="00A10CEC" w:rsidRPr="000E1D42">
          <w:rPr>
            <w:rStyle w:val="Hyperlink"/>
          </w:rPr>
          <w:t>R</w:t>
        </w:r>
        <w:r w:rsidR="00A10CEC" w:rsidRPr="000A6DFC">
          <w:rPr>
            <w:rStyle w:val="Hyperlink"/>
            <w:lang w:val="ru-RU"/>
          </w:rPr>
          <w:t>25</w:t>
        </w:r>
      </w:hyperlink>
      <w:r w:rsidR="00EF5D31" w:rsidRPr="000E1D42">
        <w:rPr>
          <w:lang w:val="ru-RU"/>
        </w:rPr>
        <w:t>)</w:t>
      </w:r>
    </w:p>
    <w:p w14:paraId="3151CDF8" w14:textId="7306927E" w:rsidR="00313AF3" w:rsidRPr="000E1D42" w:rsidRDefault="00A10CEC" w:rsidP="009733C5">
      <w:pPr>
        <w:rPr>
          <w:b/>
          <w:lang w:val="ru-RU"/>
        </w:rPr>
      </w:pPr>
      <w:r w:rsidRPr="000E1D42">
        <w:rPr>
          <w:lang w:val="ru-RU"/>
        </w:rPr>
        <w:t>Структура внеполосной взаимной аутентификации с использованием мобильных устройств</w:t>
      </w:r>
    </w:p>
    <w:p w14:paraId="2A57755E" w14:textId="77777777" w:rsidR="00313AF3" w:rsidRPr="000E1D42" w:rsidRDefault="00313AF3" w:rsidP="007207FA">
      <w:pPr>
        <w:pStyle w:val="Headingb"/>
        <w:rPr>
          <w:rFonts w:asciiTheme="minorHAnsi" w:hAnsiTheme="minorHAnsi" w:cstheme="minorHAnsi"/>
          <w:szCs w:val="22"/>
          <w:lang w:val="ru-RU"/>
        </w:rPr>
      </w:pPr>
      <w:r w:rsidRPr="000E1D42">
        <w:rPr>
          <w:lang w:val="ru-RU"/>
        </w:rPr>
        <w:t>Резюме</w:t>
      </w:r>
    </w:p>
    <w:p w14:paraId="15B484BB" w14:textId="77777777" w:rsidR="00A10CEC" w:rsidRPr="00A10CEC" w:rsidRDefault="00A10CEC" w:rsidP="00A10CEC">
      <w:pPr>
        <w:rPr>
          <w:lang w:val="ru-RU"/>
        </w:rPr>
      </w:pPr>
      <w:bookmarkStart w:id="0" w:name="lt_pId059"/>
      <w:r w:rsidRPr="00A10CEC">
        <w:rPr>
          <w:lang w:val="ru-RU"/>
        </w:rPr>
        <w:t>В стандартах технологии аутентификации устойчивость верификатора к имперсонации рассматривается как требование самого высокого уровня гарантии аутентификации. Однако существующие технологии аутентификации ориентированы на аутентификацию пользователя, а возможность явной проверки поставщиков услуг отсутствует.</w:t>
      </w:r>
    </w:p>
    <w:bookmarkEnd w:id="0"/>
    <w:p w14:paraId="5933BCB7" w14:textId="7861D3AE" w:rsidR="00313AF3" w:rsidRPr="000E1D42" w:rsidRDefault="00A10CEC" w:rsidP="00A10CEC">
      <w:pPr>
        <w:rPr>
          <w:bCs/>
          <w:lang w:val="ru-RU"/>
        </w:rPr>
      </w:pPr>
      <w:r w:rsidRPr="000E1D42">
        <w:rPr>
          <w:lang w:val="ru-RU"/>
        </w:rPr>
        <w:t>В Рекомендации МСЭ-Т X.1280 изложена структура внеполосной взаимной аутентификации с использованием мобильных устройств, которая устраняет уязвимость, связанную с имперсонацией верификатора, и ограничение, связанное с зависимостью существующих аутентификаторов от пользовательских терминалов. Она позволяет пользователю предоставлять информацию для аутентификации пользователя после явной и независимой проверки поставщика услуг в процессе аутентификации пользователя с использованием любых пользовательских терминалов.</w:t>
      </w:r>
    </w:p>
    <w:p w14:paraId="30DB9BFD" w14:textId="28C1371C" w:rsidR="00313AF3" w:rsidRPr="000E1D42" w:rsidRDefault="00313AF3" w:rsidP="009733C5">
      <w:pPr>
        <w:pStyle w:val="Heading1"/>
        <w:rPr>
          <w:lang w:val="ru-RU"/>
        </w:rPr>
      </w:pPr>
      <w:r w:rsidRPr="000E1D42">
        <w:rPr>
          <w:lang w:val="ru-RU"/>
        </w:rPr>
        <w:t>2</w:t>
      </w:r>
      <w:r w:rsidRPr="000E1D42">
        <w:rPr>
          <w:lang w:val="ru-RU"/>
        </w:rPr>
        <w:tab/>
        <w:t xml:space="preserve">Проект </w:t>
      </w:r>
      <w:r w:rsidR="00A10CEC" w:rsidRPr="000E1D42">
        <w:rPr>
          <w:lang w:val="ru-RU"/>
        </w:rPr>
        <w:t xml:space="preserve">Рекомендации МСЭ-Т X.1286 </w:t>
      </w:r>
      <w:r w:rsidR="000E1D42" w:rsidRPr="000E1D42">
        <w:rPr>
          <w:lang w:val="ru-RU"/>
        </w:rPr>
        <w:t xml:space="preserve">(ранее − </w:t>
      </w:r>
      <w:r w:rsidR="00A10CEC" w:rsidRPr="000E1D42">
        <w:rPr>
          <w:lang w:val="ru-RU"/>
        </w:rPr>
        <w:t>X.accsadlt)</w:t>
      </w:r>
      <w:r w:rsidRPr="000E1D42">
        <w:rPr>
          <w:lang w:val="ru-RU"/>
        </w:rPr>
        <w:t xml:space="preserve"> </w:t>
      </w:r>
      <w:r w:rsidR="00A97A01" w:rsidRPr="000E1D42">
        <w:rPr>
          <w:lang w:val="ru-RU"/>
        </w:rPr>
        <w:t>(</w:t>
      </w:r>
      <w:hyperlink r:id="rId19" w:history="1">
        <w:r w:rsidR="00A10CEC" w:rsidRPr="000E1D42">
          <w:rPr>
            <w:rStyle w:val="Hyperlink"/>
            <w:lang w:val="fr-FR"/>
          </w:rPr>
          <w:t>SG</w:t>
        </w:r>
        <w:r w:rsidR="00A10CEC" w:rsidRPr="000A6DFC">
          <w:rPr>
            <w:rStyle w:val="Hyperlink"/>
            <w:lang w:val="ru-RU"/>
          </w:rPr>
          <w:t>17-</w:t>
        </w:r>
        <w:r w:rsidR="00A10CEC" w:rsidRPr="000E1D42">
          <w:rPr>
            <w:rStyle w:val="Hyperlink"/>
            <w:lang w:val="fr-FR"/>
          </w:rPr>
          <w:t>R</w:t>
        </w:r>
        <w:r w:rsidR="00A10CEC" w:rsidRPr="000A6DFC">
          <w:rPr>
            <w:rStyle w:val="Hyperlink"/>
            <w:lang w:val="ru-RU"/>
          </w:rPr>
          <w:t>26</w:t>
        </w:r>
      </w:hyperlink>
      <w:r w:rsidR="00A97A01" w:rsidRPr="000E1D42">
        <w:rPr>
          <w:lang w:val="ru-RU"/>
        </w:rPr>
        <w:t>)</w:t>
      </w:r>
    </w:p>
    <w:p w14:paraId="73FBF4C6" w14:textId="0F91C7BE" w:rsidR="00313AF3" w:rsidRPr="000E1D42" w:rsidRDefault="00A10CEC" w:rsidP="009733C5">
      <w:pPr>
        <w:keepNext/>
        <w:rPr>
          <w:b/>
          <w:lang w:val="ru-RU"/>
        </w:rPr>
      </w:pPr>
      <w:r w:rsidRPr="000E1D42">
        <w:rPr>
          <w:lang w:val="ru-RU"/>
        </w:rPr>
        <w:t>Платформа управления доступом с использованием метода аутентификации на основе технологии распределенного реестра (DLT)</w:t>
      </w:r>
    </w:p>
    <w:p w14:paraId="23EA5527" w14:textId="77777777" w:rsidR="00313AF3" w:rsidRPr="000E1D42" w:rsidRDefault="00313AF3" w:rsidP="007207FA">
      <w:pPr>
        <w:pStyle w:val="Headingb"/>
        <w:rPr>
          <w:rFonts w:asciiTheme="minorHAnsi" w:hAnsiTheme="minorHAnsi" w:cstheme="minorHAnsi"/>
          <w:szCs w:val="22"/>
          <w:lang w:val="ru-RU"/>
        </w:rPr>
      </w:pPr>
      <w:r w:rsidRPr="000E1D42">
        <w:rPr>
          <w:lang w:val="ru-RU"/>
        </w:rPr>
        <w:t>Резюме</w:t>
      </w:r>
    </w:p>
    <w:p w14:paraId="4A8FFD27" w14:textId="7A26A842" w:rsidR="00A10CEC" w:rsidRPr="00A10CEC" w:rsidRDefault="00A10CEC" w:rsidP="00A10CEC">
      <w:pPr>
        <w:tabs>
          <w:tab w:val="clear" w:pos="794"/>
          <w:tab w:val="clear" w:pos="1191"/>
          <w:tab w:val="clear" w:pos="1588"/>
          <w:tab w:val="clear" w:pos="1985"/>
        </w:tabs>
        <w:overflowPunct/>
        <w:autoSpaceDE/>
        <w:autoSpaceDN/>
        <w:adjustRightInd/>
        <w:textAlignment w:val="auto"/>
        <w:rPr>
          <w:lang w:val="ru-RU"/>
        </w:rPr>
      </w:pPr>
      <w:r w:rsidRPr="00A10CEC">
        <w:rPr>
          <w:lang w:val="ru-RU"/>
        </w:rPr>
        <w:t xml:space="preserve">В настоящей Рекомендации определены требования, предъявляемые к платформе управления доступом с использованием метода аутентификации на основе технологии распределенного реестра (DLT) – системе, обеспечивающей безопасную, быструю и удобную распределенную аутентификацию и проверку идентичности пользователей и устройств для предоставления им доступа к цифровым услугам. Система аутентификации на основе DLT обеспечивает </w:t>
      </w:r>
      <w:r w:rsidRPr="000E1D42">
        <w:rPr>
          <w:lang w:val="ru-RU"/>
        </w:rPr>
        <w:t xml:space="preserve">безопасные услуги </w:t>
      </w:r>
      <w:r w:rsidRPr="00A10CEC">
        <w:rPr>
          <w:lang w:val="ru-RU"/>
        </w:rPr>
        <w:t>идентификаци</w:t>
      </w:r>
      <w:r w:rsidRPr="000E1D42">
        <w:rPr>
          <w:lang w:val="ru-RU"/>
        </w:rPr>
        <w:t>и</w:t>
      </w:r>
      <w:r w:rsidRPr="00A10CEC">
        <w:rPr>
          <w:lang w:val="ru-RU"/>
        </w:rPr>
        <w:t>, проверк</w:t>
      </w:r>
      <w:r w:rsidRPr="000E1D42">
        <w:rPr>
          <w:lang w:val="ru-RU"/>
        </w:rPr>
        <w:t>и</w:t>
      </w:r>
      <w:r w:rsidRPr="00A10CEC">
        <w:rPr>
          <w:lang w:val="ru-RU"/>
        </w:rPr>
        <w:t xml:space="preserve"> и подтверждени</w:t>
      </w:r>
      <w:r w:rsidRPr="000E1D42">
        <w:rPr>
          <w:lang w:val="ru-RU"/>
        </w:rPr>
        <w:t>я</w:t>
      </w:r>
      <w:r w:rsidRPr="00A10CEC">
        <w:rPr>
          <w:lang w:val="ru-RU"/>
        </w:rPr>
        <w:t xml:space="preserve"> идентичности в соответствии с требованиями организации по управлению доступом.</w:t>
      </w:r>
    </w:p>
    <w:p w14:paraId="10EF91DE" w14:textId="76D0EA65" w:rsidR="00A10CEC" w:rsidRPr="00A10CEC" w:rsidRDefault="00A10CEC" w:rsidP="00A10CEC">
      <w:pPr>
        <w:tabs>
          <w:tab w:val="clear" w:pos="794"/>
          <w:tab w:val="clear" w:pos="1191"/>
          <w:tab w:val="clear" w:pos="1588"/>
          <w:tab w:val="clear" w:pos="1985"/>
        </w:tabs>
        <w:overflowPunct/>
        <w:autoSpaceDE/>
        <w:autoSpaceDN/>
        <w:adjustRightInd/>
        <w:textAlignment w:val="auto"/>
        <w:rPr>
          <w:lang w:val="ru-RU"/>
        </w:rPr>
      </w:pPr>
      <w:r w:rsidRPr="00A10CEC">
        <w:rPr>
          <w:lang w:val="ru-RU"/>
        </w:rPr>
        <w:t xml:space="preserve">Платформа управления доступом с использованием аутентификации на основе DLT защищает регистрационные данные пользователей от мошеннических действий посредством аутентификации и подтверждения идентичности с использованием DLT. DLT также обеспечивает </w:t>
      </w:r>
      <w:r w:rsidRPr="000E1D42">
        <w:rPr>
          <w:lang w:val="ru-RU"/>
        </w:rPr>
        <w:t xml:space="preserve">услугу </w:t>
      </w:r>
      <w:r w:rsidRPr="00A10CEC">
        <w:rPr>
          <w:lang w:val="ru-RU"/>
        </w:rPr>
        <w:t>беспарольно</w:t>
      </w:r>
      <w:r w:rsidRPr="000E1D42">
        <w:rPr>
          <w:lang w:val="ru-RU"/>
        </w:rPr>
        <w:t>го</w:t>
      </w:r>
      <w:r w:rsidRPr="00A10CEC">
        <w:rPr>
          <w:lang w:val="ru-RU"/>
        </w:rPr>
        <w:t xml:space="preserve"> подтверждени</w:t>
      </w:r>
      <w:r w:rsidRPr="000E1D42">
        <w:rPr>
          <w:lang w:val="ru-RU"/>
        </w:rPr>
        <w:t>я</w:t>
      </w:r>
      <w:r w:rsidRPr="00A10CEC">
        <w:rPr>
          <w:lang w:val="ru-RU"/>
        </w:rPr>
        <w:t xml:space="preserve"> идентичности с использованием методов многофакторной аутентификации (MFA) для защиты учетной записи пользователя от захвата (ATO), мошеннических транзакций, несанкционированного доступа, взлома, а также для защиты от мошенничества с регистрационными данными и программ-вымогателей.</w:t>
      </w:r>
    </w:p>
    <w:p w14:paraId="6FD19181" w14:textId="51BBBD2D" w:rsidR="00313AF3" w:rsidRPr="000E1D42" w:rsidRDefault="00A10CEC" w:rsidP="00A10CEC">
      <w:pPr>
        <w:tabs>
          <w:tab w:val="clear" w:pos="794"/>
          <w:tab w:val="clear" w:pos="1191"/>
          <w:tab w:val="clear" w:pos="1588"/>
          <w:tab w:val="clear" w:pos="1985"/>
        </w:tabs>
        <w:overflowPunct/>
        <w:autoSpaceDE/>
        <w:autoSpaceDN/>
        <w:adjustRightInd/>
        <w:textAlignment w:val="auto"/>
        <w:rPr>
          <w:bCs/>
          <w:lang w:val="ru-RU"/>
        </w:rPr>
      </w:pPr>
      <w:r w:rsidRPr="000E1D42">
        <w:rPr>
          <w:lang w:val="ru-RU"/>
        </w:rPr>
        <w:t>Настоящая Рекомендация окажет помощь исследователям, проектировщикам, разработчикам и организациям, применяющим системы DLT, в проектировании, внедрении и эксплуатации платформы управления доступом с использованием метода аутентификации на основе DLT</w:t>
      </w:r>
      <w:r w:rsidR="00A97A01" w:rsidRPr="000E1D42">
        <w:rPr>
          <w:lang w:val="ru-RU"/>
        </w:rPr>
        <w:t>.</w:t>
      </w:r>
    </w:p>
    <w:p w14:paraId="55C807FC" w14:textId="490D1590" w:rsidR="00313AF3" w:rsidRPr="000E1D42" w:rsidRDefault="00313AF3" w:rsidP="0080257B">
      <w:pPr>
        <w:pStyle w:val="Heading1"/>
        <w:rPr>
          <w:lang w:val="ru-RU"/>
        </w:rPr>
      </w:pPr>
      <w:r w:rsidRPr="000E1D42">
        <w:rPr>
          <w:lang w:val="ru-RU"/>
        </w:rPr>
        <w:lastRenderedPageBreak/>
        <w:t>3</w:t>
      </w:r>
      <w:r w:rsidRPr="000E1D42">
        <w:rPr>
          <w:lang w:val="ru-RU"/>
        </w:rPr>
        <w:tab/>
        <w:t xml:space="preserve">Проект </w:t>
      </w:r>
      <w:r w:rsidR="00795355" w:rsidRPr="000E1D42">
        <w:rPr>
          <w:lang w:val="ru-RU"/>
        </w:rPr>
        <w:t xml:space="preserve">Рекомендации МСЭ-T X.1821 </w:t>
      </w:r>
      <w:r w:rsidR="000E1D42" w:rsidRPr="000E1D42">
        <w:rPr>
          <w:lang w:val="ru-RU"/>
        </w:rPr>
        <w:t xml:space="preserve">(ранее − </w:t>
      </w:r>
      <w:r w:rsidR="00795355" w:rsidRPr="000E1D42">
        <w:rPr>
          <w:lang w:val="ru-RU"/>
        </w:rPr>
        <w:t xml:space="preserve">X.5Gsec-asra) </w:t>
      </w:r>
      <w:r w:rsidR="00005494" w:rsidRPr="000E1D42">
        <w:rPr>
          <w:lang w:val="ru-RU"/>
        </w:rPr>
        <w:t>(</w:t>
      </w:r>
      <w:hyperlink r:id="rId20" w:history="1">
        <w:r w:rsidR="00795355" w:rsidRPr="000E1D42">
          <w:rPr>
            <w:rStyle w:val="Hyperlink"/>
            <w:lang w:val="fr-FR"/>
          </w:rPr>
          <w:t>SG</w:t>
        </w:r>
        <w:r w:rsidR="00795355" w:rsidRPr="000A6DFC">
          <w:rPr>
            <w:rStyle w:val="Hyperlink"/>
            <w:lang w:val="ru-RU"/>
          </w:rPr>
          <w:t>17-</w:t>
        </w:r>
        <w:r w:rsidR="00795355" w:rsidRPr="000E1D42">
          <w:rPr>
            <w:rStyle w:val="Hyperlink"/>
            <w:lang w:val="fr-FR"/>
          </w:rPr>
          <w:t>R</w:t>
        </w:r>
        <w:r w:rsidR="00795355" w:rsidRPr="000A6DFC">
          <w:rPr>
            <w:rStyle w:val="Hyperlink"/>
            <w:lang w:val="ru-RU"/>
          </w:rPr>
          <w:t>27</w:t>
        </w:r>
      </w:hyperlink>
      <w:r w:rsidR="00005494" w:rsidRPr="000E1D42">
        <w:rPr>
          <w:lang w:val="ru-RU"/>
        </w:rPr>
        <w:t>)</w:t>
      </w:r>
    </w:p>
    <w:p w14:paraId="75E72DC7" w14:textId="686CB80F" w:rsidR="00313AF3" w:rsidRPr="005A551D" w:rsidRDefault="00795355" w:rsidP="009733C5">
      <w:pPr>
        <w:rPr>
          <w:bCs/>
          <w:lang w:val="ru-RU"/>
        </w:rPr>
      </w:pPr>
      <w:r w:rsidRPr="000E1D42">
        <w:rPr>
          <w:lang w:val="ru-RU"/>
        </w:rPr>
        <w:t>Руководящие указания по анализу риска безопасности активов сетей IMT-2020/5G и технические требования к нему</w:t>
      </w:r>
    </w:p>
    <w:p w14:paraId="40D42653" w14:textId="77777777" w:rsidR="00313AF3" w:rsidRPr="000E1D42" w:rsidRDefault="00313AF3" w:rsidP="007207FA">
      <w:pPr>
        <w:pStyle w:val="Headingb"/>
        <w:rPr>
          <w:lang w:val="ru-RU"/>
        </w:rPr>
      </w:pPr>
      <w:r w:rsidRPr="000E1D42">
        <w:rPr>
          <w:lang w:val="ru-RU"/>
        </w:rPr>
        <w:t>Резюме</w:t>
      </w:r>
    </w:p>
    <w:p w14:paraId="1653ABE1" w14:textId="0F5F8B52" w:rsidR="00313AF3" w:rsidRPr="000E1D42" w:rsidRDefault="00795355" w:rsidP="00F37B86">
      <w:pPr>
        <w:tabs>
          <w:tab w:val="clear" w:pos="794"/>
          <w:tab w:val="clear" w:pos="1191"/>
          <w:tab w:val="clear" w:pos="1588"/>
          <w:tab w:val="clear" w:pos="1985"/>
        </w:tabs>
        <w:overflowPunct/>
        <w:autoSpaceDE/>
        <w:autoSpaceDN/>
        <w:adjustRightInd/>
        <w:textAlignment w:val="auto"/>
        <w:rPr>
          <w:bCs/>
          <w:lang w:val="ru-RU"/>
        </w:rPr>
      </w:pPr>
      <w:r w:rsidRPr="000E1D42">
        <w:rPr>
          <w:lang w:val="ru-RU"/>
        </w:rPr>
        <w:t>В настоящей Рекомендации описана необходимость проведения анализа рисков безопасности для активов сетей IMT-2020/5G на этапе эксплуатации и технического обслуживания и определены пробелы в существующей практике. На основании этого анализа в Рекомендации определены технические требования и руководящие указания для анализа рисков безопасности активов сетей IMT-2020/5G, а именно выявления уязвимостей, проверки базового уровня безопасности и анализа событий, связанных с безопасностью активов</w:t>
      </w:r>
      <w:r w:rsidR="00F37B86" w:rsidRPr="000E1D42">
        <w:rPr>
          <w:lang w:val="ru-RU"/>
        </w:rPr>
        <w:t>.</w:t>
      </w:r>
    </w:p>
    <w:p w14:paraId="22F582E0" w14:textId="40E5E5E5" w:rsidR="00313AF3" w:rsidRPr="000E1D42" w:rsidRDefault="00313AF3" w:rsidP="007207FA">
      <w:pPr>
        <w:pStyle w:val="Heading1"/>
        <w:rPr>
          <w:rFonts w:asciiTheme="minorHAnsi" w:hAnsiTheme="minorHAnsi" w:cstheme="minorHAnsi"/>
          <w:szCs w:val="22"/>
          <w:lang w:val="ru-RU"/>
        </w:rPr>
      </w:pPr>
      <w:r w:rsidRPr="000E1D42">
        <w:rPr>
          <w:bCs/>
          <w:szCs w:val="22"/>
          <w:lang w:val="ru-RU"/>
        </w:rPr>
        <w:t>4</w:t>
      </w:r>
      <w:r w:rsidRPr="000E1D42">
        <w:rPr>
          <w:szCs w:val="22"/>
          <w:lang w:val="ru-RU"/>
        </w:rPr>
        <w:tab/>
        <w:t xml:space="preserve">Проект </w:t>
      </w:r>
      <w:r w:rsidR="006867EB" w:rsidRPr="000E1D42">
        <w:rPr>
          <w:szCs w:val="22"/>
          <w:lang w:val="ru-RU"/>
        </w:rPr>
        <w:t xml:space="preserve">Рекомендации МСЭ-Т X.1350 </w:t>
      </w:r>
      <w:r w:rsidR="000E1D42" w:rsidRPr="000E1D42">
        <w:rPr>
          <w:szCs w:val="22"/>
          <w:lang w:val="ru-RU"/>
        </w:rPr>
        <w:t xml:space="preserve">(ранее − </w:t>
      </w:r>
      <w:r w:rsidR="006867EB" w:rsidRPr="000E1D42">
        <w:rPr>
          <w:szCs w:val="22"/>
          <w:lang w:val="ru-RU"/>
        </w:rPr>
        <w:t>X.sr-iiot)</w:t>
      </w:r>
      <w:r w:rsidR="00F37B86" w:rsidRPr="000E1D42">
        <w:rPr>
          <w:szCs w:val="22"/>
          <w:lang w:val="ru-RU"/>
        </w:rPr>
        <w:t xml:space="preserve"> (</w:t>
      </w:r>
      <w:hyperlink r:id="rId21" w:history="1">
        <w:r w:rsidR="00795355" w:rsidRPr="000E1D42">
          <w:rPr>
            <w:rStyle w:val="Hyperlink"/>
            <w:lang w:val="fr-FR"/>
          </w:rPr>
          <w:t>SG</w:t>
        </w:r>
        <w:r w:rsidR="00795355" w:rsidRPr="000A6DFC">
          <w:rPr>
            <w:rStyle w:val="Hyperlink"/>
            <w:lang w:val="ru-RU"/>
          </w:rPr>
          <w:t>17-</w:t>
        </w:r>
        <w:r w:rsidR="00795355" w:rsidRPr="000E1D42">
          <w:rPr>
            <w:rStyle w:val="Hyperlink"/>
            <w:lang w:val="fr-FR"/>
          </w:rPr>
          <w:t>R</w:t>
        </w:r>
        <w:r w:rsidR="00795355" w:rsidRPr="000A6DFC">
          <w:rPr>
            <w:rStyle w:val="Hyperlink"/>
            <w:lang w:val="ru-RU"/>
          </w:rPr>
          <w:t>28</w:t>
        </w:r>
      </w:hyperlink>
      <w:r w:rsidR="00F37B86" w:rsidRPr="000E1D42">
        <w:rPr>
          <w:szCs w:val="22"/>
          <w:lang w:val="ru-RU"/>
        </w:rPr>
        <w:t>)</w:t>
      </w:r>
    </w:p>
    <w:p w14:paraId="3FAA7E54" w14:textId="1E798ED8" w:rsidR="00313AF3" w:rsidRPr="000E1D42" w:rsidRDefault="006867EB" w:rsidP="009733C5">
      <w:pPr>
        <w:rPr>
          <w:b/>
          <w:lang w:val="ru-RU"/>
        </w:rPr>
      </w:pPr>
      <w:r w:rsidRPr="000E1D42">
        <w:rPr>
          <w:lang w:val="ru-RU"/>
        </w:rPr>
        <w:t xml:space="preserve">Требования безопасности промышленного интернета вещей в </w:t>
      </w:r>
      <w:r w:rsidR="000E68D6" w:rsidRPr="000E1D42">
        <w:rPr>
          <w:lang w:val="ru-RU"/>
        </w:rPr>
        <w:t>"</w:t>
      </w:r>
      <w:r w:rsidRPr="000E1D42">
        <w:rPr>
          <w:lang w:val="ru-RU"/>
        </w:rPr>
        <w:t>умном</w:t>
      </w:r>
      <w:r w:rsidR="000E68D6" w:rsidRPr="000E1D42">
        <w:rPr>
          <w:lang w:val="ru-RU"/>
        </w:rPr>
        <w:t>"</w:t>
      </w:r>
      <w:r w:rsidRPr="000E1D42">
        <w:rPr>
          <w:lang w:val="ru-RU"/>
        </w:rPr>
        <w:t xml:space="preserve"> производстве</w:t>
      </w:r>
    </w:p>
    <w:p w14:paraId="0ABD23C7" w14:textId="77777777" w:rsidR="00313AF3" w:rsidRPr="000E1D42" w:rsidRDefault="00313AF3" w:rsidP="007207FA">
      <w:pPr>
        <w:pStyle w:val="Headingb"/>
        <w:rPr>
          <w:lang w:val="ru-RU"/>
        </w:rPr>
      </w:pPr>
      <w:r w:rsidRPr="000E1D42">
        <w:rPr>
          <w:lang w:val="ru-RU"/>
        </w:rPr>
        <w:t>Резюме</w:t>
      </w:r>
    </w:p>
    <w:p w14:paraId="7633D470" w14:textId="4C4AD352" w:rsidR="00313AF3" w:rsidRPr="000E1D42" w:rsidRDefault="006867EB" w:rsidP="00313AF3">
      <w:pPr>
        <w:tabs>
          <w:tab w:val="clear" w:pos="794"/>
          <w:tab w:val="clear" w:pos="1191"/>
          <w:tab w:val="clear" w:pos="1588"/>
          <w:tab w:val="clear" w:pos="1985"/>
        </w:tabs>
        <w:overflowPunct/>
        <w:autoSpaceDE/>
        <w:autoSpaceDN/>
        <w:adjustRightInd/>
        <w:textAlignment w:val="auto"/>
        <w:rPr>
          <w:lang w:val="ru-RU"/>
        </w:rPr>
      </w:pPr>
      <w:r w:rsidRPr="000E1D42">
        <w:rPr>
          <w:lang w:val="ru-RU"/>
        </w:rPr>
        <w:t xml:space="preserve">В настоящей Рекомендации определены потенциальные угрозы безопасности и приведены соответствующие требования безопасности, которые могут возникнуть в аспекте интеллекта модели </w:t>
      </w:r>
      <w:r w:rsidR="000E68D6" w:rsidRPr="000E1D42">
        <w:rPr>
          <w:lang w:val="ru-RU"/>
        </w:rPr>
        <w:t>"</w:t>
      </w:r>
      <w:r w:rsidRPr="000E1D42">
        <w:rPr>
          <w:lang w:val="ru-RU"/>
        </w:rPr>
        <w:t>умного</w:t>
      </w:r>
      <w:r w:rsidR="000E68D6" w:rsidRPr="000E1D42">
        <w:rPr>
          <w:lang w:val="ru-RU"/>
        </w:rPr>
        <w:t>"</w:t>
      </w:r>
      <w:r w:rsidRPr="000E1D42">
        <w:rPr>
          <w:lang w:val="ru-RU"/>
        </w:rPr>
        <w:t xml:space="preserve"> производства на основе промышленного интернета вещей (IIoT), описанной в [ITU-T Y.4003]. В частности, в настоящей Рекомендации определены потенциальные угрозы безопасности, которые могут возникнуть на каждом уровне аспекта интеллекта, одного из трех аспектов </w:t>
      </w:r>
      <w:r w:rsidR="000E68D6" w:rsidRPr="000E1D42">
        <w:rPr>
          <w:lang w:val="ru-RU"/>
        </w:rPr>
        <w:t>"</w:t>
      </w:r>
      <w:r w:rsidRPr="000E1D42">
        <w:rPr>
          <w:lang w:val="ru-RU"/>
        </w:rPr>
        <w:t>умного</w:t>
      </w:r>
      <w:r w:rsidR="000E68D6" w:rsidRPr="000E1D42">
        <w:rPr>
          <w:lang w:val="ru-RU"/>
        </w:rPr>
        <w:t>"</w:t>
      </w:r>
      <w:r w:rsidRPr="000E1D42">
        <w:rPr>
          <w:lang w:val="ru-RU"/>
        </w:rPr>
        <w:t xml:space="preserve"> производства на основе IIoT (жизненный цикл продукции, системная иерархия, интеллект). Описаны требования безопасности для реагирования на выявленные угрозы безопасности в целях обеспечения защиты аспекта интеллекта </w:t>
      </w:r>
      <w:r w:rsidR="000E68D6" w:rsidRPr="000E1D42">
        <w:rPr>
          <w:lang w:val="ru-RU"/>
        </w:rPr>
        <w:t>"</w:t>
      </w:r>
      <w:r w:rsidRPr="000E1D42">
        <w:rPr>
          <w:lang w:val="ru-RU"/>
        </w:rPr>
        <w:t>умного</w:t>
      </w:r>
      <w:r w:rsidR="000E68D6" w:rsidRPr="000E1D42">
        <w:rPr>
          <w:lang w:val="ru-RU"/>
        </w:rPr>
        <w:t>"</w:t>
      </w:r>
      <w:r w:rsidRPr="000E1D42">
        <w:rPr>
          <w:lang w:val="ru-RU"/>
        </w:rPr>
        <w:t xml:space="preserve"> производства на основе IIoT</w:t>
      </w:r>
      <w:r w:rsidR="00313AF3" w:rsidRPr="000E1D42">
        <w:rPr>
          <w:lang w:val="ru-RU"/>
        </w:rPr>
        <w:t>.</w:t>
      </w:r>
    </w:p>
    <w:p w14:paraId="3D69B118" w14:textId="0250112C" w:rsidR="00313AF3" w:rsidRPr="000E1D42" w:rsidRDefault="00313AF3" w:rsidP="0080257B">
      <w:pPr>
        <w:pStyle w:val="Heading1"/>
        <w:rPr>
          <w:lang w:val="ru-RU"/>
        </w:rPr>
      </w:pPr>
      <w:r w:rsidRPr="000E1D42">
        <w:rPr>
          <w:lang w:val="ru-RU"/>
        </w:rPr>
        <w:t>5</w:t>
      </w:r>
      <w:r w:rsidRPr="000E1D42">
        <w:rPr>
          <w:lang w:val="ru-RU"/>
        </w:rPr>
        <w:tab/>
        <w:t xml:space="preserve">Проект </w:t>
      </w:r>
      <w:r w:rsidR="006867EB" w:rsidRPr="000E1D42">
        <w:rPr>
          <w:lang w:val="ru-RU"/>
        </w:rPr>
        <w:t xml:space="preserve">Рекомендации МСЭ-T X.2105 </w:t>
      </w:r>
      <w:r w:rsidR="000E1D42" w:rsidRPr="000E1D42">
        <w:rPr>
          <w:lang w:val="ru-RU"/>
        </w:rPr>
        <w:t xml:space="preserve">(ранее − </w:t>
      </w:r>
      <w:r w:rsidR="006867EB" w:rsidRPr="000E1D42">
        <w:rPr>
          <w:lang w:val="ru-RU"/>
        </w:rPr>
        <w:t>X.st-ssc)</w:t>
      </w:r>
      <w:r w:rsidRPr="000E1D42">
        <w:rPr>
          <w:lang w:val="ru-RU"/>
        </w:rPr>
        <w:t xml:space="preserve"> </w:t>
      </w:r>
      <w:r w:rsidR="00654C0B" w:rsidRPr="000E1D42">
        <w:rPr>
          <w:lang w:val="ru-RU"/>
        </w:rPr>
        <w:t>(</w:t>
      </w:r>
      <w:hyperlink r:id="rId22" w:history="1">
        <w:r w:rsidR="00795355" w:rsidRPr="000E1D42">
          <w:rPr>
            <w:rStyle w:val="Hyperlink"/>
            <w:lang w:val="fr-FR"/>
          </w:rPr>
          <w:t>SG</w:t>
        </w:r>
        <w:r w:rsidR="00795355" w:rsidRPr="000A6DFC">
          <w:rPr>
            <w:rStyle w:val="Hyperlink"/>
            <w:lang w:val="ru-RU"/>
          </w:rPr>
          <w:t>17-</w:t>
        </w:r>
        <w:r w:rsidR="00795355" w:rsidRPr="000E1D42">
          <w:rPr>
            <w:rStyle w:val="Hyperlink"/>
            <w:lang w:val="fr-FR"/>
          </w:rPr>
          <w:t>R</w:t>
        </w:r>
        <w:r w:rsidR="00795355" w:rsidRPr="000A6DFC">
          <w:rPr>
            <w:rStyle w:val="Hyperlink"/>
            <w:lang w:val="ru-RU"/>
          </w:rPr>
          <w:t>29</w:t>
        </w:r>
      </w:hyperlink>
      <w:r w:rsidR="00654C0B" w:rsidRPr="000E1D42">
        <w:rPr>
          <w:lang w:val="ru-RU"/>
        </w:rPr>
        <w:t>)</w:t>
      </w:r>
    </w:p>
    <w:p w14:paraId="1ABBA87C" w14:textId="3573A69C" w:rsidR="00313AF3" w:rsidRPr="000E1D42" w:rsidRDefault="006867EB" w:rsidP="009733C5">
      <w:pPr>
        <w:rPr>
          <w:b/>
          <w:lang w:val="ru-RU"/>
        </w:rPr>
      </w:pPr>
      <w:r w:rsidRPr="000E1D42">
        <w:rPr>
          <w:lang w:val="ru-RU"/>
        </w:rPr>
        <w:t>Угрозы безопасности для цепочки поставок программного обеспечения</w:t>
      </w:r>
    </w:p>
    <w:p w14:paraId="2C3B4A74" w14:textId="77777777" w:rsidR="00313AF3" w:rsidRPr="000E1D42" w:rsidRDefault="00313AF3" w:rsidP="007207FA">
      <w:pPr>
        <w:pStyle w:val="Headingb"/>
        <w:rPr>
          <w:lang w:val="ru-RU"/>
        </w:rPr>
      </w:pPr>
      <w:r w:rsidRPr="000E1D42">
        <w:rPr>
          <w:lang w:val="ru-RU"/>
        </w:rPr>
        <w:t>Резюме</w:t>
      </w:r>
    </w:p>
    <w:p w14:paraId="54E7018D" w14:textId="6AEE1DD2" w:rsidR="006867EB" w:rsidRPr="00C53C88" w:rsidRDefault="006867EB" w:rsidP="006867EB">
      <w:pPr>
        <w:tabs>
          <w:tab w:val="clear" w:pos="794"/>
          <w:tab w:val="clear" w:pos="1191"/>
          <w:tab w:val="clear" w:pos="1588"/>
          <w:tab w:val="clear" w:pos="1985"/>
        </w:tabs>
        <w:overflowPunct/>
        <w:autoSpaceDE/>
        <w:autoSpaceDN/>
        <w:adjustRightInd/>
        <w:textAlignment w:val="auto"/>
        <w:rPr>
          <w:lang w:val="ru-RU"/>
        </w:rPr>
      </w:pPr>
      <w:bookmarkStart w:id="1" w:name="_Hlk223895517"/>
      <w:r w:rsidRPr="006867EB">
        <w:rPr>
          <w:lang w:val="ru-RU"/>
        </w:rPr>
        <w:t>В последние годы значительно возросло число кибератак, вызванных уязвимостями в цепочке поставок программного обеспечения. Такие атаки могут привести к разрушительным, дорогостоящим и долгосрочным последствиям для затронутых организаций, их цепочек поставок и клиентов. Для противодействия этим угрозам необходимо выявлять угрозы безопасности на всех этапах жизненного цикла цепочки поставок программного обеспечения. Также необходимо определить все заинтересованные стороны. Эти угрозы можно использовать для разработки мер обеспечения безопасности на протяжении всего жизненного цикла цепочки поставок программного обеспечения.</w:t>
      </w:r>
    </w:p>
    <w:p w14:paraId="79A420D3" w14:textId="671B52E6" w:rsidR="00313AF3" w:rsidRPr="000E1D42" w:rsidRDefault="006867EB" w:rsidP="006867EB">
      <w:pPr>
        <w:tabs>
          <w:tab w:val="clear" w:pos="794"/>
          <w:tab w:val="clear" w:pos="1191"/>
          <w:tab w:val="clear" w:pos="1588"/>
          <w:tab w:val="clear" w:pos="1985"/>
        </w:tabs>
        <w:overflowPunct/>
        <w:autoSpaceDE/>
        <w:autoSpaceDN/>
        <w:adjustRightInd/>
        <w:textAlignment w:val="auto"/>
        <w:rPr>
          <w:lang w:val="ru-RU"/>
        </w:rPr>
      </w:pPr>
      <w:bookmarkStart w:id="2" w:name="_Hlk223895571"/>
      <w:r w:rsidRPr="000E1D42">
        <w:rPr>
          <w:lang w:val="ru-RU"/>
        </w:rPr>
        <w:t xml:space="preserve">В настоящей </w:t>
      </w:r>
      <w:r w:rsidRPr="006867EB">
        <w:rPr>
          <w:lang w:val="ru-RU"/>
        </w:rPr>
        <w:t>Рекомендации содержит</w:t>
      </w:r>
      <w:r w:rsidRPr="000E1D42">
        <w:rPr>
          <w:lang w:val="ru-RU"/>
        </w:rPr>
        <w:t>ся</w:t>
      </w:r>
      <w:r w:rsidRPr="006867EB">
        <w:rPr>
          <w:lang w:val="ru-RU"/>
        </w:rPr>
        <w:t xml:space="preserve"> информаци</w:t>
      </w:r>
      <w:r w:rsidRPr="000E1D42">
        <w:rPr>
          <w:lang w:val="ru-RU"/>
        </w:rPr>
        <w:t>я</w:t>
      </w:r>
      <w:r w:rsidRPr="006867EB">
        <w:rPr>
          <w:lang w:val="ru-RU"/>
        </w:rPr>
        <w:t xml:space="preserve"> о высокоуровневых угрозах безопасности и мерах обеспечения безопасности цепочки поставок программного обеспечения, а также о низкоуровневых угрозах безопасности для цепочки поставок программного обеспечения, включая программное обеспечение с открытым исходным кодом (OSS) и программное обеспечение с закрытым исходным кодом. В не</w:t>
      </w:r>
      <w:r w:rsidRPr="000E1D42">
        <w:rPr>
          <w:lang w:val="ru-RU"/>
        </w:rPr>
        <w:t>й</w:t>
      </w:r>
      <w:r w:rsidRPr="006867EB">
        <w:rPr>
          <w:lang w:val="ru-RU"/>
        </w:rPr>
        <w:t xml:space="preserve"> также приводятся основные принципы и примеры атак на цепочки поставок, определяются заинтересованные стороны, участвующие в разработке, создании и распространении программного обеспечения, а также уточняется классификация угроз безопасности, возникающих в течение жизненного цикла программного обеспечения</w:t>
      </w:r>
      <w:bookmarkEnd w:id="2"/>
      <w:r w:rsidRPr="006867EB">
        <w:rPr>
          <w:lang w:val="ru-RU"/>
        </w:rPr>
        <w:t>.</w:t>
      </w:r>
      <w:r w:rsidRPr="000E1D42">
        <w:rPr>
          <w:lang w:val="ru-RU"/>
        </w:rPr>
        <w:t xml:space="preserve"> Кроме того, угрозам безопасности присваивается индекс согласно их категории, чтобы на каждую угрозу можно было ссылаться в других частях настоящей Рекомендации и других Рекомендациях.</w:t>
      </w:r>
      <w:bookmarkEnd w:id="1"/>
    </w:p>
    <w:p w14:paraId="613FB76D" w14:textId="6B0354A9" w:rsidR="00654C0B" w:rsidRPr="000E1D42" w:rsidRDefault="00654C0B" w:rsidP="00654C0B">
      <w:pPr>
        <w:pStyle w:val="Heading1"/>
        <w:rPr>
          <w:lang w:val="ru-RU"/>
        </w:rPr>
      </w:pPr>
      <w:r w:rsidRPr="000E1D42">
        <w:rPr>
          <w:lang w:val="ru-RU"/>
        </w:rPr>
        <w:lastRenderedPageBreak/>
        <w:t>6</w:t>
      </w:r>
      <w:r w:rsidRPr="000E1D42">
        <w:rPr>
          <w:lang w:val="ru-RU"/>
        </w:rPr>
        <w:tab/>
        <w:t xml:space="preserve">Проект </w:t>
      </w:r>
      <w:r w:rsidR="004D6292" w:rsidRPr="000E1D42">
        <w:rPr>
          <w:lang w:val="ru-RU"/>
        </w:rPr>
        <w:t xml:space="preserve">Рекомендации МСЭ-Т X.2210 </w:t>
      </w:r>
      <w:r w:rsidR="000E1D42" w:rsidRPr="000E1D42">
        <w:rPr>
          <w:lang w:val="ru-RU"/>
        </w:rPr>
        <w:t xml:space="preserve">(ранее − </w:t>
      </w:r>
      <w:r w:rsidR="004D6292" w:rsidRPr="000E1D42">
        <w:rPr>
          <w:lang w:val="ru-RU"/>
        </w:rPr>
        <w:t>X.ig-dw)</w:t>
      </w:r>
      <w:r w:rsidRPr="000E1D42">
        <w:rPr>
          <w:lang w:val="ru-RU"/>
        </w:rPr>
        <w:t xml:space="preserve"> (</w:t>
      </w:r>
      <w:hyperlink r:id="rId23" w:history="1">
        <w:r w:rsidR="00795355" w:rsidRPr="000E1D42">
          <w:rPr>
            <w:rStyle w:val="Hyperlink"/>
            <w:lang w:val="fr-FR"/>
          </w:rPr>
          <w:t>SG</w:t>
        </w:r>
        <w:r w:rsidR="00795355" w:rsidRPr="000A6DFC">
          <w:rPr>
            <w:rStyle w:val="Hyperlink"/>
            <w:lang w:val="ru-RU"/>
          </w:rPr>
          <w:t>17-</w:t>
        </w:r>
        <w:r w:rsidR="00795355" w:rsidRPr="000E1D42">
          <w:rPr>
            <w:rStyle w:val="Hyperlink"/>
            <w:lang w:val="fr-FR"/>
          </w:rPr>
          <w:t>R</w:t>
        </w:r>
        <w:r w:rsidR="00795355" w:rsidRPr="000A6DFC">
          <w:rPr>
            <w:rStyle w:val="Hyperlink"/>
            <w:lang w:val="ru-RU"/>
          </w:rPr>
          <w:t>30</w:t>
        </w:r>
      </w:hyperlink>
      <w:r w:rsidRPr="000E1D42">
        <w:rPr>
          <w:lang w:val="ru-RU"/>
        </w:rPr>
        <w:t>)</w:t>
      </w:r>
    </w:p>
    <w:p w14:paraId="646CBBF8" w14:textId="5565A812" w:rsidR="00654C0B" w:rsidRPr="000E1D42" w:rsidRDefault="006867EB" w:rsidP="009733C5">
      <w:pPr>
        <w:rPr>
          <w:b/>
          <w:lang w:val="ru-RU"/>
        </w:rPr>
      </w:pPr>
      <w:r w:rsidRPr="000E1D42">
        <w:rPr>
          <w:lang w:val="ru-RU"/>
        </w:rPr>
        <w:t>Руководящие указания по внедрению цифровых водяных знаков</w:t>
      </w:r>
    </w:p>
    <w:p w14:paraId="3A73FE19" w14:textId="77777777" w:rsidR="00654C0B" w:rsidRPr="0080257B" w:rsidRDefault="00654C0B" w:rsidP="00654C0B">
      <w:pPr>
        <w:pStyle w:val="Headingb"/>
        <w:rPr>
          <w:lang w:val="ru-RU"/>
        </w:rPr>
      </w:pPr>
      <w:r w:rsidRPr="000E1D42">
        <w:rPr>
          <w:lang w:val="ru-RU"/>
        </w:rPr>
        <w:t>Резюме</w:t>
      </w:r>
    </w:p>
    <w:p w14:paraId="7B0B1445" w14:textId="5B1D7E7C" w:rsidR="00B42AFE" w:rsidRPr="00B42AFE" w:rsidRDefault="00B42AFE" w:rsidP="00B42AFE">
      <w:pPr>
        <w:tabs>
          <w:tab w:val="clear" w:pos="794"/>
          <w:tab w:val="clear" w:pos="1191"/>
          <w:tab w:val="clear" w:pos="1588"/>
          <w:tab w:val="clear" w:pos="1985"/>
        </w:tabs>
        <w:overflowPunct/>
        <w:autoSpaceDE/>
        <w:autoSpaceDN/>
        <w:adjustRightInd/>
        <w:textAlignment w:val="auto"/>
        <w:rPr>
          <w:lang w:val="ru-RU"/>
        </w:rPr>
      </w:pPr>
      <w:bookmarkStart w:id="3" w:name="_Hlk223943992"/>
      <w:r w:rsidRPr="00B42AFE">
        <w:rPr>
          <w:lang w:val="ru-RU"/>
        </w:rPr>
        <w:t>В стремительно меняющейся цифровой экономике технология цифровых водяных знаков становится одной из важнейших областей, решающей все более актуальную проблему пиратства цифрового контента, проверки подлинности и доверенного управления активами данных. Эта технология, особенно в ее невидимой форме, играет важную роль в защите авторских прав в цифровой среде и подтверждении подлинности различных цифровых медиа, включая изображения, видеоролики, аудиозаписи, документы, веб-страницы, базы данных и появляющийся генеративный контент искусственного интеллекта. Вместе с тем она также сопряжена со значительными проблемами. Распространение новых форм атак и помех, таких как сложные инструменты редактирования изображений и видео, масштабные платформы распространения контента и несанкционированная утечка информации, все в большей степени затрудняет извлечение водяных знаков и защиту целостности. Более того, появление нового цифрового контента, такого как контент генеративного искусственного интеллекта (ИИ) и интерактивные услуги в режиме реального времени, обусловливает новые прикладные требования, в результате чего возникает необходимость в совершенствовании методов встраивания водяных знаков для удовлетворения требований большой пропускной способности и работы в режиме реального времени параллельно с обеспечением высокого уровня безопасности и надежности.</w:t>
      </w:r>
    </w:p>
    <w:p w14:paraId="731588C2" w14:textId="77777777" w:rsidR="00B42AFE" w:rsidRPr="00B42AFE" w:rsidRDefault="00B42AFE" w:rsidP="00B42AFE">
      <w:pPr>
        <w:tabs>
          <w:tab w:val="clear" w:pos="794"/>
          <w:tab w:val="clear" w:pos="1191"/>
          <w:tab w:val="clear" w:pos="1588"/>
          <w:tab w:val="clear" w:pos="1985"/>
        </w:tabs>
        <w:overflowPunct/>
        <w:autoSpaceDE/>
        <w:autoSpaceDN/>
        <w:adjustRightInd/>
        <w:textAlignment w:val="auto"/>
        <w:rPr>
          <w:lang w:val="ru-RU"/>
        </w:rPr>
      </w:pPr>
      <w:r w:rsidRPr="00B42AFE">
        <w:rPr>
          <w:lang w:val="ru-RU"/>
        </w:rPr>
        <w:t>В настоящей Рекомендации признаются эти проблемы и необходимость унифицированного подхода к реализации для различных типов носителей водяных знаков; она предназначена для предоставления организациям руководства по эффективному внедрению технологии цифровых водяных знаков, при этом основное внимание уделяется повышению ее удобства, надежности и достоверности.</w:t>
      </w:r>
    </w:p>
    <w:p w14:paraId="0EE7D93B" w14:textId="613994C5" w:rsidR="00654C0B" w:rsidRPr="0080257B" w:rsidRDefault="00B42AFE" w:rsidP="00654C0B">
      <w:pPr>
        <w:tabs>
          <w:tab w:val="clear" w:pos="794"/>
          <w:tab w:val="clear" w:pos="1191"/>
          <w:tab w:val="clear" w:pos="1588"/>
          <w:tab w:val="clear" w:pos="1985"/>
        </w:tabs>
        <w:overflowPunct/>
        <w:autoSpaceDE/>
        <w:autoSpaceDN/>
        <w:adjustRightInd/>
        <w:textAlignment w:val="auto"/>
        <w:rPr>
          <w:bCs/>
          <w:lang w:val="ru-RU"/>
        </w:rPr>
      </w:pPr>
      <w:r w:rsidRPr="00B42AFE">
        <w:rPr>
          <w:lang w:val="ru-RU"/>
        </w:rPr>
        <w:t>К типичным сценариям применения, охватываемым настоящей Рекомендацией, относятся отслеживание утечек данных, защита целостности данных в таких услугах, как потоковое видео в реальном времени и масштабное распространение контента. В настоящей Рекомендации содержатся руководящие указания по определению задач реализации, выбору алгоритмов встраивания водяных знаков на основе подхода с подробной методикой, а также инкапсуляции услуг по нанесению водяных знаков, благодаря которым обеспечивается комплексная и практическая основа для внедрения цифровых водяных знаков, отвечающая текущим и будущим потребностям в защите цифрового контента и поддерживающая доверенные цифровые услуги в современной цифровой среде.</w:t>
      </w:r>
      <w:bookmarkEnd w:id="3"/>
    </w:p>
    <w:p w14:paraId="18B926E0" w14:textId="4B5CA46F" w:rsidR="00654C0B" w:rsidRPr="000E1D42" w:rsidRDefault="00301BFE" w:rsidP="00654C0B">
      <w:pPr>
        <w:pStyle w:val="Heading1"/>
        <w:rPr>
          <w:lang w:val="ru-RU"/>
        </w:rPr>
      </w:pPr>
      <w:r w:rsidRPr="000E1D42">
        <w:rPr>
          <w:lang w:val="ru-RU"/>
        </w:rPr>
        <w:t>7</w:t>
      </w:r>
      <w:r w:rsidR="00654C0B" w:rsidRPr="000E1D42">
        <w:rPr>
          <w:lang w:val="ru-RU"/>
        </w:rPr>
        <w:tab/>
        <w:t xml:space="preserve">Проект </w:t>
      </w:r>
      <w:r w:rsidR="00B421ED" w:rsidRPr="000E1D42">
        <w:rPr>
          <w:lang w:val="ru-RU"/>
        </w:rPr>
        <w:t xml:space="preserve">Рекомендации МСЭ-Т X.1910 </w:t>
      </w:r>
      <w:r w:rsidR="000E1D42" w:rsidRPr="000E1D42">
        <w:rPr>
          <w:lang w:val="ru-RU"/>
        </w:rPr>
        <w:t xml:space="preserve">(ранее − </w:t>
      </w:r>
      <w:r w:rsidR="00B421ED" w:rsidRPr="000E1D42">
        <w:rPr>
          <w:lang w:val="ru-RU"/>
        </w:rPr>
        <w:t>X.tc-ifd)</w:t>
      </w:r>
      <w:r w:rsidR="00654C0B" w:rsidRPr="000E1D42">
        <w:rPr>
          <w:lang w:val="ru-RU"/>
        </w:rPr>
        <w:t xml:space="preserve"> </w:t>
      </w:r>
      <w:r w:rsidRPr="000E1D42">
        <w:rPr>
          <w:lang w:val="ru-RU"/>
        </w:rPr>
        <w:t>(</w:t>
      </w:r>
      <w:hyperlink r:id="rId24" w:history="1">
        <w:r w:rsidR="00795355" w:rsidRPr="000E1D42">
          <w:rPr>
            <w:rStyle w:val="Hyperlink"/>
            <w:lang w:val="fr-FR"/>
          </w:rPr>
          <w:t>SG</w:t>
        </w:r>
        <w:r w:rsidR="00795355" w:rsidRPr="000A6DFC">
          <w:rPr>
            <w:rStyle w:val="Hyperlink"/>
            <w:lang w:val="ru-RU"/>
          </w:rPr>
          <w:t>17-</w:t>
        </w:r>
        <w:r w:rsidR="00795355" w:rsidRPr="000E1D42">
          <w:rPr>
            <w:rStyle w:val="Hyperlink"/>
            <w:lang w:val="fr-FR"/>
          </w:rPr>
          <w:t>R</w:t>
        </w:r>
        <w:r w:rsidR="00795355" w:rsidRPr="000A6DFC">
          <w:rPr>
            <w:rStyle w:val="Hyperlink"/>
            <w:lang w:val="ru-RU"/>
          </w:rPr>
          <w:t>31</w:t>
        </w:r>
      </w:hyperlink>
      <w:r w:rsidRPr="000E1D42">
        <w:rPr>
          <w:lang w:val="ru-RU"/>
        </w:rPr>
        <w:t>)</w:t>
      </w:r>
    </w:p>
    <w:p w14:paraId="12153133" w14:textId="76EDFDA2" w:rsidR="00654C0B" w:rsidRPr="000E1D42" w:rsidRDefault="00BE6B6A" w:rsidP="009733C5">
      <w:pPr>
        <w:rPr>
          <w:b/>
          <w:lang w:val="ru-RU"/>
        </w:rPr>
      </w:pPr>
      <w:r w:rsidRPr="000E1D42">
        <w:rPr>
          <w:lang w:val="ru-RU"/>
        </w:rPr>
        <w:t>Технические возможности интерактивного обнаружения риска обмана</w:t>
      </w:r>
    </w:p>
    <w:p w14:paraId="520D327D" w14:textId="77777777" w:rsidR="00654C0B" w:rsidRPr="000E1D42" w:rsidRDefault="00654C0B" w:rsidP="00654C0B">
      <w:pPr>
        <w:pStyle w:val="Headingb"/>
        <w:rPr>
          <w:lang w:val="ru-RU"/>
        </w:rPr>
      </w:pPr>
      <w:r w:rsidRPr="000E1D42">
        <w:rPr>
          <w:lang w:val="ru-RU"/>
        </w:rPr>
        <w:t>Резюме</w:t>
      </w:r>
    </w:p>
    <w:p w14:paraId="65E526A2" w14:textId="6CAFD867" w:rsidR="00BE6B6A" w:rsidRPr="000E1D42" w:rsidRDefault="00BE6B6A" w:rsidP="00BE6B6A">
      <w:pPr>
        <w:rPr>
          <w:rFonts w:ascii="Times New Roman" w:hAnsi="Times New Roman"/>
          <w:sz w:val="24"/>
          <w:lang w:val="ru-RU" w:eastAsia="ja-JP"/>
        </w:rPr>
      </w:pPr>
      <w:bookmarkStart w:id="4" w:name="_Hlk223895089"/>
      <w:r w:rsidRPr="000E1D42">
        <w:rPr>
          <w:lang w:val="ru-RU"/>
        </w:rPr>
        <w:t xml:space="preserve">Обнаружение риска обмана является очень важной функциональной возможностью некоторых систем ИКТ, включая системы оплаты, аренды, предоставления кредита и т. д. Традиционные механизмы обнаружения риска обмана для этих систем основаны на сборе служебной информации, сопоставлении правил/образцов и </w:t>
      </w:r>
      <w:r w:rsidR="00752F76" w:rsidRPr="000E1D42">
        <w:rPr>
          <w:lang w:val="ru-RU"/>
        </w:rPr>
        <w:t>т. д.</w:t>
      </w:r>
      <w:r w:rsidRPr="000E1D42">
        <w:rPr>
          <w:lang w:val="ru-RU"/>
        </w:rPr>
        <w:t xml:space="preserve"> По мере развития технологий больших данных и искусственного интеллекта все большее распространение получает внутренняя система с автоматическим принятием решений для обнаружения риска обмана. Однако решения по выявлению риска обмана, принимаемые только внутренними системами, </w:t>
      </w:r>
      <w:r w:rsidR="00752F76" w:rsidRPr="000E1D42">
        <w:rPr>
          <w:lang w:val="ru-RU"/>
        </w:rPr>
        <w:t>сопряжены с трудностями</w:t>
      </w:r>
      <w:r w:rsidRPr="000E1D42">
        <w:rPr>
          <w:lang w:val="ru-RU"/>
        </w:rPr>
        <w:t xml:space="preserve">, </w:t>
      </w:r>
      <w:r w:rsidR="00752F76" w:rsidRPr="000E1D42">
        <w:rPr>
          <w:lang w:val="ru-RU"/>
        </w:rPr>
        <w:t xml:space="preserve">такими </w:t>
      </w:r>
      <w:r w:rsidRPr="000E1D42">
        <w:rPr>
          <w:lang w:val="ru-RU"/>
        </w:rPr>
        <w:t xml:space="preserve">как зависимость от </w:t>
      </w:r>
      <w:r w:rsidR="00752F76" w:rsidRPr="000E1D42">
        <w:rPr>
          <w:lang w:val="ru-RU"/>
        </w:rPr>
        <w:t>достаточных</w:t>
      </w:r>
      <w:r w:rsidRPr="000E1D42">
        <w:rPr>
          <w:lang w:val="ru-RU"/>
        </w:rPr>
        <w:t xml:space="preserve"> данных, </w:t>
      </w:r>
      <w:r w:rsidR="00752F76" w:rsidRPr="000E1D42">
        <w:rPr>
          <w:lang w:val="ru-RU"/>
        </w:rPr>
        <w:t xml:space="preserve">необходимость </w:t>
      </w:r>
      <w:r w:rsidRPr="000E1D42">
        <w:rPr>
          <w:lang w:val="ru-RU"/>
        </w:rPr>
        <w:t>баланс</w:t>
      </w:r>
      <w:r w:rsidR="00752F76" w:rsidRPr="000E1D42">
        <w:rPr>
          <w:lang w:val="ru-RU"/>
        </w:rPr>
        <w:t>ирования</w:t>
      </w:r>
      <w:r w:rsidRPr="000E1D42">
        <w:rPr>
          <w:lang w:val="ru-RU"/>
        </w:rPr>
        <w:t xml:space="preserve"> между точностью и полнотой</w:t>
      </w:r>
      <w:r w:rsidR="00752F76" w:rsidRPr="000E1D42">
        <w:rPr>
          <w:lang w:val="ru-RU"/>
        </w:rPr>
        <w:t xml:space="preserve"> выявления</w:t>
      </w:r>
      <w:r w:rsidRPr="000E1D42">
        <w:rPr>
          <w:lang w:val="ru-RU"/>
        </w:rPr>
        <w:t xml:space="preserve">, а также </w:t>
      </w:r>
      <w:r w:rsidR="004D6292" w:rsidRPr="000E1D42">
        <w:rPr>
          <w:lang w:val="ru-RU"/>
        </w:rPr>
        <w:t xml:space="preserve">обеспечение удобного взаимодействия с пользователем </w:t>
      </w:r>
      <w:r w:rsidRPr="000E1D42">
        <w:rPr>
          <w:lang w:val="ru-RU"/>
        </w:rPr>
        <w:t xml:space="preserve">при прерывании </w:t>
      </w:r>
      <w:r w:rsidR="004D6292" w:rsidRPr="000E1D42">
        <w:rPr>
          <w:lang w:val="ru-RU"/>
        </w:rPr>
        <w:t>обслуживания</w:t>
      </w:r>
      <w:r w:rsidRPr="000E1D42">
        <w:rPr>
          <w:lang w:val="ru-RU"/>
        </w:rPr>
        <w:t xml:space="preserve"> по причине обнаружения риска обмана и реагирования на него. Интерактивн</w:t>
      </w:r>
      <w:r w:rsidR="004D6292" w:rsidRPr="000E1D42">
        <w:rPr>
          <w:lang w:val="ru-RU"/>
        </w:rPr>
        <w:t>ое</w:t>
      </w:r>
      <w:r w:rsidRPr="000E1D42">
        <w:rPr>
          <w:lang w:val="ru-RU"/>
        </w:rPr>
        <w:t xml:space="preserve"> обнаружени</w:t>
      </w:r>
      <w:r w:rsidR="004D6292" w:rsidRPr="000E1D42">
        <w:rPr>
          <w:lang w:val="ru-RU"/>
        </w:rPr>
        <w:t>е</w:t>
      </w:r>
      <w:r w:rsidRPr="000E1D42">
        <w:rPr>
          <w:lang w:val="ru-RU"/>
        </w:rPr>
        <w:t xml:space="preserve"> риска обмана, </w:t>
      </w:r>
      <w:r w:rsidR="004D6292" w:rsidRPr="000E1D42">
        <w:rPr>
          <w:lang w:val="ru-RU"/>
        </w:rPr>
        <w:t xml:space="preserve">при котором </w:t>
      </w:r>
      <w:r w:rsidRPr="000E1D42">
        <w:rPr>
          <w:lang w:val="ru-RU"/>
        </w:rPr>
        <w:t xml:space="preserve">в </w:t>
      </w:r>
      <w:r w:rsidR="004D6292" w:rsidRPr="000E1D42">
        <w:rPr>
          <w:lang w:val="ru-RU"/>
        </w:rPr>
        <w:t xml:space="preserve">процессе </w:t>
      </w:r>
      <w:r w:rsidRPr="000E1D42">
        <w:rPr>
          <w:lang w:val="ru-RU"/>
        </w:rPr>
        <w:t xml:space="preserve">инициирования услуги и ее </w:t>
      </w:r>
      <w:r w:rsidRPr="000E1D42">
        <w:rPr>
          <w:lang w:val="ru-RU"/>
        </w:rPr>
        <w:lastRenderedPageBreak/>
        <w:t xml:space="preserve">выполнения пользователи вовлекаются в диалог с системами услуг ИКТ для получения информации в целях выявления и снижения риска обмана, обеспечивает перечисленные ниже преимущества. </w:t>
      </w:r>
    </w:p>
    <w:p w14:paraId="2307FFC7" w14:textId="200372C7" w:rsidR="00BE6B6A" w:rsidRPr="000E1D42" w:rsidRDefault="00BE6B6A" w:rsidP="00BE6B6A">
      <w:pPr>
        <w:rPr>
          <w:lang w:val="ru-RU"/>
        </w:rPr>
      </w:pPr>
      <w:r w:rsidRPr="000E1D42">
        <w:rPr>
          <w:lang w:val="ru-RU"/>
        </w:rPr>
        <w:t>Во-первых, интерактивное обнаружение риска обмана помо</w:t>
      </w:r>
      <w:r w:rsidR="004D6292" w:rsidRPr="000E1D42">
        <w:rPr>
          <w:lang w:val="ru-RU"/>
        </w:rPr>
        <w:t>гает</w:t>
      </w:r>
      <w:r w:rsidRPr="000E1D42">
        <w:rPr>
          <w:lang w:val="ru-RU"/>
        </w:rPr>
        <w:t xml:space="preserve"> собрать необходимую информацию в процессе обслуживания для более эффективного обнаружения риска обмана и принятия решений по его анализу, что может повысить точность при более низком коэффициенте полноты.</w:t>
      </w:r>
    </w:p>
    <w:p w14:paraId="04EC307E" w14:textId="2EA75FA5" w:rsidR="00BE6B6A" w:rsidRPr="000E1D42" w:rsidRDefault="00BE6B6A" w:rsidP="00BE6B6A">
      <w:pPr>
        <w:rPr>
          <w:lang w:val="ru-RU"/>
        </w:rPr>
      </w:pPr>
      <w:r w:rsidRPr="000E1D42">
        <w:rPr>
          <w:lang w:val="ru-RU"/>
        </w:rPr>
        <w:t>Во-вторых, в случае возникновения подозрения на риск обмана, взаимодействие с пользователем помо</w:t>
      </w:r>
      <w:r w:rsidR="004D6292" w:rsidRPr="000E1D42">
        <w:rPr>
          <w:lang w:val="ru-RU"/>
        </w:rPr>
        <w:t>гает</w:t>
      </w:r>
      <w:r w:rsidRPr="000E1D42">
        <w:rPr>
          <w:lang w:val="ru-RU"/>
        </w:rPr>
        <w:t xml:space="preserve"> ему понять, что произошло, и потенциально повы</w:t>
      </w:r>
      <w:r w:rsidR="004D6292" w:rsidRPr="000E1D42">
        <w:rPr>
          <w:lang w:val="ru-RU"/>
        </w:rPr>
        <w:t>шае</w:t>
      </w:r>
      <w:r w:rsidRPr="000E1D42">
        <w:rPr>
          <w:lang w:val="ru-RU"/>
        </w:rPr>
        <w:t xml:space="preserve">т осведомленность пользователя о рисках обмана в </w:t>
      </w:r>
      <w:r w:rsidR="004D6292" w:rsidRPr="000E1D42">
        <w:rPr>
          <w:lang w:val="ru-RU"/>
        </w:rPr>
        <w:t>по</w:t>
      </w:r>
      <w:r w:rsidRPr="000E1D42">
        <w:rPr>
          <w:lang w:val="ru-RU"/>
        </w:rPr>
        <w:t>следующих транзакциях.</w:t>
      </w:r>
    </w:p>
    <w:p w14:paraId="740CF1EA" w14:textId="3BDA57F5" w:rsidR="00BE6B6A" w:rsidRPr="000E1D42" w:rsidRDefault="004D6292" w:rsidP="00BE6B6A">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rPr>
          <w:lang w:val="ru-RU"/>
        </w:rPr>
      </w:pPr>
      <w:r w:rsidRPr="000E1D42">
        <w:rPr>
          <w:lang w:val="ru-RU"/>
        </w:rPr>
        <w:t>С учетом</w:t>
      </w:r>
      <w:r w:rsidR="00BE6B6A" w:rsidRPr="000E1D42">
        <w:rPr>
          <w:lang w:val="ru-RU"/>
        </w:rPr>
        <w:t xml:space="preserve"> этих факторов в настоящем документе представлены технические возможности интерактивного обнаружения риска обмана, с помощью которых система обнаружения риска обмана будет взаимодействовать с интерактивным ядром для более эффективного обнаружения риска обмана при недостаточном объеме информации для определения уровня риска. Следуя правилам и ориентируясь на корпус данных и некоторые другие факторы, интерактивное ядро связывается с пользователем посредством телефонного звонка, SMS, онлайнового взаимодействия или иным способом для сбора дополнительной информации для системы обнаружения риска обмана, чтобы снизить уровень риска. </w:t>
      </w:r>
    </w:p>
    <w:p w14:paraId="5F56D1C1" w14:textId="64081B99" w:rsidR="00654C0B" w:rsidRPr="000E1D42" w:rsidRDefault="00BE6B6A" w:rsidP="004D6292">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rPr>
          <w:bCs/>
          <w:lang w:val="ru-RU"/>
        </w:rPr>
      </w:pPr>
      <w:r w:rsidRPr="000E1D42">
        <w:rPr>
          <w:lang w:val="ru-RU"/>
        </w:rPr>
        <w:t>В настоящей Рекомендации описаны технические возможности интерактивного обнаружения риска обмана, в том числе идентификация возможностей, функциональные компоненты для поддержки определенных возможностей и процедуры, обеспечивающие взаимодействие между различными функциональными компонентами.</w:t>
      </w:r>
    </w:p>
    <w:bookmarkEnd w:id="4"/>
    <w:p w14:paraId="6F4C5C9A" w14:textId="4388DB57" w:rsidR="00654C0B" w:rsidRPr="000E1D42" w:rsidRDefault="00301BFE" w:rsidP="00654C0B">
      <w:pPr>
        <w:pStyle w:val="Heading1"/>
        <w:rPr>
          <w:lang w:val="ru-RU"/>
        </w:rPr>
      </w:pPr>
      <w:r w:rsidRPr="000E1D42">
        <w:rPr>
          <w:lang w:val="ru-RU"/>
        </w:rPr>
        <w:t>8</w:t>
      </w:r>
      <w:r w:rsidR="00654C0B" w:rsidRPr="000E1D42">
        <w:rPr>
          <w:lang w:val="ru-RU"/>
        </w:rPr>
        <w:tab/>
        <w:t xml:space="preserve">Проект </w:t>
      </w:r>
      <w:r w:rsidR="00BA7440" w:rsidRPr="000E1D42">
        <w:rPr>
          <w:lang w:val="ru-RU"/>
        </w:rPr>
        <w:t xml:space="preserve">Рекомендации МСЭ-Т X.1651 </w:t>
      </w:r>
      <w:r w:rsidR="000E1D42" w:rsidRPr="000E1D42">
        <w:rPr>
          <w:lang w:val="ru-RU"/>
        </w:rPr>
        <w:t xml:space="preserve">(ранее − </w:t>
      </w:r>
      <w:r w:rsidR="00BA7440" w:rsidRPr="000E1D42">
        <w:rPr>
          <w:lang w:val="ru-RU"/>
        </w:rPr>
        <w:t>X.soar-cc)</w:t>
      </w:r>
      <w:r w:rsidR="00654C0B" w:rsidRPr="000E1D42">
        <w:rPr>
          <w:lang w:val="ru-RU"/>
        </w:rPr>
        <w:t xml:space="preserve"> </w:t>
      </w:r>
      <w:r w:rsidR="00E52B5D" w:rsidRPr="000E1D42">
        <w:rPr>
          <w:lang w:val="ru-RU"/>
        </w:rPr>
        <w:t>(</w:t>
      </w:r>
      <w:hyperlink r:id="rId25" w:history="1">
        <w:r w:rsidR="00795355" w:rsidRPr="000E1D42">
          <w:rPr>
            <w:rStyle w:val="Hyperlink"/>
            <w:lang w:val="fr-FR"/>
          </w:rPr>
          <w:t>SG</w:t>
        </w:r>
        <w:r w:rsidR="00795355" w:rsidRPr="000A6DFC">
          <w:rPr>
            <w:rStyle w:val="Hyperlink"/>
            <w:lang w:val="ru-RU"/>
          </w:rPr>
          <w:t>17-</w:t>
        </w:r>
        <w:r w:rsidR="00795355" w:rsidRPr="000E1D42">
          <w:rPr>
            <w:rStyle w:val="Hyperlink"/>
            <w:lang w:val="fr-FR"/>
          </w:rPr>
          <w:t>R</w:t>
        </w:r>
        <w:r w:rsidR="00795355" w:rsidRPr="000A6DFC">
          <w:rPr>
            <w:rStyle w:val="Hyperlink"/>
            <w:lang w:val="ru-RU"/>
          </w:rPr>
          <w:t>32</w:t>
        </w:r>
      </w:hyperlink>
      <w:r w:rsidR="00E52B5D" w:rsidRPr="000E1D42">
        <w:rPr>
          <w:lang w:val="ru-RU"/>
        </w:rPr>
        <w:t>)</w:t>
      </w:r>
    </w:p>
    <w:p w14:paraId="5F896CF7" w14:textId="47956B65" w:rsidR="00654C0B" w:rsidRPr="000E1D42" w:rsidRDefault="00BA7440" w:rsidP="009733C5">
      <w:pPr>
        <w:rPr>
          <w:b/>
          <w:lang w:val="ru-RU"/>
        </w:rPr>
      </w:pPr>
      <w:r w:rsidRPr="000E1D42">
        <w:rPr>
          <w:lang w:val="ru-RU"/>
        </w:rPr>
        <w:t>Структура оркестровки, автоматизации и реагирования на угрозы безопасности для облачных вычислений</w:t>
      </w:r>
    </w:p>
    <w:p w14:paraId="362624A9" w14:textId="77777777" w:rsidR="00654C0B" w:rsidRPr="000E1D42" w:rsidRDefault="00654C0B" w:rsidP="00654C0B">
      <w:pPr>
        <w:pStyle w:val="Headingb"/>
        <w:rPr>
          <w:lang w:val="ru-RU"/>
        </w:rPr>
      </w:pPr>
      <w:r w:rsidRPr="000E1D42">
        <w:rPr>
          <w:lang w:val="ru-RU"/>
        </w:rPr>
        <w:t>Резюме</w:t>
      </w:r>
    </w:p>
    <w:p w14:paraId="683C332E" w14:textId="705653CA" w:rsidR="00BA7440" w:rsidRPr="000E1D42" w:rsidRDefault="00BA7440" w:rsidP="00B421ED">
      <w:pPr>
        <w:spacing w:after="120"/>
        <w:rPr>
          <w:lang w:val="ru-RU"/>
        </w:rPr>
      </w:pPr>
      <w:r w:rsidRPr="000E1D42">
        <w:rPr>
          <w:lang w:val="ru-RU"/>
        </w:rPr>
        <w:t xml:space="preserve">В настоящее время, по мере дальнейшего развития стратегий сетевой безопасности, архитектура безопасности поставщиков облачных услуг (CSP) или потребителей облачных услуг (CSC) претерпевает изменения, переходя от простого сочетания предотвращения и восстановления к новому этапу, включающему обнаружение, предупреждение и реагирование. Ведущие предприятия и организации придают большее значение оркестровке, автоматизации и реагированию на угрозы безопасности (SOAR). SOAR рассматривается в качестве ключевой технологии повышения эластичности сети и эффективности операций по обеспечению безопасности облачных вычислений, что можно </w:t>
      </w:r>
      <w:r w:rsidR="00B421ED" w:rsidRPr="000E1D42">
        <w:rPr>
          <w:lang w:val="ru-RU"/>
        </w:rPr>
        <w:t>описать</w:t>
      </w:r>
      <w:r w:rsidRPr="000E1D42">
        <w:rPr>
          <w:lang w:val="ru-RU"/>
        </w:rPr>
        <w:t xml:space="preserve"> следующим образом:</w:t>
      </w:r>
    </w:p>
    <w:p w14:paraId="4639519D" w14:textId="64D1BF67" w:rsidR="00BA7440" w:rsidRPr="000A6DFC" w:rsidRDefault="005A551D" w:rsidP="005A551D">
      <w:pPr>
        <w:pStyle w:val="enumlev1"/>
        <w:rPr>
          <w:lang w:val="ru-RU"/>
        </w:rPr>
      </w:pPr>
      <w:r w:rsidRPr="005A551D">
        <w:rPr>
          <w:lang w:val="ru-RU"/>
        </w:rPr>
        <w:t>1)</w:t>
      </w:r>
      <w:r w:rsidRPr="005A551D">
        <w:rPr>
          <w:lang w:val="ru-RU"/>
        </w:rPr>
        <w:tab/>
      </w:r>
      <w:r w:rsidR="00BA7440" w:rsidRPr="000E1D42">
        <w:rPr>
          <w:lang w:val="ru-RU"/>
        </w:rPr>
        <w:t>Используя искусственный интеллект (ИИ), можно создать функциональную возможность безопасной работы в облаке, включающую анализ угроз и автоматическое реагирование, что может значительно повысить эффективность операций по обеспечению безопасности.</w:t>
      </w:r>
    </w:p>
    <w:p w14:paraId="2A246A4A" w14:textId="60BA9B6F" w:rsidR="00B421ED" w:rsidRPr="000A6DFC" w:rsidRDefault="005A551D" w:rsidP="005A551D">
      <w:pPr>
        <w:pStyle w:val="enumlev1"/>
        <w:rPr>
          <w:lang w:val="ru-RU"/>
        </w:rPr>
      </w:pPr>
      <w:r w:rsidRPr="005A551D">
        <w:rPr>
          <w:lang w:val="ru-RU"/>
        </w:rPr>
        <w:t>2)</w:t>
      </w:r>
      <w:r w:rsidRPr="005A551D">
        <w:rPr>
          <w:lang w:val="ru-RU"/>
        </w:rPr>
        <w:tab/>
      </w:r>
      <w:r w:rsidR="00BA7440" w:rsidRPr="000E1D42">
        <w:rPr>
          <w:lang w:val="ru-RU"/>
        </w:rPr>
        <w:t>В среде облачных вычислений SOAR обладает естественными преимуществами с точки зрения затрат.</w:t>
      </w:r>
    </w:p>
    <w:p w14:paraId="0EE31C9D" w14:textId="34571713" w:rsidR="00BA7440" w:rsidRPr="000A6DFC" w:rsidRDefault="005A551D" w:rsidP="005A551D">
      <w:pPr>
        <w:pStyle w:val="enumlev1"/>
        <w:rPr>
          <w:lang w:val="ru-RU"/>
        </w:rPr>
      </w:pPr>
      <w:r w:rsidRPr="005A551D">
        <w:rPr>
          <w:lang w:val="ru-RU"/>
        </w:rPr>
        <w:t>3)</w:t>
      </w:r>
      <w:r w:rsidRPr="005A551D">
        <w:rPr>
          <w:lang w:val="ru-RU"/>
        </w:rPr>
        <w:tab/>
      </w:r>
      <w:r w:rsidR="00BA7440" w:rsidRPr="000E1D42">
        <w:rPr>
          <w:lang w:val="ru-RU"/>
        </w:rPr>
        <w:t xml:space="preserve">С развитием ориентированных на облако технологий появляются новые подходы к реализации реагирования на инциденты в облачных вычислениях. </w:t>
      </w:r>
    </w:p>
    <w:p w14:paraId="70593491" w14:textId="4E969206" w:rsidR="00654C0B" w:rsidRPr="000E1D42" w:rsidRDefault="00BA7440" w:rsidP="00B421ED">
      <w:pPr>
        <w:rPr>
          <w:bCs/>
          <w:lang w:val="ru-RU"/>
        </w:rPr>
      </w:pPr>
      <w:r w:rsidRPr="000E1D42">
        <w:rPr>
          <w:lang w:val="ru-RU"/>
        </w:rPr>
        <w:t>В настоящей Рекомендации представлен обзор SOAR для облачных вычислений, включая определение данной технологии и предпосылки ее появления, а также проанализированы преимущества применения SOAR для противодействия угрозам безопасности облачных вычислений, в особенности при реагировании на инциденты. Кроме того, в Рекомендации представлена структура SOAR для облачных вычислений, предназначенная для повышения эффективности операций по обеспечению безопасности как CSP, так и CSC.</w:t>
      </w:r>
    </w:p>
    <w:p w14:paraId="2942A254" w14:textId="4287F7FF" w:rsidR="00654C0B" w:rsidRPr="000E1D42" w:rsidRDefault="00301BFE" w:rsidP="00654C0B">
      <w:pPr>
        <w:pStyle w:val="Heading1"/>
        <w:rPr>
          <w:lang w:val="ru-RU"/>
        </w:rPr>
      </w:pPr>
      <w:r w:rsidRPr="000E1D42">
        <w:rPr>
          <w:lang w:val="ru-RU"/>
        </w:rPr>
        <w:lastRenderedPageBreak/>
        <w:t>9</w:t>
      </w:r>
      <w:r w:rsidR="00654C0B" w:rsidRPr="000E1D42">
        <w:rPr>
          <w:lang w:val="ru-RU"/>
        </w:rPr>
        <w:tab/>
        <w:t xml:space="preserve">Проект Рекомендации МСЭ-T </w:t>
      </w:r>
      <w:bookmarkStart w:id="5" w:name="_Hlk221638693"/>
      <w:r w:rsidR="00CC7B63" w:rsidRPr="000E1D42">
        <w:rPr>
          <w:bCs/>
          <w:lang w:val="fr-FR"/>
        </w:rPr>
        <w:t>X</w:t>
      </w:r>
      <w:r w:rsidR="00CC7B63" w:rsidRPr="000A6DFC">
        <w:rPr>
          <w:bCs/>
          <w:lang w:val="ru-RU"/>
        </w:rPr>
        <w:t xml:space="preserve">.1607 </w:t>
      </w:r>
      <w:r w:rsidR="000E1D42" w:rsidRPr="000A6DFC">
        <w:rPr>
          <w:bCs/>
          <w:lang w:val="ru-RU"/>
        </w:rPr>
        <w:t xml:space="preserve">(ранее − </w:t>
      </w:r>
      <w:r w:rsidR="00CC7B63" w:rsidRPr="000E1D42">
        <w:rPr>
          <w:bCs/>
          <w:lang w:val="fr-FR"/>
        </w:rPr>
        <w:t>X</w:t>
      </w:r>
      <w:r w:rsidR="00CC7B63" w:rsidRPr="000A6DFC">
        <w:rPr>
          <w:bCs/>
          <w:lang w:val="ru-RU"/>
        </w:rPr>
        <w:t>.</w:t>
      </w:r>
      <w:r w:rsidR="00CC7B63" w:rsidRPr="000E1D42">
        <w:rPr>
          <w:bCs/>
          <w:lang w:val="fr-FR"/>
        </w:rPr>
        <w:t>asm</w:t>
      </w:r>
      <w:r w:rsidR="00CC7B63" w:rsidRPr="000A6DFC">
        <w:rPr>
          <w:bCs/>
          <w:lang w:val="ru-RU"/>
        </w:rPr>
        <w:t>-</w:t>
      </w:r>
      <w:r w:rsidR="00CC7B63" w:rsidRPr="000E1D42">
        <w:rPr>
          <w:bCs/>
          <w:lang w:val="fr-FR"/>
        </w:rPr>
        <w:t>cc</w:t>
      </w:r>
      <w:r w:rsidR="00CC7B63" w:rsidRPr="000A6DFC">
        <w:rPr>
          <w:bCs/>
          <w:lang w:val="ru-RU"/>
        </w:rPr>
        <w:t>)</w:t>
      </w:r>
      <w:bookmarkEnd w:id="5"/>
      <w:r w:rsidR="00CC7B63" w:rsidRPr="000E1D42">
        <w:rPr>
          <w:bCs/>
          <w:lang w:val="ru-RU"/>
        </w:rPr>
        <w:t xml:space="preserve"> </w:t>
      </w:r>
      <w:r w:rsidR="00AC5D16" w:rsidRPr="000E1D42">
        <w:rPr>
          <w:bCs/>
          <w:lang w:val="ru-RU"/>
        </w:rPr>
        <w:t>(</w:t>
      </w:r>
      <w:hyperlink r:id="rId26" w:history="1">
        <w:r w:rsidR="00795355" w:rsidRPr="000E1D42">
          <w:rPr>
            <w:rStyle w:val="Hyperlink"/>
            <w:lang w:val="fr-FR"/>
          </w:rPr>
          <w:t>SG</w:t>
        </w:r>
        <w:r w:rsidR="00795355" w:rsidRPr="000A6DFC">
          <w:rPr>
            <w:rStyle w:val="Hyperlink"/>
            <w:lang w:val="ru-RU"/>
          </w:rPr>
          <w:t>17-</w:t>
        </w:r>
        <w:r w:rsidR="00795355" w:rsidRPr="000E1D42">
          <w:rPr>
            <w:rStyle w:val="Hyperlink"/>
            <w:lang w:val="fr-FR"/>
          </w:rPr>
          <w:t>R</w:t>
        </w:r>
        <w:r w:rsidR="00795355" w:rsidRPr="000A6DFC">
          <w:rPr>
            <w:rStyle w:val="Hyperlink"/>
            <w:lang w:val="ru-RU"/>
          </w:rPr>
          <w:t>33</w:t>
        </w:r>
      </w:hyperlink>
      <w:r w:rsidR="00AC5D16" w:rsidRPr="000E1D42">
        <w:rPr>
          <w:bCs/>
          <w:lang w:val="ru-RU"/>
        </w:rPr>
        <w:t>)</w:t>
      </w:r>
    </w:p>
    <w:p w14:paraId="7C5A2988" w14:textId="4A6C3ADF" w:rsidR="00654C0B" w:rsidRPr="005A551D" w:rsidRDefault="00CC7B63" w:rsidP="009733C5">
      <w:pPr>
        <w:rPr>
          <w:bCs/>
          <w:lang w:val="ru-RU"/>
        </w:rPr>
      </w:pPr>
      <w:r w:rsidRPr="000E1D42">
        <w:rPr>
          <w:lang w:val="ru-RU"/>
        </w:rPr>
        <w:t>Требования к управлению поверхностью атаки для облачных вычислений</w:t>
      </w:r>
    </w:p>
    <w:p w14:paraId="29F84F60" w14:textId="77777777" w:rsidR="00654C0B" w:rsidRPr="000E1D42" w:rsidRDefault="00654C0B" w:rsidP="00654C0B">
      <w:pPr>
        <w:pStyle w:val="Headingb"/>
        <w:rPr>
          <w:lang w:val="ru-RU"/>
        </w:rPr>
      </w:pPr>
      <w:r w:rsidRPr="000E1D42">
        <w:rPr>
          <w:lang w:val="ru-RU"/>
        </w:rPr>
        <w:t>Резюме</w:t>
      </w:r>
    </w:p>
    <w:p w14:paraId="0B679062" w14:textId="77777777" w:rsidR="005F4C36" w:rsidRPr="000A6DFC" w:rsidRDefault="005F4C36" w:rsidP="005F4C36">
      <w:pPr>
        <w:tabs>
          <w:tab w:val="clear" w:pos="794"/>
          <w:tab w:val="clear" w:pos="1191"/>
          <w:tab w:val="clear" w:pos="1588"/>
          <w:tab w:val="clear" w:pos="1985"/>
        </w:tabs>
        <w:overflowPunct/>
        <w:autoSpaceDE/>
        <w:autoSpaceDN/>
        <w:adjustRightInd/>
        <w:textAlignment w:val="auto"/>
        <w:rPr>
          <w:lang w:val="ru-RU"/>
        </w:rPr>
      </w:pPr>
      <w:r w:rsidRPr="005F4C36">
        <w:rPr>
          <w:lang w:val="ru-RU"/>
        </w:rPr>
        <w:t>В настоящей Рекомендации изложены комплексные требования к управлению поверхностью атаки (ASM) в средах облачных вычислений. К ключевым компонентам ASM относятся тщательное обнаружение киберактивов, выявление поверхности атаки, углубленный анализ и непрерывный мониторинг. Эти процессы имеют решающее значение для поддержания надежного состояния безопасности в облачных средах.</w:t>
      </w:r>
    </w:p>
    <w:p w14:paraId="3609F137" w14:textId="270AFBA6" w:rsidR="00654C0B" w:rsidRPr="000A6DFC" w:rsidRDefault="005F4C36" w:rsidP="005F4C36">
      <w:pPr>
        <w:tabs>
          <w:tab w:val="clear" w:pos="794"/>
          <w:tab w:val="clear" w:pos="1191"/>
          <w:tab w:val="clear" w:pos="1588"/>
          <w:tab w:val="clear" w:pos="1985"/>
        </w:tabs>
        <w:overflowPunct/>
        <w:autoSpaceDE/>
        <w:autoSpaceDN/>
        <w:adjustRightInd/>
        <w:textAlignment w:val="auto"/>
        <w:rPr>
          <w:bCs/>
          <w:lang w:val="ru-RU"/>
        </w:rPr>
      </w:pPr>
      <w:r w:rsidRPr="000E1D42">
        <w:rPr>
          <w:lang w:val="ru-RU"/>
        </w:rPr>
        <w:t>Для эффективного управления поверхностями атак система управления поверхностью атаки (ASM) должна обеспечивать беспрепятственную интеграцию оперативной информации об угрозах и взаимодействовать со сторонними инструментами. Кроме того, она должна обеспечивать детальную визуализацию и отображение активов, потоков данных и сетевого трафика. Это позволяет организациям заблаговременно выявлять и уменьшать потенциальные уязвимости.</w:t>
      </w:r>
      <w:r w:rsidRPr="000A6DFC">
        <w:rPr>
          <w:lang w:val="ru-RU"/>
        </w:rPr>
        <w:t xml:space="preserve"> </w:t>
      </w:r>
      <w:r w:rsidRPr="000E1D42">
        <w:rPr>
          <w:lang w:val="ru-RU"/>
        </w:rPr>
        <w:t>Благодаря непрерывной оценке, безопасной настройке и защите поверхностей атак как в многооблачных, так и в гибридных средах ASM обеспечивает эффективное противодействие изменяющимся киберугрозам. Кроме того, данная технология способствует приоритизации и устранению рисков, позволяя организациям поддерживать безопасную и гибкую облачную инфраструктуру</w:t>
      </w:r>
      <w:r w:rsidR="00654C0B" w:rsidRPr="000E1D42">
        <w:rPr>
          <w:lang w:val="ru-RU"/>
        </w:rPr>
        <w:t>.</w:t>
      </w:r>
    </w:p>
    <w:p w14:paraId="36778E91" w14:textId="79024F29" w:rsidR="00654C0B" w:rsidRPr="000E1D42" w:rsidRDefault="00301BFE" w:rsidP="009733C5">
      <w:pPr>
        <w:pStyle w:val="Heading1"/>
        <w:rPr>
          <w:lang w:val="ru-RU"/>
        </w:rPr>
      </w:pPr>
      <w:r w:rsidRPr="000E1D42">
        <w:rPr>
          <w:lang w:val="ru-RU"/>
        </w:rPr>
        <w:t>10</w:t>
      </w:r>
      <w:r w:rsidR="00654C0B" w:rsidRPr="000E1D42">
        <w:rPr>
          <w:lang w:val="ru-RU"/>
        </w:rPr>
        <w:tab/>
        <w:t xml:space="preserve">Проект Рекомендации МСЭ-T </w:t>
      </w:r>
      <w:r w:rsidR="00CC7B63" w:rsidRPr="000E1D42">
        <w:rPr>
          <w:bCs/>
          <w:lang w:val="fr-FR"/>
        </w:rPr>
        <w:t>X</w:t>
      </w:r>
      <w:r w:rsidR="00CC7B63" w:rsidRPr="000A6DFC">
        <w:rPr>
          <w:bCs/>
          <w:lang w:val="ru-RU"/>
        </w:rPr>
        <w:t xml:space="preserve">.1418 </w:t>
      </w:r>
      <w:r w:rsidR="000E1D42" w:rsidRPr="000A6DFC">
        <w:rPr>
          <w:bCs/>
          <w:lang w:val="ru-RU"/>
        </w:rPr>
        <w:t xml:space="preserve">(ранее − </w:t>
      </w:r>
      <w:r w:rsidR="00CC7B63" w:rsidRPr="000E1D42">
        <w:rPr>
          <w:bCs/>
          <w:lang w:val="fr-FR"/>
        </w:rPr>
        <w:t>X</w:t>
      </w:r>
      <w:r w:rsidR="00CC7B63" w:rsidRPr="000A6DFC">
        <w:rPr>
          <w:bCs/>
          <w:lang w:val="ru-RU"/>
        </w:rPr>
        <w:t>.</w:t>
      </w:r>
      <w:r w:rsidR="00CC7B63" w:rsidRPr="000E1D42">
        <w:rPr>
          <w:bCs/>
          <w:lang w:val="fr-FR"/>
        </w:rPr>
        <w:t>sg</w:t>
      </w:r>
      <w:r w:rsidR="00CC7B63" w:rsidRPr="000A6DFC">
        <w:rPr>
          <w:bCs/>
          <w:lang w:val="ru-RU"/>
        </w:rPr>
        <w:t>-</w:t>
      </w:r>
      <w:r w:rsidR="00CC7B63" w:rsidRPr="000E1D42">
        <w:rPr>
          <w:bCs/>
          <w:lang w:val="fr-FR"/>
        </w:rPr>
        <w:t>dcs</w:t>
      </w:r>
      <w:r w:rsidR="00CC7B63" w:rsidRPr="000A6DFC">
        <w:rPr>
          <w:bCs/>
          <w:lang w:val="ru-RU"/>
        </w:rPr>
        <w:t>)</w:t>
      </w:r>
      <w:r w:rsidR="00AC5D16" w:rsidRPr="000E1D42">
        <w:rPr>
          <w:rFonts w:cs="Calibri"/>
          <w:b w:val="0"/>
          <w:szCs w:val="22"/>
          <w:lang w:val="ru-RU" w:eastAsia="en-GB"/>
        </w:rPr>
        <w:t xml:space="preserve"> </w:t>
      </w:r>
      <w:r w:rsidR="00AC5D16" w:rsidRPr="000E1D42">
        <w:rPr>
          <w:bCs/>
          <w:lang w:val="ru-RU"/>
        </w:rPr>
        <w:t>(</w:t>
      </w:r>
      <w:hyperlink r:id="rId27" w:history="1">
        <w:r w:rsidR="00795355" w:rsidRPr="000E1D42">
          <w:rPr>
            <w:rStyle w:val="Hyperlink"/>
            <w:lang w:val="fr-FR"/>
          </w:rPr>
          <w:t>SG</w:t>
        </w:r>
        <w:r w:rsidR="00795355" w:rsidRPr="000A6DFC">
          <w:rPr>
            <w:rStyle w:val="Hyperlink"/>
            <w:lang w:val="ru-RU"/>
          </w:rPr>
          <w:t>17-</w:t>
        </w:r>
        <w:r w:rsidR="00795355" w:rsidRPr="000E1D42">
          <w:rPr>
            <w:rStyle w:val="Hyperlink"/>
            <w:lang w:val="fr-FR"/>
          </w:rPr>
          <w:t>R</w:t>
        </w:r>
        <w:r w:rsidR="00795355" w:rsidRPr="000A6DFC">
          <w:rPr>
            <w:rStyle w:val="Hyperlink"/>
            <w:lang w:val="ru-RU"/>
          </w:rPr>
          <w:t>34</w:t>
        </w:r>
      </w:hyperlink>
      <w:r w:rsidR="00AC5D16" w:rsidRPr="000E1D42">
        <w:rPr>
          <w:bCs/>
          <w:lang w:val="ru-RU"/>
        </w:rPr>
        <w:t>)</w:t>
      </w:r>
    </w:p>
    <w:p w14:paraId="23A5245F" w14:textId="56DA7571" w:rsidR="00654C0B" w:rsidRPr="000E1D42" w:rsidRDefault="00CC7B63" w:rsidP="009733C5">
      <w:pPr>
        <w:keepNext/>
        <w:rPr>
          <w:b/>
          <w:lang w:val="ru-RU"/>
        </w:rPr>
      </w:pPr>
      <w:r w:rsidRPr="000E1D42">
        <w:rPr>
          <w:lang w:val="ru-RU"/>
        </w:rPr>
        <w:t>Руководящие указания по безопасности услуг цифровых коллекций на основе DLT</w:t>
      </w:r>
    </w:p>
    <w:p w14:paraId="1171263C" w14:textId="77777777" w:rsidR="00654C0B" w:rsidRPr="000E1D42" w:rsidRDefault="00654C0B" w:rsidP="00654C0B">
      <w:pPr>
        <w:pStyle w:val="Headingb"/>
        <w:rPr>
          <w:lang w:val="ru-RU"/>
        </w:rPr>
      </w:pPr>
      <w:r w:rsidRPr="000E1D42">
        <w:rPr>
          <w:lang w:val="ru-RU"/>
        </w:rPr>
        <w:t>Резюме</w:t>
      </w:r>
    </w:p>
    <w:p w14:paraId="2BD2C1A4" w14:textId="77777777" w:rsidR="00CC7B63" w:rsidRPr="000A6DFC" w:rsidRDefault="00CC7B63" w:rsidP="00CC7B63">
      <w:pPr>
        <w:tabs>
          <w:tab w:val="clear" w:pos="794"/>
          <w:tab w:val="clear" w:pos="1191"/>
          <w:tab w:val="clear" w:pos="1588"/>
          <w:tab w:val="clear" w:pos="1985"/>
        </w:tabs>
        <w:overflowPunct/>
        <w:autoSpaceDE/>
        <w:autoSpaceDN/>
        <w:adjustRightInd/>
        <w:textAlignment w:val="auto"/>
        <w:rPr>
          <w:lang w:val="ru-RU"/>
        </w:rPr>
      </w:pPr>
      <w:r w:rsidRPr="00CC7B63">
        <w:rPr>
          <w:lang w:val="ru-RU"/>
        </w:rPr>
        <w:t>Цифровая коллекция на основе технологии распределенного реестра (DLT) представляет собой уникальный цифровой сертификат, зарегистрированный в частной системе DLT. Он используется для обозначения права собственности на такие активы, как произведения искусства или предметы коллекционирования. Система услуг цифровых коллекций на основе DLT включает, как правило, три ключевые заинтересованные стороны: пользователя цифровой коллекции, поставщика активов цифровой коллекции и платформу услуг цифровых коллекций, использующую частную систему DLT. Эта система поддерживает целый ряд действий, связанных с цифровыми коллекциями, включая выпуск, продажу, покупку, аукционы и проведение транзакций.</w:t>
      </w:r>
    </w:p>
    <w:p w14:paraId="6AA3607A" w14:textId="0E96E563" w:rsidR="00654C0B" w:rsidRPr="000E1D42" w:rsidRDefault="00CC7B63" w:rsidP="00313AF3">
      <w:pPr>
        <w:tabs>
          <w:tab w:val="clear" w:pos="794"/>
          <w:tab w:val="clear" w:pos="1191"/>
          <w:tab w:val="clear" w:pos="1588"/>
          <w:tab w:val="clear" w:pos="1985"/>
        </w:tabs>
        <w:overflowPunct/>
        <w:autoSpaceDE/>
        <w:autoSpaceDN/>
        <w:adjustRightInd/>
        <w:textAlignment w:val="auto"/>
        <w:rPr>
          <w:lang w:val="ru-RU"/>
        </w:rPr>
      </w:pPr>
      <w:r w:rsidRPr="00CC7B63">
        <w:rPr>
          <w:lang w:val="ru-RU"/>
        </w:rPr>
        <w:t>В системе услуг цифровых коллекций на основе DLT заинтересованные стороны в каждом процессе различаются, что приводит к созданию и потреблению различных типов данных. Каждый процесс сопряжен с рисками безопасности, имеющими серьезны</w:t>
      </w:r>
      <w:r w:rsidRPr="000E1D42">
        <w:rPr>
          <w:lang w:val="ru-RU"/>
        </w:rPr>
        <w:t>е</w:t>
      </w:r>
      <w:r w:rsidRPr="00CC7B63">
        <w:rPr>
          <w:lang w:val="ru-RU"/>
        </w:rPr>
        <w:t xml:space="preserve"> последствия, включая финансовые потери, ущерб репутации, нестабильность рынка и раскрытие личной информации. Для противодействия этим рискам в настоящей Рекомендации определены потенциальные угрозы безопасности, возникающие в ходе различных действий, связанных с цифровыми коллекциями, и определены требования к безопасности и средства управления для их смягчения.</w:t>
      </w:r>
    </w:p>
    <w:p w14:paraId="0CCB5B0F" w14:textId="6FA91435" w:rsidR="00795355" w:rsidRPr="000E1D42" w:rsidRDefault="00795355" w:rsidP="00795355">
      <w:pPr>
        <w:pStyle w:val="Heading1"/>
        <w:rPr>
          <w:lang w:val="ru-RU"/>
        </w:rPr>
      </w:pPr>
      <w:r w:rsidRPr="000E1D42">
        <w:rPr>
          <w:lang w:val="ru-RU"/>
        </w:rPr>
        <w:t>11</w:t>
      </w:r>
      <w:r w:rsidRPr="000E1D42">
        <w:rPr>
          <w:lang w:val="ru-RU"/>
        </w:rPr>
        <w:tab/>
        <w:t xml:space="preserve">Проект </w:t>
      </w:r>
      <w:r w:rsidR="00CC7B63" w:rsidRPr="000E1D42">
        <w:rPr>
          <w:lang w:val="ru-RU"/>
        </w:rPr>
        <w:t xml:space="preserve">Рекомендации МСЭ-Т X.1417 </w:t>
      </w:r>
      <w:r w:rsidR="000E1D42" w:rsidRPr="000E1D42">
        <w:rPr>
          <w:lang w:val="ru-RU"/>
        </w:rPr>
        <w:t xml:space="preserve">(ранее − </w:t>
      </w:r>
      <w:r w:rsidR="00CC7B63" w:rsidRPr="000E1D42">
        <w:rPr>
          <w:lang w:val="ru-RU"/>
        </w:rPr>
        <w:t>X.sr-dpts)</w:t>
      </w:r>
      <w:r w:rsidRPr="000E1D42">
        <w:rPr>
          <w:rFonts w:cs="Calibri"/>
          <w:b w:val="0"/>
          <w:szCs w:val="22"/>
          <w:lang w:val="ru-RU" w:eastAsia="en-GB"/>
        </w:rPr>
        <w:t xml:space="preserve"> </w:t>
      </w:r>
      <w:r w:rsidRPr="000E1D42">
        <w:rPr>
          <w:bCs/>
          <w:lang w:val="ru-RU"/>
        </w:rPr>
        <w:t>(</w:t>
      </w:r>
      <w:hyperlink r:id="rId28" w:history="1">
        <w:r w:rsidRPr="000E1D42">
          <w:rPr>
            <w:rStyle w:val="Hyperlink"/>
            <w:lang w:val="fr-FR"/>
          </w:rPr>
          <w:t>SG</w:t>
        </w:r>
        <w:r w:rsidRPr="000A6DFC">
          <w:rPr>
            <w:rStyle w:val="Hyperlink"/>
            <w:lang w:val="ru-RU"/>
          </w:rPr>
          <w:t>17-</w:t>
        </w:r>
        <w:r w:rsidRPr="000E1D42">
          <w:rPr>
            <w:rStyle w:val="Hyperlink"/>
            <w:lang w:val="fr-FR"/>
          </w:rPr>
          <w:t>R</w:t>
        </w:r>
        <w:r w:rsidRPr="000A6DFC">
          <w:rPr>
            <w:rStyle w:val="Hyperlink"/>
            <w:lang w:val="ru-RU"/>
          </w:rPr>
          <w:t>35</w:t>
        </w:r>
      </w:hyperlink>
      <w:r w:rsidRPr="000E1D42">
        <w:rPr>
          <w:bCs/>
          <w:lang w:val="ru-RU"/>
        </w:rPr>
        <w:t>)</w:t>
      </w:r>
    </w:p>
    <w:p w14:paraId="7070F6D5" w14:textId="175ADEF3" w:rsidR="00795355" w:rsidRPr="000E1D42" w:rsidRDefault="00795355" w:rsidP="00795355">
      <w:pPr>
        <w:keepNext/>
        <w:rPr>
          <w:b/>
          <w:lang w:val="ru-RU"/>
        </w:rPr>
      </w:pPr>
      <w:r w:rsidRPr="000E1D42">
        <w:rPr>
          <w:lang w:val="ru-RU"/>
        </w:rPr>
        <w:t xml:space="preserve">Требования </w:t>
      </w:r>
      <w:r w:rsidR="00BE6B6A" w:rsidRPr="000E1D42">
        <w:rPr>
          <w:lang w:val="ru-RU"/>
        </w:rPr>
        <w:t xml:space="preserve">к </w:t>
      </w:r>
      <w:r w:rsidRPr="000E1D42">
        <w:rPr>
          <w:lang w:val="ru-RU"/>
        </w:rPr>
        <w:t>безопасности данных распределенного реестра (DLT) в системах распределенной торговли электроэнергией на базе контролируемого DLT</w:t>
      </w:r>
    </w:p>
    <w:p w14:paraId="38BA45E9" w14:textId="77777777" w:rsidR="00795355" w:rsidRPr="000E1D42" w:rsidRDefault="00795355" w:rsidP="00795355">
      <w:pPr>
        <w:pStyle w:val="Headingb"/>
        <w:rPr>
          <w:lang w:val="ru-RU"/>
        </w:rPr>
      </w:pPr>
      <w:r w:rsidRPr="000E1D42">
        <w:rPr>
          <w:lang w:val="ru-RU"/>
        </w:rPr>
        <w:t>Резюме</w:t>
      </w:r>
    </w:p>
    <w:p w14:paraId="688CB8A8" w14:textId="1427C2C8" w:rsidR="00CC7B63" w:rsidRPr="000A6DFC" w:rsidRDefault="00CC7B63" w:rsidP="00CC7B63">
      <w:pPr>
        <w:tabs>
          <w:tab w:val="clear" w:pos="794"/>
          <w:tab w:val="clear" w:pos="1191"/>
          <w:tab w:val="clear" w:pos="1588"/>
          <w:tab w:val="clear" w:pos="1985"/>
        </w:tabs>
        <w:overflowPunct/>
        <w:autoSpaceDE/>
        <w:autoSpaceDN/>
        <w:adjustRightInd/>
        <w:textAlignment w:val="auto"/>
        <w:rPr>
          <w:lang w:val="ru-RU"/>
        </w:rPr>
      </w:pPr>
      <w:r w:rsidRPr="00CC7B63">
        <w:rPr>
          <w:lang w:val="ru-RU"/>
        </w:rPr>
        <w:t>Система распределенной торговли электроэнергией (DPT) на базе контролируемого распределенного реестра (DLT)</w:t>
      </w:r>
      <w:r w:rsidRPr="000E1D42">
        <w:rPr>
          <w:lang w:val="ru-RU"/>
        </w:rPr>
        <w:t xml:space="preserve"> − </w:t>
      </w:r>
      <w:r w:rsidRPr="00CC7B63">
        <w:rPr>
          <w:lang w:val="ru-RU"/>
        </w:rPr>
        <w:t xml:space="preserve">это система, предназначенная для одноранговой торговли энергией в "умной" электросети. Контролируемый DLT применяется в системах торговли электроэнергией для решения проблем, существующих в традиционных системах торговли электроэнергией. При этом в системах DPT на </w:t>
      </w:r>
      <w:r w:rsidRPr="000E1D42">
        <w:rPr>
          <w:lang w:val="ru-RU"/>
        </w:rPr>
        <w:t xml:space="preserve">базе </w:t>
      </w:r>
      <w:r w:rsidRPr="00CC7B63">
        <w:rPr>
          <w:lang w:val="ru-RU"/>
        </w:rPr>
        <w:t>контролируемого DLT проблемы</w:t>
      </w:r>
      <w:r w:rsidRPr="000E1D42">
        <w:rPr>
          <w:lang w:val="ru-RU"/>
        </w:rPr>
        <w:t xml:space="preserve"> </w:t>
      </w:r>
      <w:r w:rsidRPr="00CC7B63">
        <w:rPr>
          <w:lang w:val="ru-RU"/>
        </w:rPr>
        <w:t xml:space="preserve">все еще </w:t>
      </w:r>
      <w:r w:rsidRPr="000E1D42">
        <w:rPr>
          <w:lang w:val="ru-RU"/>
        </w:rPr>
        <w:t>имеют место</w:t>
      </w:r>
      <w:r w:rsidRPr="00CC7B63">
        <w:rPr>
          <w:lang w:val="ru-RU"/>
        </w:rPr>
        <w:t xml:space="preserve">. </w:t>
      </w:r>
    </w:p>
    <w:p w14:paraId="5BD1703A" w14:textId="25AC17EA" w:rsidR="00795355" w:rsidRPr="0080257B" w:rsidRDefault="00CC7B63" w:rsidP="00313AF3">
      <w:pPr>
        <w:tabs>
          <w:tab w:val="clear" w:pos="794"/>
          <w:tab w:val="clear" w:pos="1191"/>
          <w:tab w:val="clear" w:pos="1588"/>
          <w:tab w:val="clear" w:pos="1985"/>
        </w:tabs>
        <w:overflowPunct/>
        <w:autoSpaceDE/>
        <w:autoSpaceDN/>
        <w:adjustRightInd/>
        <w:textAlignment w:val="auto"/>
        <w:rPr>
          <w:bCs/>
          <w:lang w:val="ru-RU"/>
        </w:rPr>
      </w:pPr>
      <w:r w:rsidRPr="000E1D42">
        <w:rPr>
          <w:lang w:val="ru-RU"/>
        </w:rPr>
        <w:lastRenderedPageBreak/>
        <w:t>В настоящей Рекомендации определены угрозы безопасности данных, обрабатываемых в системах DPT на базе контролируемого DLT, в особенности конфиденциальных данных, относящихся к участникам систем, таких как идентификатор пользователя (ID), состав энергетических ресурсов, рабочее состояние и графики производства/потребления энергии. В ней также представлены требования безопасности для смягчения этих угроз безопасности и защиты конфиденциальных данных от внешнего воздействия. Настоящая Рекомендация может применяться при проектировании, разработке и эксплуатации систем DPT на базе контролируемого DLT</w:t>
      </w:r>
      <w:r w:rsidR="00795355" w:rsidRPr="000E1D42">
        <w:rPr>
          <w:lang w:val="ru-RU"/>
        </w:rPr>
        <w:t>.</w:t>
      </w:r>
    </w:p>
    <w:p w14:paraId="7BFBB5A0" w14:textId="77777777" w:rsidR="00A7119D" w:rsidRPr="0080257B" w:rsidRDefault="00A7119D" w:rsidP="00A7119D">
      <w:pPr>
        <w:rPr>
          <w:lang w:val="ru-RU"/>
        </w:rPr>
      </w:pPr>
      <w:r w:rsidRPr="0080257B">
        <w:rPr>
          <w:lang w:val="ru-RU"/>
        </w:rPr>
        <w:br w:type="page"/>
      </w:r>
    </w:p>
    <w:p w14:paraId="50BC49D3" w14:textId="609CD747" w:rsidR="00713D99" w:rsidRPr="0080257B" w:rsidRDefault="00713D99" w:rsidP="00BF1038">
      <w:pPr>
        <w:pStyle w:val="AnnexNo"/>
        <w:pageBreakBefore/>
        <w:rPr>
          <w:lang w:val="ru-RU"/>
        </w:rPr>
      </w:pPr>
      <w:r w:rsidRPr="0080257B">
        <w:rPr>
          <w:lang w:val="ru-RU"/>
        </w:rPr>
        <w:lastRenderedPageBreak/>
        <w:t>ПРИЛОЖЕНИЕ 2</w:t>
      </w:r>
    </w:p>
    <w:p w14:paraId="6268FE8A" w14:textId="1F0FF37E" w:rsidR="00713D99" w:rsidRPr="0080257B" w:rsidRDefault="00713D99" w:rsidP="007207FA">
      <w:pPr>
        <w:pStyle w:val="Annextitle"/>
        <w:spacing w:after="480"/>
        <w:rPr>
          <w:lang w:val="ru-RU"/>
        </w:rPr>
      </w:pPr>
      <w:r w:rsidRPr="0080257B">
        <w:rPr>
          <w:lang w:val="ru-RU"/>
        </w:rPr>
        <w:t xml:space="preserve">Предмет: ответ Государства-Члена на Циркуляр </w:t>
      </w:r>
      <w:r w:rsidR="00E34EBF" w:rsidRPr="0080257B">
        <w:rPr>
          <w:lang w:val="ru-RU"/>
        </w:rPr>
        <w:t>10</w:t>
      </w:r>
      <w:r w:rsidR="000E68D6">
        <w:rPr>
          <w:lang w:val="ru-RU"/>
        </w:rPr>
        <w:t>4</w:t>
      </w:r>
      <w:r w:rsidRPr="0080257B">
        <w:rPr>
          <w:lang w:val="ru-RU"/>
        </w:rPr>
        <w:t xml:space="preserve"> БСЭ </w:t>
      </w:r>
      <w:r w:rsidRPr="0080257B">
        <w:rPr>
          <w:lang w:val="ru-RU"/>
        </w:rPr>
        <w:br/>
      </w:r>
      <w:r w:rsidR="003F3511" w:rsidRPr="0080257B">
        <w:rPr>
          <w:bCs/>
          <w:color w:val="000000"/>
          <w:lang w:val="ru-RU"/>
        </w:rPr>
        <w:t xml:space="preserve">Консультации по </w:t>
      </w:r>
      <w:r w:rsidR="000E68D6" w:rsidRPr="000E68D6">
        <w:rPr>
          <w:bCs/>
          <w:color w:val="000000"/>
          <w:lang w:val="ru-RU"/>
        </w:rPr>
        <w:t xml:space="preserve">проекту пересмотренной Рекомендации МСЭ-Т X.1280 и проектам новых Рекомендаций X.1286 </w:t>
      </w:r>
      <w:r w:rsidR="000E1D42">
        <w:rPr>
          <w:bCs/>
          <w:color w:val="000000"/>
          <w:lang w:val="ru-RU"/>
        </w:rPr>
        <w:t xml:space="preserve">(ранее − </w:t>
      </w:r>
      <w:r w:rsidR="000E68D6" w:rsidRPr="000E68D6">
        <w:rPr>
          <w:bCs/>
          <w:color w:val="000000"/>
          <w:lang w:val="ru-RU"/>
        </w:rPr>
        <w:t xml:space="preserve">X.accsadlt), X.1821 </w:t>
      </w:r>
      <w:r w:rsidR="000E1D42">
        <w:rPr>
          <w:bCs/>
          <w:color w:val="000000"/>
          <w:lang w:val="ru-RU"/>
        </w:rPr>
        <w:t xml:space="preserve">(ранее − </w:t>
      </w:r>
      <w:r w:rsidR="000E68D6" w:rsidRPr="000E68D6">
        <w:rPr>
          <w:bCs/>
          <w:color w:val="000000"/>
          <w:lang w:val="ru-RU"/>
        </w:rPr>
        <w:t xml:space="preserve">X.5Gsec-asra), X.1350 </w:t>
      </w:r>
      <w:r w:rsidR="000E1D42">
        <w:rPr>
          <w:bCs/>
          <w:color w:val="000000"/>
          <w:lang w:val="ru-RU"/>
        </w:rPr>
        <w:t xml:space="preserve">(ранее − </w:t>
      </w:r>
      <w:r w:rsidR="000E68D6" w:rsidRPr="000E68D6">
        <w:rPr>
          <w:bCs/>
          <w:color w:val="000000"/>
          <w:lang w:val="ru-RU"/>
        </w:rPr>
        <w:t xml:space="preserve">X.sr-iiot), X.2105 </w:t>
      </w:r>
      <w:r w:rsidR="000E1D42">
        <w:rPr>
          <w:bCs/>
          <w:color w:val="000000"/>
          <w:lang w:val="ru-RU"/>
        </w:rPr>
        <w:t xml:space="preserve">(ранее − </w:t>
      </w:r>
      <w:r w:rsidR="000E68D6" w:rsidRPr="000E68D6">
        <w:rPr>
          <w:bCs/>
          <w:color w:val="000000"/>
          <w:lang w:val="ru-RU"/>
        </w:rPr>
        <w:t xml:space="preserve">X.st-ssc), X.2210 </w:t>
      </w:r>
      <w:r w:rsidR="000E1D42">
        <w:rPr>
          <w:bCs/>
          <w:color w:val="000000"/>
          <w:lang w:val="ru-RU"/>
        </w:rPr>
        <w:t xml:space="preserve">(ранее − </w:t>
      </w:r>
      <w:r w:rsidR="000E68D6" w:rsidRPr="000E68D6">
        <w:rPr>
          <w:bCs/>
          <w:color w:val="000000"/>
          <w:lang w:val="ru-RU"/>
        </w:rPr>
        <w:t xml:space="preserve">X.ig-dw), X.1910 </w:t>
      </w:r>
      <w:r w:rsidR="000E1D42">
        <w:rPr>
          <w:bCs/>
          <w:color w:val="000000"/>
          <w:lang w:val="ru-RU"/>
        </w:rPr>
        <w:t xml:space="preserve">(ранее − </w:t>
      </w:r>
      <w:r w:rsidR="000E68D6" w:rsidRPr="000E68D6">
        <w:rPr>
          <w:bCs/>
          <w:color w:val="000000"/>
          <w:lang w:val="ru-RU"/>
        </w:rPr>
        <w:t xml:space="preserve">X.tc-ifd), X.1651 </w:t>
      </w:r>
      <w:r w:rsidR="000E1D42">
        <w:rPr>
          <w:bCs/>
          <w:color w:val="000000"/>
          <w:lang w:val="ru-RU"/>
        </w:rPr>
        <w:t xml:space="preserve">(ранее − </w:t>
      </w:r>
      <w:r w:rsidR="000E68D6" w:rsidRPr="000E68D6">
        <w:rPr>
          <w:bCs/>
          <w:color w:val="000000"/>
          <w:lang w:val="ru-RU"/>
        </w:rPr>
        <w:t xml:space="preserve">X.soar-cc), X.1607 </w:t>
      </w:r>
      <w:r w:rsidR="000E1D42">
        <w:rPr>
          <w:bCs/>
          <w:color w:val="000000"/>
          <w:lang w:val="ru-RU"/>
        </w:rPr>
        <w:t xml:space="preserve">(ранее − </w:t>
      </w:r>
      <w:r w:rsidR="000E68D6" w:rsidRPr="000E68D6">
        <w:rPr>
          <w:bCs/>
          <w:color w:val="000000"/>
          <w:lang w:val="ru-RU"/>
        </w:rPr>
        <w:t xml:space="preserve">X.asm-cc), X.1418 </w:t>
      </w:r>
      <w:r w:rsidR="000E1D42">
        <w:rPr>
          <w:bCs/>
          <w:color w:val="000000"/>
          <w:lang w:val="ru-RU"/>
        </w:rPr>
        <w:t xml:space="preserve">(ранее − </w:t>
      </w:r>
      <w:r w:rsidR="000E68D6" w:rsidRPr="000E68D6">
        <w:rPr>
          <w:bCs/>
          <w:color w:val="000000"/>
          <w:lang w:val="ru-RU"/>
        </w:rPr>
        <w:t xml:space="preserve">X.sg-dcs) и X.1417 </w:t>
      </w:r>
      <w:r w:rsidR="000E1D42">
        <w:rPr>
          <w:bCs/>
          <w:color w:val="000000"/>
          <w:lang w:val="ru-RU"/>
        </w:rPr>
        <w:t xml:space="preserve">(ранее − </w:t>
      </w:r>
      <w:r w:rsidR="000E68D6" w:rsidRPr="000E68D6">
        <w:rPr>
          <w:bCs/>
          <w:color w:val="000000"/>
          <w:lang w:val="ru-RU"/>
        </w:rPr>
        <w:t>X.sr-dpts), по которым сделано заключение</w:t>
      </w:r>
    </w:p>
    <w:tbl>
      <w:tblPr>
        <w:tblW w:w="9781" w:type="dxa"/>
        <w:tblLayout w:type="fixed"/>
        <w:tblLook w:val="04A0" w:firstRow="1" w:lastRow="0" w:firstColumn="1" w:lastColumn="0" w:noHBand="0" w:noVBand="1"/>
      </w:tblPr>
      <w:tblGrid>
        <w:gridCol w:w="1064"/>
        <w:gridCol w:w="4039"/>
        <w:gridCol w:w="1276"/>
        <w:gridCol w:w="3402"/>
      </w:tblGrid>
      <w:tr w:rsidR="00713D99" w:rsidRPr="00C53C88" w14:paraId="19031902" w14:textId="77777777" w:rsidTr="009F717B">
        <w:tc>
          <w:tcPr>
            <w:tcW w:w="1064" w:type="dxa"/>
          </w:tcPr>
          <w:p w14:paraId="70F9DAA2" w14:textId="77777777" w:rsidR="00713D99" w:rsidRPr="0080257B" w:rsidRDefault="00713D99" w:rsidP="00713D99">
            <w:pPr>
              <w:overflowPunct/>
              <w:autoSpaceDE/>
              <w:autoSpaceDN/>
              <w:adjustRightInd/>
              <w:ind w:left="-113"/>
              <w:jc w:val="right"/>
              <w:textAlignment w:val="auto"/>
              <w:rPr>
                <w:szCs w:val="24"/>
                <w:lang w:val="ru-RU"/>
              </w:rPr>
            </w:pPr>
            <w:r w:rsidRPr="0080257B">
              <w:rPr>
                <w:b/>
                <w:bCs/>
                <w:szCs w:val="24"/>
                <w:lang w:val="ru-RU"/>
              </w:rPr>
              <w:t>Кому</w:t>
            </w:r>
            <w:r w:rsidRPr="0080257B">
              <w:rPr>
                <w:szCs w:val="24"/>
                <w:lang w:val="ru-RU"/>
              </w:rPr>
              <w:t>:</w:t>
            </w:r>
          </w:p>
        </w:tc>
        <w:tc>
          <w:tcPr>
            <w:tcW w:w="4039" w:type="dxa"/>
            <w:tcBorders>
              <w:right w:val="single" w:sz="8" w:space="0" w:color="auto"/>
            </w:tcBorders>
          </w:tcPr>
          <w:p w14:paraId="6EEEFBEA" w14:textId="38358E2C" w:rsidR="00713D99" w:rsidRPr="0080257B" w:rsidRDefault="00713D99" w:rsidP="00A7119D">
            <w:pPr>
              <w:overflowPunct/>
              <w:autoSpaceDE/>
              <w:autoSpaceDN/>
              <w:adjustRightInd/>
              <w:spacing w:after="120"/>
              <w:textAlignment w:val="auto"/>
              <w:rPr>
                <w:szCs w:val="24"/>
                <w:lang w:val="ru-RU"/>
              </w:rPr>
            </w:pPr>
            <w:r w:rsidRPr="0080257B">
              <w:rPr>
                <w:szCs w:val="24"/>
                <w:lang w:val="ru-RU"/>
              </w:rPr>
              <w:t xml:space="preserve">Директору </w:t>
            </w:r>
            <w:r w:rsidRPr="0080257B">
              <w:rPr>
                <w:szCs w:val="24"/>
                <w:lang w:val="ru-RU"/>
              </w:rPr>
              <w:br/>
              <w:t>Бюро стандартизации электросвязи</w:t>
            </w:r>
            <w:r w:rsidR="00A7119D" w:rsidRPr="0080257B">
              <w:rPr>
                <w:szCs w:val="24"/>
                <w:lang w:val="ru-RU"/>
              </w:rPr>
              <w:br/>
            </w:r>
            <w:r w:rsidRPr="0080257B">
              <w:rPr>
                <w:szCs w:val="24"/>
                <w:lang w:val="ru-RU"/>
              </w:rPr>
              <w:t>Международный союз электросвязи</w:t>
            </w:r>
            <w:r w:rsidR="00A7119D" w:rsidRPr="0080257B">
              <w:rPr>
                <w:szCs w:val="24"/>
                <w:lang w:val="ru-RU"/>
              </w:rPr>
              <w:br/>
            </w:r>
            <w:r w:rsidRPr="0080257B">
              <w:rPr>
                <w:szCs w:val="24"/>
                <w:lang w:val="ru-RU"/>
              </w:rPr>
              <w:t>Place des Nations</w:t>
            </w:r>
            <w:r w:rsidR="00A7119D" w:rsidRPr="0080257B">
              <w:rPr>
                <w:szCs w:val="24"/>
                <w:lang w:val="ru-RU"/>
              </w:rPr>
              <w:br/>
            </w:r>
            <w:r w:rsidRPr="0080257B">
              <w:rPr>
                <w:szCs w:val="24"/>
                <w:lang w:val="ru-RU"/>
              </w:rPr>
              <w:t>CH 1211 Geneva 20, Switzerland</w:t>
            </w:r>
          </w:p>
        </w:tc>
        <w:tc>
          <w:tcPr>
            <w:tcW w:w="1276" w:type="dxa"/>
            <w:tcBorders>
              <w:left w:val="single" w:sz="8" w:space="0" w:color="auto"/>
            </w:tcBorders>
          </w:tcPr>
          <w:p w14:paraId="61432708" w14:textId="77777777" w:rsidR="00713D99" w:rsidRPr="0080257B" w:rsidRDefault="00713D99" w:rsidP="00713D99">
            <w:pPr>
              <w:overflowPunct/>
              <w:autoSpaceDE/>
              <w:autoSpaceDN/>
              <w:adjustRightInd/>
              <w:jc w:val="right"/>
              <w:textAlignment w:val="auto"/>
              <w:rPr>
                <w:szCs w:val="24"/>
                <w:lang w:val="ru-RU"/>
              </w:rPr>
            </w:pPr>
            <w:r w:rsidRPr="0080257B">
              <w:rPr>
                <w:b/>
                <w:bCs/>
                <w:szCs w:val="24"/>
                <w:lang w:val="ru-RU"/>
              </w:rPr>
              <w:t>От</w:t>
            </w:r>
            <w:r w:rsidRPr="0080257B">
              <w:rPr>
                <w:szCs w:val="24"/>
                <w:lang w:val="ru-RU"/>
              </w:rPr>
              <w:t>:</w:t>
            </w:r>
          </w:p>
        </w:tc>
        <w:tc>
          <w:tcPr>
            <w:tcW w:w="3402" w:type="dxa"/>
          </w:tcPr>
          <w:p w14:paraId="5546D26A" w14:textId="1C5306B8" w:rsidR="00713D99" w:rsidRPr="0080257B" w:rsidRDefault="00713D99" w:rsidP="00A7119D">
            <w:pPr>
              <w:overflowPunct/>
              <w:autoSpaceDE/>
              <w:autoSpaceDN/>
              <w:adjustRightInd/>
              <w:textAlignment w:val="auto"/>
              <w:rPr>
                <w:szCs w:val="24"/>
                <w:lang w:val="ru-RU"/>
              </w:rPr>
            </w:pPr>
            <w:r w:rsidRPr="0080257B">
              <w:rPr>
                <w:szCs w:val="24"/>
                <w:highlight w:val="green"/>
                <w:lang w:val="ru-RU"/>
              </w:rPr>
              <w:t>[Фамилия]</w:t>
            </w:r>
            <w:r w:rsidR="00A7119D" w:rsidRPr="0080257B">
              <w:rPr>
                <w:szCs w:val="24"/>
                <w:highlight w:val="green"/>
                <w:lang w:val="ru-RU"/>
              </w:rPr>
              <w:br/>
            </w:r>
            <w:r w:rsidRPr="0080257B">
              <w:rPr>
                <w:szCs w:val="24"/>
                <w:highlight w:val="green"/>
                <w:lang w:val="ru-RU"/>
              </w:rPr>
              <w:t>[Официальная должность/титул]</w:t>
            </w:r>
            <w:r w:rsidR="00A7119D" w:rsidRPr="0080257B">
              <w:rPr>
                <w:szCs w:val="24"/>
                <w:highlight w:val="green"/>
                <w:lang w:val="ru-RU"/>
              </w:rPr>
              <w:br/>
            </w:r>
            <w:r w:rsidRPr="0080257B">
              <w:rPr>
                <w:szCs w:val="24"/>
                <w:highlight w:val="green"/>
                <w:lang w:val="ru-RU"/>
              </w:rPr>
              <w:t>[Адрес]</w:t>
            </w:r>
          </w:p>
        </w:tc>
      </w:tr>
      <w:tr w:rsidR="00713D99" w:rsidRPr="0080257B" w14:paraId="6B3A3593" w14:textId="77777777" w:rsidTr="009F717B">
        <w:tc>
          <w:tcPr>
            <w:tcW w:w="1064" w:type="dxa"/>
          </w:tcPr>
          <w:p w14:paraId="26E315CE" w14:textId="77777777" w:rsidR="00713D99" w:rsidRPr="0080257B" w:rsidRDefault="00713D99" w:rsidP="00713D99">
            <w:pPr>
              <w:overflowPunct/>
              <w:autoSpaceDE/>
              <w:autoSpaceDN/>
              <w:adjustRightInd/>
              <w:spacing w:before="0"/>
              <w:ind w:left="-113"/>
              <w:jc w:val="right"/>
              <w:textAlignment w:val="auto"/>
              <w:rPr>
                <w:szCs w:val="24"/>
                <w:lang w:val="ru-RU"/>
              </w:rPr>
            </w:pPr>
            <w:r w:rsidRPr="0080257B">
              <w:rPr>
                <w:b/>
                <w:bCs/>
                <w:szCs w:val="24"/>
                <w:lang w:val="ru-RU"/>
              </w:rPr>
              <w:t>Факс</w:t>
            </w:r>
            <w:r w:rsidRPr="0080257B">
              <w:rPr>
                <w:szCs w:val="24"/>
                <w:lang w:val="ru-RU"/>
              </w:rPr>
              <w:t>:</w:t>
            </w:r>
          </w:p>
          <w:p w14:paraId="70C83C86" w14:textId="77777777" w:rsidR="00713D99" w:rsidRPr="0080257B" w:rsidRDefault="00713D99" w:rsidP="00713D99">
            <w:pPr>
              <w:overflowPunct/>
              <w:autoSpaceDE/>
              <w:autoSpaceDN/>
              <w:adjustRightInd/>
              <w:spacing w:before="0"/>
              <w:ind w:left="-113"/>
              <w:jc w:val="right"/>
              <w:textAlignment w:val="auto"/>
              <w:rPr>
                <w:szCs w:val="24"/>
                <w:lang w:val="ru-RU"/>
              </w:rPr>
            </w:pPr>
            <w:r w:rsidRPr="0080257B">
              <w:rPr>
                <w:b/>
                <w:bCs/>
                <w:szCs w:val="24"/>
                <w:lang w:val="ru-RU"/>
              </w:rPr>
              <w:t>Эл. почта</w:t>
            </w:r>
            <w:r w:rsidRPr="0080257B">
              <w:rPr>
                <w:szCs w:val="24"/>
                <w:lang w:val="ru-RU"/>
              </w:rPr>
              <w:t>:</w:t>
            </w:r>
          </w:p>
        </w:tc>
        <w:tc>
          <w:tcPr>
            <w:tcW w:w="4039" w:type="dxa"/>
            <w:tcBorders>
              <w:right w:val="single" w:sz="8" w:space="0" w:color="auto"/>
            </w:tcBorders>
          </w:tcPr>
          <w:p w14:paraId="4CC6E5D4" w14:textId="77777777" w:rsidR="00713D99" w:rsidRPr="0080257B" w:rsidRDefault="00713D99" w:rsidP="00713D99">
            <w:pPr>
              <w:overflowPunct/>
              <w:autoSpaceDE/>
              <w:autoSpaceDN/>
              <w:adjustRightInd/>
              <w:spacing w:before="0"/>
              <w:textAlignment w:val="auto"/>
              <w:rPr>
                <w:szCs w:val="24"/>
                <w:lang w:val="ru-RU"/>
              </w:rPr>
            </w:pPr>
            <w:r w:rsidRPr="0080257B">
              <w:rPr>
                <w:szCs w:val="24"/>
                <w:lang w:val="ru-RU"/>
              </w:rPr>
              <w:t>+41 22 730 5853</w:t>
            </w:r>
          </w:p>
          <w:p w14:paraId="056BC751" w14:textId="77777777" w:rsidR="00713D99" w:rsidRPr="0080257B" w:rsidRDefault="00713D99" w:rsidP="00713D99">
            <w:pPr>
              <w:overflowPunct/>
              <w:autoSpaceDE/>
              <w:autoSpaceDN/>
              <w:adjustRightInd/>
              <w:spacing w:before="0"/>
              <w:textAlignment w:val="auto"/>
              <w:rPr>
                <w:szCs w:val="24"/>
                <w:lang w:val="ru-RU"/>
              </w:rPr>
            </w:pPr>
            <w:hyperlink r:id="rId29" w:history="1">
              <w:r w:rsidRPr="0080257B">
                <w:rPr>
                  <w:color w:val="0000FF"/>
                  <w:szCs w:val="24"/>
                  <w:u w:val="single"/>
                  <w:lang w:val="ru-RU"/>
                </w:rPr>
                <w:t>tsbdir@itu.int</w:t>
              </w:r>
            </w:hyperlink>
          </w:p>
        </w:tc>
        <w:tc>
          <w:tcPr>
            <w:tcW w:w="1276" w:type="dxa"/>
            <w:tcBorders>
              <w:left w:val="single" w:sz="8" w:space="0" w:color="auto"/>
            </w:tcBorders>
          </w:tcPr>
          <w:p w14:paraId="12CA24FA" w14:textId="77777777" w:rsidR="00713D99" w:rsidRPr="0080257B" w:rsidRDefault="00713D99" w:rsidP="00713D99">
            <w:pPr>
              <w:overflowPunct/>
              <w:autoSpaceDE/>
              <w:autoSpaceDN/>
              <w:adjustRightInd/>
              <w:spacing w:before="0"/>
              <w:jc w:val="right"/>
              <w:textAlignment w:val="auto"/>
              <w:rPr>
                <w:szCs w:val="24"/>
                <w:lang w:val="ru-RU"/>
              </w:rPr>
            </w:pPr>
            <w:r w:rsidRPr="0080257B">
              <w:rPr>
                <w:b/>
                <w:bCs/>
                <w:szCs w:val="24"/>
                <w:lang w:val="ru-RU"/>
              </w:rPr>
              <w:t>Факс</w:t>
            </w:r>
            <w:r w:rsidRPr="0080257B">
              <w:rPr>
                <w:szCs w:val="24"/>
                <w:lang w:val="ru-RU"/>
              </w:rPr>
              <w:t>:</w:t>
            </w:r>
          </w:p>
          <w:p w14:paraId="6FF94749" w14:textId="77777777" w:rsidR="00713D99" w:rsidRPr="0080257B" w:rsidRDefault="00713D99" w:rsidP="00713D99">
            <w:pPr>
              <w:overflowPunct/>
              <w:autoSpaceDE/>
              <w:autoSpaceDN/>
              <w:adjustRightInd/>
              <w:spacing w:before="0"/>
              <w:jc w:val="right"/>
              <w:textAlignment w:val="auto"/>
              <w:rPr>
                <w:szCs w:val="24"/>
                <w:lang w:val="ru-RU"/>
              </w:rPr>
            </w:pPr>
            <w:r w:rsidRPr="0080257B">
              <w:rPr>
                <w:b/>
                <w:bCs/>
                <w:szCs w:val="24"/>
                <w:lang w:val="ru-RU"/>
              </w:rPr>
              <w:t>Эл. почта</w:t>
            </w:r>
            <w:r w:rsidRPr="0080257B">
              <w:rPr>
                <w:szCs w:val="24"/>
                <w:lang w:val="ru-RU"/>
              </w:rPr>
              <w:t>:</w:t>
            </w:r>
          </w:p>
        </w:tc>
        <w:tc>
          <w:tcPr>
            <w:tcW w:w="3402" w:type="dxa"/>
          </w:tcPr>
          <w:p w14:paraId="4930ABC3" w14:textId="77777777" w:rsidR="00713D99" w:rsidRPr="0080257B" w:rsidRDefault="00713D99" w:rsidP="00713D99">
            <w:pPr>
              <w:overflowPunct/>
              <w:autoSpaceDE/>
              <w:autoSpaceDN/>
              <w:adjustRightInd/>
              <w:spacing w:before="0"/>
              <w:textAlignment w:val="auto"/>
              <w:rPr>
                <w:szCs w:val="24"/>
                <w:lang w:val="ru-RU"/>
              </w:rPr>
            </w:pPr>
          </w:p>
        </w:tc>
      </w:tr>
      <w:tr w:rsidR="00713D99" w:rsidRPr="0080257B" w14:paraId="0C59F2A2" w14:textId="77777777" w:rsidTr="009F717B">
        <w:tc>
          <w:tcPr>
            <w:tcW w:w="1064" w:type="dxa"/>
          </w:tcPr>
          <w:p w14:paraId="33262B29" w14:textId="77777777" w:rsidR="00713D99" w:rsidRPr="0080257B" w:rsidRDefault="00713D99" w:rsidP="00713D99">
            <w:pPr>
              <w:overflowPunct/>
              <w:autoSpaceDE/>
              <w:autoSpaceDN/>
              <w:adjustRightInd/>
              <w:spacing w:before="0"/>
              <w:ind w:left="-113"/>
              <w:jc w:val="right"/>
              <w:textAlignment w:val="auto"/>
              <w:rPr>
                <w:b/>
                <w:bCs/>
                <w:szCs w:val="24"/>
                <w:lang w:val="ru-RU"/>
              </w:rPr>
            </w:pPr>
          </w:p>
        </w:tc>
        <w:tc>
          <w:tcPr>
            <w:tcW w:w="4039" w:type="dxa"/>
            <w:tcBorders>
              <w:right w:val="single" w:sz="8" w:space="0" w:color="auto"/>
            </w:tcBorders>
          </w:tcPr>
          <w:p w14:paraId="5A5286F4" w14:textId="77777777" w:rsidR="00713D99" w:rsidRPr="0080257B" w:rsidRDefault="00713D99" w:rsidP="00713D99">
            <w:pPr>
              <w:overflowPunct/>
              <w:autoSpaceDE/>
              <w:autoSpaceDN/>
              <w:adjustRightInd/>
              <w:spacing w:before="0"/>
              <w:textAlignment w:val="auto"/>
              <w:rPr>
                <w:szCs w:val="24"/>
                <w:lang w:val="ru-RU"/>
              </w:rPr>
            </w:pPr>
          </w:p>
        </w:tc>
        <w:tc>
          <w:tcPr>
            <w:tcW w:w="1276" w:type="dxa"/>
            <w:tcBorders>
              <w:left w:val="single" w:sz="8" w:space="0" w:color="auto"/>
            </w:tcBorders>
          </w:tcPr>
          <w:p w14:paraId="2B102E49" w14:textId="77777777" w:rsidR="00713D99" w:rsidRPr="0080257B" w:rsidRDefault="00713D99" w:rsidP="00713D99">
            <w:pPr>
              <w:overflowPunct/>
              <w:autoSpaceDE/>
              <w:autoSpaceDN/>
              <w:adjustRightInd/>
              <w:spacing w:before="0"/>
              <w:jc w:val="right"/>
              <w:textAlignment w:val="auto"/>
              <w:rPr>
                <w:b/>
                <w:bCs/>
                <w:szCs w:val="24"/>
                <w:lang w:val="ru-RU"/>
              </w:rPr>
            </w:pPr>
            <w:r w:rsidRPr="0080257B">
              <w:rPr>
                <w:b/>
                <w:bCs/>
                <w:szCs w:val="24"/>
                <w:lang w:val="ru-RU"/>
              </w:rPr>
              <w:t>Дата</w:t>
            </w:r>
            <w:r w:rsidRPr="0080257B">
              <w:rPr>
                <w:szCs w:val="24"/>
                <w:lang w:val="ru-RU"/>
              </w:rPr>
              <w:t>:</w:t>
            </w:r>
          </w:p>
        </w:tc>
        <w:tc>
          <w:tcPr>
            <w:tcW w:w="3402" w:type="dxa"/>
          </w:tcPr>
          <w:p w14:paraId="26CC72B9" w14:textId="77777777" w:rsidR="00713D99" w:rsidRPr="0080257B" w:rsidRDefault="00713D99" w:rsidP="00713D99">
            <w:pPr>
              <w:overflowPunct/>
              <w:autoSpaceDE/>
              <w:autoSpaceDN/>
              <w:adjustRightInd/>
              <w:spacing w:before="0"/>
              <w:textAlignment w:val="auto"/>
              <w:rPr>
                <w:szCs w:val="24"/>
                <w:lang w:val="ru-RU"/>
              </w:rPr>
            </w:pPr>
            <w:r w:rsidRPr="0080257B">
              <w:rPr>
                <w:szCs w:val="24"/>
                <w:highlight w:val="green"/>
                <w:lang w:val="ru-RU"/>
              </w:rPr>
              <w:t>[Место,] [Дата]</w:t>
            </w:r>
          </w:p>
        </w:tc>
      </w:tr>
    </w:tbl>
    <w:p w14:paraId="71BDF901" w14:textId="77777777" w:rsidR="00713D99" w:rsidRPr="0080257B" w:rsidRDefault="00713D99" w:rsidP="007207FA">
      <w:pPr>
        <w:overflowPunct/>
        <w:autoSpaceDE/>
        <w:autoSpaceDN/>
        <w:adjustRightInd/>
        <w:spacing w:before="480"/>
        <w:textAlignment w:val="auto"/>
        <w:rPr>
          <w:szCs w:val="24"/>
          <w:lang w:val="ru-RU"/>
        </w:rPr>
      </w:pPr>
      <w:r w:rsidRPr="0080257B">
        <w:rPr>
          <w:szCs w:val="24"/>
          <w:lang w:val="ru-RU"/>
        </w:rPr>
        <w:t>Уважаемая госпожа,</w:t>
      </w:r>
      <w:r w:rsidRPr="0080257B">
        <w:rPr>
          <w:szCs w:val="24"/>
          <w:lang w:val="ru-RU"/>
        </w:rPr>
        <w:br/>
        <w:t>уважаемый господин,</w:t>
      </w:r>
    </w:p>
    <w:p w14:paraId="2006987F" w14:textId="6F5FA9CF" w:rsidR="00713D99" w:rsidRPr="0080257B" w:rsidRDefault="00713D99" w:rsidP="00713D99">
      <w:pPr>
        <w:overflowPunct/>
        <w:autoSpaceDE/>
        <w:autoSpaceDN/>
        <w:adjustRightInd/>
        <w:spacing w:after="120"/>
        <w:textAlignment w:val="auto"/>
        <w:rPr>
          <w:szCs w:val="24"/>
          <w:lang w:val="ru-RU"/>
        </w:rPr>
      </w:pPr>
      <w:r w:rsidRPr="0080257B">
        <w:rPr>
          <w:szCs w:val="24"/>
          <w:lang w:val="ru-RU"/>
        </w:rPr>
        <w:t xml:space="preserve">В рамках консультаций с Государствами-Членами </w:t>
      </w:r>
      <w:r w:rsidRPr="0080257B">
        <w:rPr>
          <w:bCs/>
          <w:szCs w:val="24"/>
          <w:lang w:val="ru-RU"/>
        </w:rPr>
        <w:t xml:space="preserve">по указанным в </w:t>
      </w:r>
      <w:hyperlink r:id="rId30" w:history="1">
        <w:r w:rsidRPr="000E68D6">
          <w:rPr>
            <w:rStyle w:val="Hyperlink"/>
            <w:b/>
            <w:szCs w:val="24"/>
            <w:lang w:val="ru-RU"/>
          </w:rPr>
          <w:t>Циркуляре </w:t>
        </w:r>
        <w:r w:rsidR="001704FD" w:rsidRPr="000E68D6">
          <w:rPr>
            <w:rStyle w:val="Hyperlink"/>
            <w:b/>
            <w:szCs w:val="24"/>
            <w:lang w:val="ru-RU"/>
          </w:rPr>
          <w:t>10</w:t>
        </w:r>
        <w:r w:rsidR="000E68D6" w:rsidRPr="000E68D6">
          <w:rPr>
            <w:rStyle w:val="Hyperlink"/>
            <w:b/>
            <w:szCs w:val="24"/>
            <w:lang w:val="ru-RU"/>
          </w:rPr>
          <w:t>4</w:t>
        </w:r>
        <w:r w:rsidRPr="000E68D6">
          <w:rPr>
            <w:rStyle w:val="Hyperlink"/>
            <w:b/>
            <w:szCs w:val="24"/>
            <w:lang w:val="ru-RU"/>
          </w:rPr>
          <w:t xml:space="preserve"> БСЭ</w:t>
        </w:r>
      </w:hyperlink>
      <w:r w:rsidRPr="0080257B">
        <w:rPr>
          <w:bCs/>
          <w:szCs w:val="24"/>
          <w:lang w:val="ru-RU"/>
        </w:rPr>
        <w:t xml:space="preserve"> проектам текстов, по которым сделано </w:t>
      </w:r>
      <w:r w:rsidRPr="0080257B">
        <w:rPr>
          <w:szCs w:val="24"/>
          <w:lang w:val="ru-RU"/>
        </w:rPr>
        <w:t>заключение</w:t>
      </w:r>
      <w:r w:rsidRPr="0080257B">
        <w:rPr>
          <w:bCs/>
          <w:szCs w:val="24"/>
          <w:lang w:val="ru-RU"/>
        </w:rPr>
        <w:t xml:space="preserve">, </w:t>
      </w:r>
      <w:r w:rsidRPr="0080257B">
        <w:rPr>
          <w:szCs w:val="24"/>
          <w:lang w:val="ru-RU"/>
        </w:rPr>
        <w:t>я хотел/хотела бы сообщить вам мнение администрации, изложенное в таблице</w:t>
      </w:r>
      <w:r w:rsidR="00E6385D">
        <w:rPr>
          <w:szCs w:val="24"/>
          <w:lang w:val="ru-RU"/>
        </w:rPr>
        <w:t>,</w:t>
      </w:r>
      <w:r w:rsidRPr="0080257B">
        <w:rPr>
          <w:szCs w:val="24"/>
          <w:lang w:val="ru-RU"/>
        </w:rPr>
        <w:t xml:space="preserve"> ниже.</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7377"/>
      </w:tblGrid>
      <w:tr w:rsidR="00713D99" w:rsidRPr="00C53C88" w14:paraId="79AE88E6" w14:textId="77777777" w:rsidTr="007207FA">
        <w:trPr>
          <w:cantSplit/>
          <w:tblHeader/>
        </w:trPr>
        <w:tc>
          <w:tcPr>
            <w:tcW w:w="2249" w:type="dxa"/>
            <w:vAlign w:val="center"/>
          </w:tcPr>
          <w:p w14:paraId="381500CD" w14:textId="77777777" w:rsidR="00713D99" w:rsidRPr="008C3809" w:rsidRDefault="00713D99" w:rsidP="00713D99">
            <w:pPr>
              <w:spacing w:before="80" w:after="80"/>
              <w:jc w:val="center"/>
              <w:rPr>
                <w:b/>
                <w:bCs/>
                <w:sz w:val="20"/>
                <w:lang w:val="ru-RU"/>
              </w:rPr>
            </w:pPr>
          </w:p>
        </w:tc>
        <w:tc>
          <w:tcPr>
            <w:tcW w:w="7377" w:type="dxa"/>
            <w:vAlign w:val="center"/>
          </w:tcPr>
          <w:p w14:paraId="18CC88F3" w14:textId="77777777" w:rsidR="00713D99" w:rsidRPr="0080257B" w:rsidRDefault="00713D99" w:rsidP="00713D99">
            <w:pPr>
              <w:tabs>
                <w:tab w:val="clear" w:pos="794"/>
                <w:tab w:val="clear" w:pos="1191"/>
                <w:tab w:val="clear" w:pos="1588"/>
                <w:tab w:val="clear" w:pos="1985"/>
              </w:tabs>
              <w:spacing w:before="80" w:after="80"/>
              <w:ind w:left="939" w:hanging="459"/>
              <w:jc w:val="center"/>
              <w:rPr>
                <w:b/>
                <w:bCs/>
                <w:sz w:val="20"/>
                <w:lang w:val="ru-RU"/>
              </w:rPr>
            </w:pPr>
            <w:r w:rsidRPr="0080257B">
              <w:rPr>
                <w:b/>
                <w:bCs/>
                <w:sz w:val="20"/>
                <w:lang w:val="ru-RU"/>
              </w:rPr>
              <w:t>Выбрать одну из двух ячеек</w:t>
            </w:r>
          </w:p>
        </w:tc>
      </w:tr>
      <w:tr w:rsidR="00713D99" w:rsidRPr="00C53C88" w14:paraId="791C7EBF" w14:textId="77777777" w:rsidTr="007207FA">
        <w:trPr>
          <w:cantSplit/>
          <w:trHeight w:val="748"/>
        </w:trPr>
        <w:tc>
          <w:tcPr>
            <w:tcW w:w="2249" w:type="dxa"/>
            <w:vMerge w:val="restart"/>
            <w:tcBorders>
              <w:top w:val="single" w:sz="4" w:space="0" w:color="auto"/>
              <w:left w:val="single" w:sz="4" w:space="0" w:color="auto"/>
              <w:right w:val="single" w:sz="4" w:space="0" w:color="auto"/>
            </w:tcBorders>
            <w:vAlign w:val="center"/>
          </w:tcPr>
          <w:p w14:paraId="37C6C95B" w14:textId="0783EA77" w:rsidR="00713D99" w:rsidRPr="008C3809" w:rsidRDefault="000E68D6" w:rsidP="00713D99">
            <w:pPr>
              <w:spacing w:before="40" w:after="40"/>
              <w:jc w:val="center"/>
              <w:rPr>
                <w:b/>
                <w:bCs/>
                <w:sz w:val="20"/>
                <w:lang w:val="ru-RU"/>
              </w:rPr>
            </w:pPr>
            <w:bookmarkStart w:id="6" w:name="_Hlk223026239"/>
            <w:r>
              <w:rPr>
                <w:b/>
                <w:bCs/>
                <w:color w:val="000000"/>
                <w:sz w:val="20"/>
                <w:lang w:val="ru-RU"/>
              </w:rPr>
              <w:t>П</w:t>
            </w:r>
            <w:r w:rsidRPr="000E68D6">
              <w:rPr>
                <w:b/>
                <w:bCs/>
                <w:color w:val="000000"/>
                <w:sz w:val="20"/>
                <w:lang w:val="ru-RU"/>
              </w:rPr>
              <w:t>роект пересмотренной Рекомендации МСЭ-Т X.1280</w:t>
            </w:r>
          </w:p>
        </w:tc>
        <w:tc>
          <w:tcPr>
            <w:tcW w:w="7377" w:type="dxa"/>
            <w:tcBorders>
              <w:top w:val="single" w:sz="4" w:space="0" w:color="auto"/>
              <w:left w:val="single" w:sz="4" w:space="0" w:color="auto"/>
              <w:bottom w:val="single" w:sz="4" w:space="0" w:color="auto"/>
              <w:right w:val="single" w:sz="4" w:space="0" w:color="auto"/>
            </w:tcBorders>
            <w:vAlign w:val="center"/>
          </w:tcPr>
          <w:p w14:paraId="60276DD1" w14:textId="2C13D73C" w:rsidR="00713D99" w:rsidRPr="0080257B" w:rsidRDefault="00BF5108" w:rsidP="00713D99">
            <w:pPr>
              <w:tabs>
                <w:tab w:val="clear" w:pos="794"/>
                <w:tab w:val="clear" w:pos="1191"/>
                <w:tab w:val="clear" w:pos="1588"/>
                <w:tab w:val="clear" w:pos="1985"/>
              </w:tabs>
              <w:overflowPunct/>
              <w:autoSpaceDE/>
              <w:autoSpaceDN/>
              <w:adjustRightInd/>
              <w:spacing w:before="40" w:after="40"/>
              <w:ind w:left="459" w:hanging="459"/>
              <w:textAlignment w:val="auto"/>
              <w:rPr>
                <w:sz w:val="20"/>
                <w:lang w:val="ru-RU"/>
              </w:rPr>
            </w:pPr>
            <w:sdt>
              <w:sdtPr>
                <w:rPr>
                  <w:sz w:val="30"/>
                  <w:szCs w:val="30"/>
                  <w:lang w:val="ru-RU"/>
                </w:rPr>
                <w:id w:val="-705943451"/>
                <w14:checkbox>
                  <w14:checked w14:val="0"/>
                  <w14:checkedState w14:val="2612" w14:font="MS Gothic"/>
                  <w14:uncheckedState w14:val="2610" w14:font="MS Gothic"/>
                </w14:checkbox>
              </w:sdtPr>
              <w:sdtEndPr/>
              <w:sdtContent>
                <w:r w:rsidR="005A551D">
                  <w:rPr>
                    <w:rFonts w:ascii="MS Gothic" w:eastAsia="MS Gothic" w:hAnsi="MS Gothic" w:hint="eastAsia"/>
                    <w:sz w:val="30"/>
                    <w:szCs w:val="30"/>
                    <w:lang w:val="ru-RU"/>
                  </w:rPr>
                  <w:t>☐</w:t>
                </w:r>
              </w:sdtContent>
            </w:sdt>
            <w:r w:rsidR="00713D99" w:rsidRPr="0080257B">
              <w:rPr>
                <w:b/>
                <w:bCs/>
                <w:sz w:val="20"/>
                <w:lang w:val="ru-RU"/>
              </w:rPr>
              <w:tab/>
              <w:t>Предоставляет полномочия</w:t>
            </w:r>
            <w:r w:rsidR="00713D99" w:rsidRPr="0080257B">
              <w:rPr>
                <w:sz w:val="20"/>
                <w:lang w:val="ru-RU"/>
              </w:rPr>
              <w:t xml:space="preserve"> </w:t>
            </w:r>
            <w:r w:rsidR="000E68D6">
              <w:rPr>
                <w:sz w:val="20"/>
                <w:lang w:val="ru-RU"/>
              </w:rPr>
              <w:t>17</w:t>
            </w:r>
            <w:r w:rsidR="004A6E7C">
              <w:rPr>
                <w:sz w:val="20"/>
                <w:lang w:val="ru-RU"/>
              </w:rPr>
              <w:t>-й</w:t>
            </w:r>
            <w:r w:rsidR="00713D99" w:rsidRPr="0080257B">
              <w:rPr>
                <w:sz w:val="20"/>
                <w:lang w:val="ru-RU"/>
              </w:rPr>
              <w:t xml:space="preserve"> </w:t>
            </w:r>
            <w:r w:rsidR="004A6E7C">
              <w:rPr>
                <w:sz w:val="20"/>
                <w:lang w:val="ru-RU"/>
              </w:rPr>
              <w:t xml:space="preserve">Исследовательской комиссии МСЭ-Т </w:t>
            </w:r>
            <w:r w:rsidR="00713D99" w:rsidRPr="0080257B">
              <w:rPr>
                <w:sz w:val="20"/>
                <w:lang w:val="ru-RU"/>
              </w:rPr>
              <w:t>для рассмотрения этого текста с целью его утверждения (в этом случае выбрать один из двух вариантов):</w:t>
            </w:r>
          </w:p>
          <w:p w14:paraId="63ACC8E2" w14:textId="1EE42CF6" w:rsidR="00713D99" w:rsidRPr="0080257B" w:rsidRDefault="00BF5108" w:rsidP="00713D99">
            <w:pPr>
              <w:tabs>
                <w:tab w:val="clear" w:pos="794"/>
                <w:tab w:val="clear" w:pos="1191"/>
                <w:tab w:val="clear" w:pos="1588"/>
                <w:tab w:val="clear" w:pos="1985"/>
              </w:tabs>
              <w:overflowPunct/>
              <w:autoSpaceDE/>
              <w:autoSpaceDN/>
              <w:adjustRightInd/>
              <w:spacing w:before="40" w:after="40"/>
              <w:ind w:left="939" w:hanging="459"/>
              <w:textAlignment w:val="auto"/>
              <w:rPr>
                <w:sz w:val="20"/>
                <w:lang w:val="ru-RU"/>
              </w:rPr>
            </w:pPr>
            <w:sdt>
              <w:sdtPr>
                <w:rPr>
                  <w:sz w:val="30"/>
                  <w:szCs w:val="30"/>
                  <w:lang w:val="ru-RU"/>
                </w:rPr>
                <w:id w:val="511268212"/>
                <w14:checkbox>
                  <w14:checked w14:val="0"/>
                  <w14:checkedState w14:val="2612" w14:font="MS Gothic"/>
                  <w14:uncheckedState w14:val="2610" w14:font="MS Gothic"/>
                </w14:checkbox>
              </w:sdtPr>
              <w:sdtEndPr/>
              <w:sdtContent>
                <w:r w:rsidR="003F3511" w:rsidRPr="0080257B">
                  <w:rPr>
                    <w:rFonts w:ascii="MS Gothic" w:eastAsia="MS Gothic" w:hAnsi="MS Gothic"/>
                    <w:sz w:val="30"/>
                    <w:szCs w:val="30"/>
                    <w:lang w:val="ru-RU"/>
                  </w:rPr>
                  <w:t>☐</w:t>
                </w:r>
              </w:sdtContent>
            </w:sdt>
            <w:r w:rsidR="00713D99" w:rsidRPr="0080257B">
              <w:rPr>
                <w:sz w:val="20"/>
                <w:lang w:val="ru-RU"/>
              </w:rPr>
              <w:tab/>
              <w:t>Замечания или предлагаемые изменения отсутствуют</w:t>
            </w:r>
          </w:p>
          <w:p w14:paraId="76A37DC2" w14:textId="4180FBE6" w:rsidR="00713D99" w:rsidRPr="0080257B" w:rsidRDefault="00BF5108" w:rsidP="00713D99">
            <w:pPr>
              <w:tabs>
                <w:tab w:val="clear" w:pos="794"/>
                <w:tab w:val="clear" w:pos="1191"/>
                <w:tab w:val="clear" w:pos="1588"/>
                <w:tab w:val="clear" w:pos="1985"/>
              </w:tabs>
              <w:overflowPunct/>
              <w:autoSpaceDE/>
              <w:autoSpaceDN/>
              <w:adjustRightInd/>
              <w:spacing w:before="40" w:after="40"/>
              <w:ind w:left="939" w:hanging="459"/>
              <w:textAlignment w:val="auto"/>
              <w:rPr>
                <w:sz w:val="20"/>
                <w:lang w:val="ru-RU"/>
              </w:rPr>
            </w:pPr>
            <w:sdt>
              <w:sdtPr>
                <w:rPr>
                  <w:sz w:val="30"/>
                  <w:szCs w:val="30"/>
                  <w:lang w:val="ru-RU"/>
                </w:rPr>
                <w:id w:val="-1546745475"/>
                <w14:checkbox>
                  <w14:checked w14:val="0"/>
                  <w14:checkedState w14:val="2612" w14:font="MS Gothic"/>
                  <w14:uncheckedState w14:val="2610" w14:font="MS Gothic"/>
                </w14:checkbox>
              </w:sdtPr>
              <w:sdtEndPr/>
              <w:sdtContent>
                <w:r w:rsidR="00721EE9" w:rsidRPr="0080257B">
                  <w:rPr>
                    <w:rFonts w:ascii="MS Gothic" w:eastAsia="MS Gothic" w:hAnsi="MS Gothic"/>
                    <w:sz w:val="30"/>
                    <w:szCs w:val="30"/>
                    <w:lang w:val="ru-RU"/>
                  </w:rPr>
                  <w:t>☐</w:t>
                </w:r>
              </w:sdtContent>
            </w:sdt>
            <w:r w:rsidR="00713D99" w:rsidRPr="0080257B">
              <w:rPr>
                <w:sz w:val="20"/>
                <w:lang w:val="ru-RU"/>
              </w:rPr>
              <w:tab/>
              <w:t>Замечания и предлагаемые изменения прилагаются</w:t>
            </w:r>
          </w:p>
        </w:tc>
      </w:tr>
      <w:tr w:rsidR="00713D99" w:rsidRPr="00C53C88" w14:paraId="14014E30" w14:textId="77777777" w:rsidTr="007207FA">
        <w:trPr>
          <w:cantSplit/>
          <w:trHeight w:val="748"/>
        </w:trPr>
        <w:tc>
          <w:tcPr>
            <w:tcW w:w="2249" w:type="dxa"/>
            <w:vMerge/>
            <w:tcBorders>
              <w:left w:val="single" w:sz="4" w:space="0" w:color="auto"/>
              <w:right w:val="single" w:sz="4" w:space="0" w:color="auto"/>
            </w:tcBorders>
            <w:vAlign w:val="center"/>
          </w:tcPr>
          <w:p w14:paraId="55376E94" w14:textId="77777777" w:rsidR="00713D99" w:rsidRPr="008C3809" w:rsidRDefault="00713D99" w:rsidP="00713D99">
            <w:pPr>
              <w:spacing w:before="40" w:after="40"/>
              <w:jc w:val="center"/>
              <w:rPr>
                <w:b/>
                <w:bCs/>
                <w:sz w:val="20"/>
                <w:lang w:val="ru-RU"/>
              </w:rPr>
            </w:pPr>
          </w:p>
        </w:tc>
        <w:tc>
          <w:tcPr>
            <w:tcW w:w="7377" w:type="dxa"/>
            <w:tcBorders>
              <w:top w:val="single" w:sz="4" w:space="0" w:color="auto"/>
              <w:left w:val="single" w:sz="4" w:space="0" w:color="auto"/>
              <w:bottom w:val="single" w:sz="4" w:space="0" w:color="auto"/>
              <w:right w:val="single" w:sz="4" w:space="0" w:color="auto"/>
            </w:tcBorders>
            <w:vAlign w:val="center"/>
          </w:tcPr>
          <w:p w14:paraId="4A9A1415" w14:textId="1C801B24" w:rsidR="00713D99" w:rsidRPr="0080257B" w:rsidRDefault="00BF5108" w:rsidP="00713D99">
            <w:pPr>
              <w:tabs>
                <w:tab w:val="clear" w:pos="794"/>
                <w:tab w:val="clear" w:pos="1191"/>
                <w:tab w:val="clear" w:pos="1588"/>
                <w:tab w:val="clear" w:pos="1985"/>
              </w:tabs>
              <w:overflowPunct/>
              <w:autoSpaceDE/>
              <w:autoSpaceDN/>
              <w:adjustRightInd/>
              <w:spacing w:before="40" w:after="40"/>
              <w:ind w:left="459" w:hanging="459"/>
              <w:textAlignment w:val="auto"/>
              <w:rPr>
                <w:sz w:val="20"/>
                <w:lang w:val="ru-RU"/>
              </w:rPr>
            </w:pPr>
            <w:sdt>
              <w:sdtPr>
                <w:rPr>
                  <w:sz w:val="30"/>
                  <w:szCs w:val="30"/>
                  <w:lang w:val="ru-RU"/>
                </w:rPr>
                <w:id w:val="-654840636"/>
                <w14:checkbox>
                  <w14:checked w14:val="0"/>
                  <w14:checkedState w14:val="2612" w14:font="MS Gothic"/>
                  <w14:uncheckedState w14:val="2610" w14:font="MS Gothic"/>
                </w14:checkbox>
              </w:sdtPr>
              <w:sdtEndPr/>
              <w:sdtContent>
                <w:r w:rsidR="00721EE9" w:rsidRPr="0080257B">
                  <w:rPr>
                    <w:rFonts w:ascii="MS Gothic" w:eastAsia="MS Gothic" w:hAnsi="MS Gothic"/>
                    <w:sz w:val="30"/>
                    <w:szCs w:val="30"/>
                    <w:lang w:val="ru-RU"/>
                  </w:rPr>
                  <w:t>☐</w:t>
                </w:r>
              </w:sdtContent>
            </w:sdt>
            <w:r w:rsidR="00713D99" w:rsidRPr="0080257B">
              <w:rPr>
                <w:sz w:val="20"/>
                <w:lang w:val="ru-RU"/>
              </w:rPr>
              <w:tab/>
            </w:r>
            <w:r w:rsidR="00713D99" w:rsidRPr="0080257B">
              <w:rPr>
                <w:b/>
                <w:bCs/>
                <w:sz w:val="20"/>
                <w:lang w:val="ru-RU"/>
              </w:rPr>
              <w:t>Не предоставляет полномочий</w:t>
            </w:r>
            <w:r w:rsidR="00713D99" w:rsidRPr="0080257B">
              <w:rPr>
                <w:sz w:val="20"/>
                <w:lang w:val="ru-RU"/>
              </w:rPr>
              <w:t xml:space="preserve"> </w:t>
            </w:r>
            <w:r w:rsidR="000E68D6">
              <w:rPr>
                <w:sz w:val="20"/>
                <w:lang w:val="ru-RU"/>
              </w:rPr>
              <w:t>17</w:t>
            </w:r>
            <w:r w:rsidR="004A6E7C">
              <w:rPr>
                <w:sz w:val="20"/>
                <w:lang w:val="ru-RU"/>
              </w:rPr>
              <w:t>-й</w:t>
            </w:r>
            <w:r w:rsidR="004A6E7C" w:rsidRPr="0080257B">
              <w:rPr>
                <w:sz w:val="20"/>
                <w:lang w:val="ru-RU"/>
              </w:rPr>
              <w:t xml:space="preserve"> </w:t>
            </w:r>
            <w:r w:rsidR="004A6E7C">
              <w:rPr>
                <w:sz w:val="20"/>
                <w:lang w:val="ru-RU"/>
              </w:rPr>
              <w:t>Исследовательской комиссии МСЭ-Т</w:t>
            </w:r>
            <w:r w:rsidR="00713D99" w:rsidRPr="0080257B">
              <w:rPr>
                <w:sz w:val="20"/>
                <w:lang w:val="ru-RU"/>
              </w:rPr>
              <w:t xml:space="preserve"> для рассмотрения этого текста с целью его утверждения (причины этого мнения и возможные изменения, которые могли бы способствовать продолжению работы, прилагаются)</w:t>
            </w:r>
          </w:p>
        </w:tc>
      </w:tr>
      <w:bookmarkEnd w:id="6"/>
      <w:tr w:rsidR="004A6E7C" w:rsidRPr="00C53C88" w14:paraId="5A7F1798" w14:textId="77777777" w:rsidTr="00F07D8A">
        <w:trPr>
          <w:cantSplit/>
          <w:trHeight w:val="748"/>
        </w:trPr>
        <w:tc>
          <w:tcPr>
            <w:tcW w:w="2249" w:type="dxa"/>
            <w:vMerge w:val="restart"/>
            <w:tcBorders>
              <w:top w:val="single" w:sz="4" w:space="0" w:color="auto"/>
              <w:left w:val="single" w:sz="4" w:space="0" w:color="auto"/>
              <w:right w:val="single" w:sz="4" w:space="0" w:color="auto"/>
            </w:tcBorders>
            <w:vAlign w:val="center"/>
          </w:tcPr>
          <w:p w14:paraId="0EA5834A" w14:textId="21405F62" w:rsidR="004A6E7C" w:rsidRPr="008C3809" w:rsidRDefault="004A6E7C" w:rsidP="00F07D8A">
            <w:pPr>
              <w:spacing w:before="40" w:after="40"/>
              <w:jc w:val="center"/>
              <w:rPr>
                <w:b/>
                <w:bCs/>
                <w:sz w:val="20"/>
                <w:lang w:val="ru-RU"/>
              </w:rPr>
            </w:pPr>
            <w:r w:rsidRPr="008C3809">
              <w:rPr>
                <w:b/>
                <w:bCs/>
                <w:color w:val="000000"/>
                <w:sz w:val="20"/>
                <w:lang w:val="ru-RU"/>
              </w:rPr>
              <w:t xml:space="preserve">Проект новой Рекомендации МСЭ-Т </w:t>
            </w:r>
            <w:r w:rsidR="000E68D6" w:rsidRPr="000E68D6">
              <w:rPr>
                <w:b/>
                <w:bCs/>
                <w:sz w:val="20"/>
                <w:lang w:val="ru-RU"/>
              </w:rPr>
              <w:t xml:space="preserve">X.1286 </w:t>
            </w:r>
            <w:r w:rsidR="000E1D42">
              <w:rPr>
                <w:b/>
                <w:bCs/>
                <w:sz w:val="20"/>
                <w:lang w:val="ru-RU"/>
              </w:rPr>
              <w:t xml:space="preserve">(ранее − </w:t>
            </w:r>
            <w:r w:rsidR="000E68D6" w:rsidRPr="000E68D6">
              <w:rPr>
                <w:b/>
                <w:bCs/>
                <w:sz w:val="20"/>
                <w:lang w:val="ru-RU"/>
              </w:rPr>
              <w:t>X.accsadlt)</w:t>
            </w:r>
          </w:p>
        </w:tc>
        <w:tc>
          <w:tcPr>
            <w:tcW w:w="7377" w:type="dxa"/>
            <w:tcBorders>
              <w:top w:val="single" w:sz="4" w:space="0" w:color="auto"/>
              <w:left w:val="single" w:sz="4" w:space="0" w:color="auto"/>
              <w:bottom w:val="single" w:sz="4" w:space="0" w:color="auto"/>
              <w:right w:val="single" w:sz="4" w:space="0" w:color="auto"/>
            </w:tcBorders>
            <w:vAlign w:val="center"/>
          </w:tcPr>
          <w:p w14:paraId="7EAA74FC" w14:textId="17114356" w:rsidR="004A6E7C" w:rsidRPr="0080257B" w:rsidRDefault="00BF5108" w:rsidP="00F07D8A">
            <w:pPr>
              <w:tabs>
                <w:tab w:val="clear" w:pos="794"/>
                <w:tab w:val="clear" w:pos="1191"/>
                <w:tab w:val="clear" w:pos="1588"/>
                <w:tab w:val="clear" w:pos="1985"/>
              </w:tabs>
              <w:overflowPunct/>
              <w:autoSpaceDE/>
              <w:autoSpaceDN/>
              <w:adjustRightInd/>
              <w:spacing w:before="40" w:after="40"/>
              <w:ind w:left="459" w:hanging="459"/>
              <w:textAlignment w:val="auto"/>
              <w:rPr>
                <w:sz w:val="20"/>
                <w:lang w:val="ru-RU"/>
              </w:rPr>
            </w:pPr>
            <w:sdt>
              <w:sdtPr>
                <w:rPr>
                  <w:sz w:val="30"/>
                  <w:szCs w:val="30"/>
                  <w:lang w:val="ru-RU"/>
                </w:rPr>
                <w:id w:val="1857148621"/>
                <w14:checkbox>
                  <w14:checked w14:val="0"/>
                  <w14:checkedState w14:val="2612" w14:font="MS Gothic"/>
                  <w14:uncheckedState w14:val="2610" w14:font="MS Gothic"/>
                </w14:checkbox>
              </w:sdtPr>
              <w:sdtEndPr/>
              <w:sdtContent>
                <w:r w:rsidR="004A6E7C" w:rsidRPr="0080257B">
                  <w:rPr>
                    <w:rFonts w:ascii="MS Gothic" w:eastAsia="MS Gothic" w:hAnsi="MS Gothic"/>
                    <w:sz w:val="30"/>
                    <w:szCs w:val="30"/>
                    <w:lang w:val="ru-RU"/>
                  </w:rPr>
                  <w:t>☐</w:t>
                </w:r>
              </w:sdtContent>
            </w:sdt>
            <w:r w:rsidR="004A6E7C" w:rsidRPr="0080257B">
              <w:rPr>
                <w:b/>
                <w:bCs/>
                <w:sz w:val="20"/>
                <w:lang w:val="ru-RU"/>
              </w:rPr>
              <w:tab/>
              <w:t>Предоставляет полномочия</w:t>
            </w:r>
            <w:r w:rsidR="004A6E7C" w:rsidRPr="0080257B">
              <w:rPr>
                <w:sz w:val="20"/>
                <w:lang w:val="ru-RU"/>
              </w:rPr>
              <w:t xml:space="preserve"> </w:t>
            </w:r>
            <w:r w:rsidR="000E68D6">
              <w:rPr>
                <w:sz w:val="20"/>
                <w:lang w:val="ru-RU"/>
              </w:rPr>
              <w:t>17-й</w:t>
            </w:r>
            <w:r w:rsidR="004A6E7C" w:rsidRPr="0080257B">
              <w:rPr>
                <w:sz w:val="20"/>
                <w:lang w:val="ru-RU"/>
              </w:rPr>
              <w:t xml:space="preserve"> </w:t>
            </w:r>
            <w:r w:rsidR="004A6E7C">
              <w:rPr>
                <w:sz w:val="20"/>
                <w:lang w:val="ru-RU"/>
              </w:rPr>
              <w:t>Исследовательской комиссии МСЭ-Т</w:t>
            </w:r>
            <w:r w:rsidR="004A6E7C" w:rsidRPr="0080257B">
              <w:rPr>
                <w:sz w:val="20"/>
                <w:lang w:val="ru-RU"/>
              </w:rPr>
              <w:t xml:space="preserve"> для рассмотрения этого текста с целью его утверждения (в этом случае выбрать один из двух вариантов):</w:t>
            </w:r>
          </w:p>
          <w:p w14:paraId="6C56F635" w14:textId="77777777" w:rsidR="004A6E7C" w:rsidRPr="0080257B" w:rsidRDefault="00BF5108" w:rsidP="00F07D8A">
            <w:pPr>
              <w:tabs>
                <w:tab w:val="clear" w:pos="794"/>
                <w:tab w:val="clear" w:pos="1191"/>
                <w:tab w:val="clear" w:pos="1588"/>
                <w:tab w:val="clear" w:pos="1985"/>
              </w:tabs>
              <w:overflowPunct/>
              <w:autoSpaceDE/>
              <w:autoSpaceDN/>
              <w:adjustRightInd/>
              <w:spacing w:before="40" w:after="40"/>
              <w:ind w:left="939" w:hanging="459"/>
              <w:textAlignment w:val="auto"/>
              <w:rPr>
                <w:sz w:val="20"/>
                <w:lang w:val="ru-RU"/>
              </w:rPr>
            </w:pPr>
            <w:sdt>
              <w:sdtPr>
                <w:rPr>
                  <w:sz w:val="30"/>
                  <w:szCs w:val="30"/>
                  <w:lang w:val="ru-RU"/>
                </w:rPr>
                <w:id w:val="-364453709"/>
                <w14:checkbox>
                  <w14:checked w14:val="0"/>
                  <w14:checkedState w14:val="2612" w14:font="MS Gothic"/>
                  <w14:uncheckedState w14:val="2610" w14:font="MS Gothic"/>
                </w14:checkbox>
              </w:sdtPr>
              <w:sdtEndPr/>
              <w:sdtContent>
                <w:r w:rsidR="004A6E7C" w:rsidRPr="0080257B">
                  <w:rPr>
                    <w:rFonts w:ascii="MS Gothic" w:eastAsia="MS Gothic" w:hAnsi="MS Gothic"/>
                    <w:sz w:val="30"/>
                    <w:szCs w:val="30"/>
                    <w:lang w:val="ru-RU"/>
                  </w:rPr>
                  <w:t>☐</w:t>
                </w:r>
              </w:sdtContent>
            </w:sdt>
            <w:r w:rsidR="004A6E7C" w:rsidRPr="0080257B">
              <w:rPr>
                <w:sz w:val="20"/>
                <w:lang w:val="ru-RU"/>
              </w:rPr>
              <w:tab/>
              <w:t>Замечания или предлагаемые изменения отсутствуют</w:t>
            </w:r>
          </w:p>
          <w:p w14:paraId="5F304976" w14:textId="77777777" w:rsidR="004A6E7C" w:rsidRPr="0080257B" w:rsidRDefault="00BF5108" w:rsidP="00F07D8A">
            <w:pPr>
              <w:tabs>
                <w:tab w:val="clear" w:pos="794"/>
                <w:tab w:val="clear" w:pos="1191"/>
                <w:tab w:val="clear" w:pos="1588"/>
                <w:tab w:val="clear" w:pos="1985"/>
              </w:tabs>
              <w:overflowPunct/>
              <w:autoSpaceDE/>
              <w:autoSpaceDN/>
              <w:adjustRightInd/>
              <w:spacing w:before="40" w:after="40"/>
              <w:ind w:left="939" w:hanging="459"/>
              <w:textAlignment w:val="auto"/>
              <w:rPr>
                <w:sz w:val="20"/>
                <w:lang w:val="ru-RU"/>
              </w:rPr>
            </w:pPr>
            <w:sdt>
              <w:sdtPr>
                <w:rPr>
                  <w:sz w:val="30"/>
                  <w:szCs w:val="30"/>
                  <w:lang w:val="ru-RU"/>
                </w:rPr>
                <w:id w:val="-1927808569"/>
                <w14:checkbox>
                  <w14:checked w14:val="0"/>
                  <w14:checkedState w14:val="2612" w14:font="MS Gothic"/>
                  <w14:uncheckedState w14:val="2610" w14:font="MS Gothic"/>
                </w14:checkbox>
              </w:sdtPr>
              <w:sdtEndPr/>
              <w:sdtContent>
                <w:r w:rsidR="004A6E7C" w:rsidRPr="0080257B">
                  <w:rPr>
                    <w:rFonts w:ascii="MS Gothic" w:eastAsia="MS Gothic" w:hAnsi="MS Gothic"/>
                    <w:sz w:val="30"/>
                    <w:szCs w:val="30"/>
                    <w:lang w:val="ru-RU"/>
                  </w:rPr>
                  <w:t>☐</w:t>
                </w:r>
              </w:sdtContent>
            </w:sdt>
            <w:r w:rsidR="004A6E7C" w:rsidRPr="0080257B">
              <w:rPr>
                <w:sz w:val="20"/>
                <w:lang w:val="ru-RU"/>
              </w:rPr>
              <w:tab/>
              <w:t>Замечания и предлагаемые изменения прилагаются</w:t>
            </w:r>
          </w:p>
        </w:tc>
      </w:tr>
      <w:tr w:rsidR="004A6E7C" w:rsidRPr="00C53C88" w14:paraId="58E642E6" w14:textId="77777777" w:rsidTr="00F07D8A">
        <w:trPr>
          <w:cantSplit/>
          <w:trHeight w:val="748"/>
        </w:trPr>
        <w:tc>
          <w:tcPr>
            <w:tcW w:w="2249" w:type="dxa"/>
            <w:vMerge/>
            <w:tcBorders>
              <w:left w:val="single" w:sz="4" w:space="0" w:color="auto"/>
              <w:right w:val="single" w:sz="4" w:space="0" w:color="auto"/>
            </w:tcBorders>
            <w:vAlign w:val="center"/>
          </w:tcPr>
          <w:p w14:paraId="58B9195B" w14:textId="77777777" w:rsidR="004A6E7C" w:rsidRPr="008C3809" w:rsidRDefault="004A6E7C" w:rsidP="00F07D8A">
            <w:pPr>
              <w:spacing w:before="40" w:after="40"/>
              <w:jc w:val="center"/>
              <w:rPr>
                <w:b/>
                <w:bCs/>
                <w:sz w:val="20"/>
                <w:lang w:val="ru-RU"/>
              </w:rPr>
            </w:pPr>
          </w:p>
        </w:tc>
        <w:tc>
          <w:tcPr>
            <w:tcW w:w="7377" w:type="dxa"/>
            <w:tcBorders>
              <w:top w:val="single" w:sz="4" w:space="0" w:color="auto"/>
              <w:left w:val="single" w:sz="4" w:space="0" w:color="auto"/>
              <w:bottom w:val="single" w:sz="4" w:space="0" w:color="auto"/>
              <w:right w:val="single" w:sz="4" w:space="0" w:color="auto"/>
            </w:tcBorders>
            <w:vAlign w:val="center"/>
          </w:tcPr>
          <w:p w14:paraId="500E8A8E" w14:textId="19EA246E" w:rsidR="004A6E7C" w:rsidRPr="0080257B" w:rsidRDefault="00BF5108" w:rsidP="00F07D8A">
            <w:pPr>
              <w:tabs>
                <w:tab w:val="clear" w:pos="794"/>
                <w:tab w:val="clear" w:pos="1191"/>
                <w:tab w:val="clear" w:pos="1588"/>
                <w:tab w:val="clear" w:pos="1985"/>
              </w:tabs>
              <w:overflowPunct/>
              <w:autoSpaceDE/>
              <w:autoSpaceDN/>
              <w:adjustRightInd/>
              <w:spacing w:before="40" w:after="40"/>
              <w:ind w:left="459" w:hanging="459"/>
              <w:textAlignment w:val="auto"/>
              <w:rPr>
                <w:sz w:val="20"/>
                <w:lang w:val="ru-RU"/>
              </w:rPr>
            </w:pPr>
            <w:sdt>
              <w:sdtPr>
                <w:rPr>
                  <w:sz w:val="30"/>
                  <w:szCs w:val="30"/>
                  <w:lang w:val="ru-RU"/>
                </w:rPr>
                <w:id w:val="-1149204298"/>
                <w14:checkbox>
                  <w14:checked w14:val="0"/>
                  <w14:checkedState w14:val="2612" w14:font="MS Gothic"/>
                  <w14:uncheckedState w14:val="2610" w14:font="MS Gothic"/>
                </w14:checkbox>
              </w:sdtPr>
              <w:sdtEndPr/>
              <w:sdtContent>
                <w:r w:rsidR="00E6385D">
                  <w:rPr>
                    <w:rFonts w:ascii="MS Gothic" w:eastAsia="MS Gothic" w:hAnsi="MS Gothic" w:hint="eastAsia"/>
                    <w:sz w:val="30"/>
                    <w:szCs w:val="30"/>
                    <w:lang w:val="ru-RU"/>
                  </w:rPr>
                  <w:t>☐</w:t>
                </w:r>
              </w:sdtContent>
            </w:sdt>
            <w:r w:rsidR="004A6E7C" w:rsidRPr="0080257B">
              <w:rPr>
                <w:sz w:val="20"/>
                <w:lang w:val="ru-RU"/>
              </w:rPr>
              <w:tab/>
            </w:r>
            <w:r w:rsidR="004A6E7C" w:rsidRPr="0080257B">
              <w:rPr>
                <w:b/>
                <w:bCs/>
                <w:sz w:val="20"/>
                <w:lang w:val="ru-RU"/>
              </w:rPr>
              <w:t>Не предоставляет полномочий</w:t>
            </w:r>
            <w:r w:rsidR="004A6E7C" w:rsidRPr="0080257B">
              <w:rPr>
                <w:sz w:val="20"/>
                <w:lang w:val="ru-RU"/>
              </w:rPr>
              <w:t xml:space="preserve"> </w:t>
            </w:r>
            <w:r w:rsidR="000E68D6">
              <w:rPr>
                <w:sz w:val="20"/>
                <w:lang w:val="ru-RU"/>
              </w:rPr>
              <w:t>17-й</w:t>
            </w:r>
            <w:r w:rsidR="004A6E7C" w:rsidRPr="0080257B">
              <w:rPr>
                <w:sz w:val="20"/>
                <w:lang w:val="ru-RU"/>
              </w:rPr>
              <w:t xml:space="preserve"> </w:t>
            </w:r>
            <w:r w:rsidR="004A6E7C">
              <w:rPr>
                <w:sz w:val="20"/>
                <w:lang w:val="ru-RU"/>
              </w:rPr>
              <w:t>Исследовательской комиссии МСЭ-Т</w:t>
            </w:r>
            <w:r w:rsidR="004A6E7C" w:rsidRPr="0080257B">
              <w:rPr>
                <w:sz w:val="20"/>
                <w:lang w:val="ru-RU"/>
              </w:rPr>
              <w:t xml:space="preserve"> для рассмотрения этого текста с целью его утверждения (причины этого мнения и возможные изменения, которые могли бы способствовать продолжению работы, прилагаются)</w:t>
            </w:r>
          </w:p>
        </w:tc>
      </w:tr>
      <w:tr w:rsidR="004A6E7C" w:rsidRPr="00C53C88" w14:paraId="24923881" w14:textId="77777777" w:rsidTr="00F07D8A">
        <w:trPr>
          <w:cantSplit/>
          <w:trHeight w:val="748"/>
        </w:trPr>
        <w:tc>
          <w:tcPr>
            <w:tcW w:w="2249" w:type="dxa"/>
            <w:vMerge w:val="restart"/>
            <w:tcBorders>
              <w:top w:val="single" w:sz="4" w:space="0" w:color="auto"/>
              <w:left w:val="single" w:sz="4" w:space="0" w:color="auto"/>
              <w:right w:val="single" w:sz="4" w:space="0" w:color="auto"/>
            </w:tcBorders>
            <w:vAlign w:val="center"/>
          </w:tcPr>
          <w:p w14:paraId="3C4AF5EF" w14:textId="0A593CCD" w:rsidR="004A6E7C" w:rsidRPr="008C3809" w:rsidRDefault="004A6E7C" w:rsidP="00F07D8A">
            <w:pPr>
              <w:spacing w:before="40" w:after="40"/>
              <w:jc w:val="center"/>
              <w:rPr>
                <w:b/>
                <w:bCs/>
                <w:sz w:val="20"/>
                <w:lang w:val="ru-RU"/>
              </w:rPr>
            </w:pPr>
            <w:r w:rsidRPr="008C3809">
              <w:rPr>
                <w:b/>
                <w:bCs/>
                <w:color w:val="000000"/>
                <w:sz w:val="20"/>
                <w:lang w:val="ru-RU"/>
              </w:rPr>
              <w:lastRenderedPageBreak/>
              <w:t xml:space="preserve">Проект новой Рекомендации МСЭ-Т </w:t>
            </w:r>
            <w:r w:rsidR="000E68D6" w:rsidRPr="000E68D6">
              <w:rPr>
                <w:b/>
                <w:bCs/>
                <w:sz w:val="20"/>
                <w:lang w:val="ru-RU"/>
              </w:rPr>
              <w:t xml:space="preserve">X.1821 </w:t>
            </w:r>
            <w:r w:rsidR="000E1D42">
              <w:rPr>
                <w:b/>
                <w:bCs/>
                <w:sz w:val="20"/>
                <w:lang w:val="ru-RU"/>
              </w:rPr>
              <w:t xml:space="preserve">(ранее − </w:t>
            </w:r>
            <w:r w:rsidR="000E68D6" w:rsidRPr="000E68D6">
              <w:rPr>
                <w:b/>
                <w:bCs/>
                <w:sz w:val="20"/>
                <w:lang w:val="ru-RU"/>
              </w:rPr>
              <w:t>X.5Gsec-asra)</w:t>
            </w:r>
          </w:p>
        </w:tc>
        <w:tc>
          <w:tcPr>
            <w:tcW w:w="7377" w:type="dxa"/>
            <w:tcBorders>
              <w:top w:val="single" w:sz="4" w:space="0" w:color="auto"/>
              <w:left w:val="single" w:sz="4" w:space="0" w:color="auto"/>
              <w:bottom w:val="single" w:sz="4" w:space="0" w:color="auto"/>
              <w:right w:val="single" w:sz="4" w:space="0" w:color="auto"/>
            </w:tcBorders>
            <w:vAlign w:val="center"/>
          </w:tcPr>
          <w:p w14:paraId="22C99AE2" w14:textId="5BF66787" w:rsidR="004A6E7C" w:rsidRPr="0080257B" w:rsidRDefault="00BF5108" w:rsidP="00F07D8A">
            <w:pPr>
              <w:tabs>
                <w:tab w:val="clear" w:pos="794"/>
                <w:tab w:val="clear" w:pos="1191"/>
                <w:tab w:val="clear" w:pos="1588"/>
                <w:tab w:val="clear" w:pos="1985"/>
              </w:tabs>
              <w:overflowPunct/>
              <w:autoSpaceDE/>
              <w:autoSpaceDN/>
              <w:adjustRightInd/>
              <w:spacing w:before="40" w:after="40"/>
              <w:ind w:left="459" w:hanging="459"/>
              <w:textAlignment w:val="auto"/>
              <w:rPr>
                <w:sz w:val="20"/>
                <w:lang w:val="ru-RU"/>
              </w:rPr>
            </w:pPr>
            <w:sdt>
              <w:sdtPr>
                <w:rPr>
                  <w:sz w:val="30"/>
                  <w:szCs w:val="30"/>
                  <w:lang w:val="ru-RU"/>
                </w:rPr>
                <w:id w:val="1605220919"/>
                <w14:checkbox>
                  <w14:checked w14:val="0"/>
                  <w14:checkedState w14:val="2612" w14:font="MS Gothic"/>
                  <w14:uncheckedState w14:val="2610" w14:font="MS Gothic"/>
                </w14:checkbox>
              </w:sdtPr>
              <w:sdtEndPr/>
              <w:sdtContent>
                <w:r w:rsidR="004A6E7C" w:rsidRPr="0080257B">
                  <w:rPr>
                    <w:rFonts w:ascii="MS Gothic" w:eastAsia="MS Gothic" w:hAnsi="MS Gothic"/>
                    <w:sz w:val="30"/>
                    <w:szCs w:val="30"/>
                    <w:lang w:val="ru-RU"/>
                  </w:rPr>
                  <w:t>☐</w:t>
                </w:r>
              </w:sdtContent>
            </w:sdt>
            <w:r w:rsidR="004A6E7C" w:rsidRPr="0080257B">
              <w:rPr>
                <w:b/>
                <w:bCs/>
                <w:sz w:val="20"/>
                <w:lang w:val="ru-RU"/>
              </w:rPr>
              <w:tab/>
              <w:t>Предоставляет полномочия</w:t>
            </w:r>
            <w:r w:rsidR="004A6E7C" w:rsidRPr="0080257B">
              <w:rPr>
                <w:sz w:val="20"/>
                <w:lang w:val="ru-RU"/>
              </w:rPr>
              <w:t xml:space="preserve"> </w:t>
            </w:r>
            <w:r w:rsidR="000E68D6">
              <w:rPr>
                <w:sz w:val="20"/>
                <w:lang w:val="ru-RU"/>
              </w:rPr>
              <w:t>17-й</w:t>
            </w:r>
            <w:r w:rsidR="004A6E7C" w:rsidRPr="0080257B">
              <w:rPr>
                <w:sz w:val="20"/>
                <w:lang w:val="ru-RU"/>
              </w:rPr>
              <w:t xml:space="preserve"> </w:t>
            </w:r>
            <w:r w:rsidR="004A6E7C">
              <w:rPr>
                <w:sz w:val="20"/>
                <w:lang w:val="ru-RU"/>
              </w:rPr>
              <w:t xml:space="preserve">Исследовательской комиссии МСЭ-Т </w:t>
            </w:r>
            <w:r w:rsidR="004A6E7C" w:rsidRPr="0080257B">
              <w:rPr>
                <w:sz w:val="20"/>
                <w:lang w:val="ru-RU"/>
              </w:rPr>
              <w:t>для рассмотрения этого текста с целью его утверждения (в этом случае выбрать один из двух вариантов):</w:t>
            </w:r>
          </w:p>
          <w:p w14:paraId="2B478766" w14:textId="77777777" w:rsidR="004A6E7C" w:rsidRPr="0080257B" w:rsidRDefault="00BF5108" w:rsidP="00F07D8A">
            <w:pPr>
              <w:tabs>
                <w:tab w:val="clear" w:pos="794"/>
                <w:tab w:val="clear" w:pos="1191"/>
                <w:tab w:val="clear" w:pos="1588"/>
                <w:tab w:val="clear" w:pos="1985"/>
              </w:tabs>
              <w:overflowPunct/>
              <w:autoSpaceDE/>
              <w:autoSpaceDN/>
              <w:adjustRightInd/>
              <w:spacing w:before="40" w:after="40"/>
              <w:ind w:left="939" w:hanging="459"/>
              <w:textAlignment w:val="auto"/>
              <w:rPr>
                <w:sz w:val="20"/>
                <w:lang w:val="ru-RU"/>
              </w:rPr>
            </w:pPr>
            <w:sdt>
              <w:sdtPr>
                <w:rPr>
                  <w:sz w:val="30"/>
                  <w:szCs w:val="30"/>
                  <w:lang w:val="ru-RU"/>
                </w:rPr>
                <w:id w:val="796884301"/>
                <w14:checkbox>
                  <w14:checked w14:val="0"/>
                  <w14:checkedState w14:val="2612" w14:font="MS Gothic"/>
                  <w14:uncheckedState w14:val="2610" w14:font="MS Gothic"/>
                </w14:checkbox>
              </w:sdtPr>
              <w:sdtEndPr/>
              <w:sdtContent>
                <w:r w:rsidR="004A6E7C" w:rsidRPr="0080257B">
                  <w:rPr>
                    <w:rFonts w:ascii="MS Gothic" w:eastAsia="MS Gothic" w:hAnsi="MS Gothic"/>
                    <w:sz w:val="30"/>
                    <w:szCs w:val="30"/>
                    <w:lang w:val="ru-RU"/>
                  </w:rPr>
                  <w:t>☐</w:t>
                </w:r>
              </w:sdtContent>
            </w:sdt>
            <w:r w:rsidR="004A6E7C" w:rsidRPr="0080257B">
              <w:rPr>
                <w:sz w:val="20"/>
                <w:lang w:val="ru-RU"/>
              </w:rPr>
              <w:tab/>
              <w:t>Замечания или предлагаемые изменения отсутствуют</w:t>
            </w:r>
          </w:p>
          <w:p w14:paraId="72222FD7" w14:textId="77777777" w:rsidR="004A6E7C" w:rsidRPr="0080257B" w:rsidRDefault="00BF5108" w:rsidP="00F07D8A">
            <w:pPr>
              <w:tabs>
                <w:tab w:val="clear" w:pos="794"/>
                <w:tab w:val="clear" w:pos="1191"/>
                <w:tab w:val="clear" w:pos="1588"/>
                <w:tab w:val="clear" w:pos="1985"/>
              </w:tabs>
              <w:overflowPunct/>
              <w:autoSpaceDE/>
              <w:autoSpaceDN/>
              <w:adjustRightInd/>
              <w:spacing w:before="40" w:after="40"/>
              <w:ind w:left="939" w:hanging="459"/>
              <w:textAlignment w:val="auto"/>
              <w:rPr>
                <w:sz w:val="20"/>
                <w:lang w:val="ru-RU"/>
              </w:rPr>
            </w:pPr>
            <w:sdt>
              <w:sdtPr>
                <w:rPr>
                  <w:sz w:val="30"/>
                  <w:szCs w:val="30"/>
                  <w:lang w:val="ru-RU"/>
                </w:rPr>
                <w:id w:val="1165975874"/>
                <w14:checkbox>
                  <w14:checked w14:val="0"/>
                  <w14:checkedState w14:val="2612" w14:font="MS Gothic"/>
                  <w14:uncheckedState w14:val="2610" w14:font="MS Gothic"/>
                </w14:checkbox>
              </w:sdtPr>
              <w:sdtEndPr/>
              <w:sdtContent>
                <w:r w:rsidR="004A6E7C" w:rsidRPr="0080257B">
                  <w:rPr>
                    <w:rFonts w:ascii="MS Gothic" w:eastAsia="MS Gothic" w:hAnsi="MS Gothic"/>
                    <w:sz w:val="30"/>
                    <w:szCs w:val="30"/>
                    <w:lang w:val="ru-RU"/>
                  </w:rPr>
                  <w:t>☐</w:t>
                </w:r>
              </w:sdtContent>
            </w:sdt>
            <w:r w:rsidR="004A6E7C" w:rsidRPr="0080257B">
              <w:rPr>
                <w:sz w:val="20"/>
                <w:lang w:val="ru-RU"/>
              </w:rPr>
              <w:tab/>
              <w:t>Замечания и предлагаемые изменения прилагаются</w:t>
            </w:r>
          </w:p>
        </w:tc>
      </w:tr>
      <w:tr w:rsidR="004A6E7C" w:rsidRPr="00C53C88" w14:paraId="6228C93F" w14:textId="77777777" w:rsidTr="00F07D8A">
        <w:trPr>
          <w:cantSplit/>
          <w:trHeight w:val="748"/>
        </w:trPr>
        <w:tc>
          <w:tcPr>
            <w:tcW w:w="2249" w:type="dxa"/>
            <w:vMerge/>
            <w:tcBorders>
              <w:left w:val="single" w:sz="4" w:space="0" w:color="auto"/>
              <w:right w:val="single" w:sz="4" w:space="0" w:color="auto"/>
            </w:tcBorders>
            <w:vAlign w:val="center"/>
          </w:tcPr>
          <w:p w14:paraId="188E67D6" w14:textId="77777777" w:rsidR="004A6E7C" w:rsidRPr="008C3809" w:rsidRDefault="004A6E7C" w:rsidP="00F07D8A">
            <w:pPr>
              <w:spacing w:before="40" w:after="40"/>
              <w:jc w:val="center"/>
              <w:rPr>
                <w:b/>
                <w:bCs/>
                <w:sz w:val="20"/>
                <w:lang w:val="ru-RU"/>
              </w:rPr>
            </w:pPr>
          </w:p>
        </w:tc>
        <w:tc>
          <w:tcPr>
            <w:tcW w:w="7377" w:type="dxa"/>
            <w:tcBorders>
              <w:top w:val="single" w:sz="4" w:space="0" w:color="auto"/>
              <w:left w:val="single" w:sz="4" w:space="0" w:color="auto"/>
              <w:bottom w:val="single" w:sz="4" w:space="0" w:color="auto"/>
              <w:right w:val="single" w:sz="4" w:space="0" w:color="auto"/>
            </w:tcBorders>
            <w:vAlign w:val="center"/>
          </w:tcPr>
          <w:p w14:paraId="2A322E59" w14:textId="5B69DC32" w:rsidR="004A6E7C" w:rsidRPr="0080257B" w:rsidRDefault="00BF5108" w:rsidP="00F07D8A">
            <w:pPr>
              <w:tabs>
                <w:tab w:val="clear" w:pos="794"/>
                <w:tab w:val="clear" w:pos="1191"/>
                <w:tab w:val="clear" w:pos="1588"/>
                <w:tab w:val="clear" w:pos="1985"/>
              </w:tabs>
              <w:overflowPunct/>
              <w:autoSpaceDE/>
              <w:autoSpaceDN/>
              <w:adjustRightInd/>
              <w:spacing w:before="40" w:after="40"/>
              <w:ind w:left="459" w:hanging="459"/>
              <w:textAlignment w:val="auto"/>
              <w:rPr>
                <w:sz w:val="20"/>
                <w:lang w:val="ru-RU"/>
              </w:rPr>
            </w:pPr>
            <w:sdt>
              <w:sdtPr>
                <w:rPr>
                  <w:sz w:val="30"/>
                  <w:szCs w:val="30"/>
                  <w:lang w:val="ru-RU"/>
                </w:rPr>
                <w:id w:val="-2143424113"/>
                <w14:checkbox>
                  <w14:checked w14:val="0"/>
                  <w14:checkedState w14:val="2612" w14:font="MS Gothic"/>
                  <w14:uncheckedState w14:val="2610" w14:font="MS Gothic"/>
                </w14:checkbox>
              </w:sdtPr>
              <w:sdtEndPr/>
              <w:sdtContent>
                <w:r w:rsidR="004A6E7C" w:rsidRPr="0080257B">
                  <w:rPr>
                    <w:rFonts w:ascii="MS Gothic" w:eastAsia="MS Gothic" w:hAnsi="MS Gothic"/>
                    <w:sz w:val="30"/>
                    <w:szCs w:val="30"/>
                    <w:lang w:val="ru-RU"/>
                  </w:rPr>
                  <w:t>☐</w:t>
                </w:r>
              </w:sdtContent>
            </w:sdt>
            <w:r w:rsidR="004A6E7C" w:rsidRPr="0080257B">
              <w:rPr>
                <w:sz w:val="20"/>
                <w:lang w:val="ru-RU"/>
              </w:rPr>
              <w:tab/>
            </w:r>
            <w:r w:rsidR="004A6E7C" w:rsidRPr="0080257B">
              <w:rPr>
                <w:b/>
                <w:bCs/>
                <w:sz w:val="20"/>
                <w:lang w:val="ru-RU"/>
              </w:rPr>
              <w:t>Не предоставляет полномочий</w:t>
            </w:r>
            <w:r w:rsidR="004A6E7C" w:rsidRPr="0080257B">
              <w:rPr>
                <w:sz w:val="20"/>
                <w:lang w:val="ru-RU"/>
              </w:rPr>
              <w:t xml:space="preserve"> </w:t>
            </w:r>
            <w:r w:rsidR="000E68D6">
              <w:rPr>
                <w:sz w:val="20"/>
                <w:lang w:val="ru-RU"/>
              </w:rPr>
              <w:t>17-й</w:t>
            </w:r>
            <w:r w:rsidR="004A6E7C" w:rsidRPr="0080257B">
              <w:rPr>
                <w:sz w:val="20"/>
                <w:lang w:val="ru-RU"/>
              </w:rPr>
              <w:t xml:space="preserve"> </w:t>
            </w:r>
            <w:r w:rsidR="004A6E7C">
              <w:rPr>
                <w:sz w:val="20"/>
                <w:lang w:val="ru-RU"/>
              </w:rPr>
              <w:t>Исследовательской комиссии МСЭ-Т</w:t>
            </w:r>
            <w:r w:rsidR="004A6E7C" w:rsidRPr="0080257B">
              <w:rPr>
                <w:sz w:val="20"/>
                <w:lang w:val="ru-RU"/>
              </w:rPr>
              <w:t xml:space="preserve"> для рассмотрения этого текста с целью его утверждения (причины этого мнения и возможные изменения, которые могли бы способствовать продолжению работы, прилагаются)</w:t>
            </w:r>
          </w:p>
        </w:tc>
      </w:tr>
      <w:tr w:rsidR="004A6E7C" w:rsidRPr="00C53C88" w14:paraId="6B310664" w14:textId="77777777" w:rsidTr="00F07D8A">
        <w:trPr>
          <w:cantSplit/>
          <w:trHeight w:val="748"/>
        </w:trPr>
        <w:tc>
          <w:tcPr>
            <w:tcW w:w="2249" w:type="dxa"/>
            <w:vMerge w:val="restart"/>
            <w:tcBorders>
              <w:top w:val="single" w:sz="4" w:space="0" w:color="auto"/>
              <w:left w:val="single" w:sz="4" w:space="0" w:color="auto"/>
              <w:right w:val="single" w:sz="4" w:space="0" w:color="auto"/>
            </w:tcBorders>
            <w:vAlign w:val="center"/>
          </w:tcPr>
          <w:p w14:paraId="6894C199" w14:textId="2F130F86" w:rsidR="004A6E7C" w:rsidRPr="008C3809" w:rsidRDefault="004A6E7C" w:rsidP="00F07D8A">
            <w:pPr>
              <w:spacing w:before="40" w:after="40"/>
              <w:jc w:val="center"/>
              <w:rPr>
                <w:b/>
                <w:bCs/>
                <w:sz w:val="20"/>
                <w:lang w:val="ru-RU"/>
              </w:rPr>
            </w:pPr>
            <w:r w:rsidRPr="008C3809">
              <w:rPr>
                <w:b/>
                <w:bCs/>
                <w:color w:val="000000"/>
                <w:sz w:val="20"/>
                <w:lang w:val="ru-RU"/>
              </w:rPr>
              <w:t xml:space="preserve">Проект </w:t>
            </w:r>
            <w:r w:rsidR="000E68D6">
              <w:rPr>
                <w:b/>
                <w:bCs/>
                <w:color w:val="000000"/>
                <w:sz w:val="20"/>
                <w:lang w:val="ru-RU"/>
              </w:rPr>
              <w:t>новой</w:t>
            </w:r>
            <w:r w:rsidRPr="008C3809">
              <w:rPr>
                <w:b/>
                <w:bCs/>
                <w:color w:val="000000"/>
                <w:sz w:val="20"/>
                <w:lang w:val="ru-RU"/>
              </w:rPr>
              <w:t xml:space="preserve"> Рекомендации МСЭ-Т </w:t>
            </w:r>
            <w:r w:rsidR="000E68D6" w:rsidRPr="000E68D6">
              <w:rPr>
                <w:b/>
                <w:bCs/>
                <w:sz w:val="20"/>
                <w:lang w:val="ru-RU"/>
              </w:rPr>
              <w:t xml:space="preserve">X.1350 </w:t>
            </w:r>
            <w:r w:rsidR="000E1D42">
              <w:rPr>
                <w:b/>
                <w:bCs/>
                <w:sz w:val="20"/>
                <w:lang w:val="ru-RU"/>
              </w:rPr>
              <w:t xml:space="preserve">(ранее − </w:t>
            </w:r>
            <w:r w:rsidR="000E68D6" w:rsidRPr="000E68D6">
              <w:rPr>
                <w:b/>
                <w:bCs/>
                <w:sz w:val="20"/>
                <w:lang w:val="ru-RU"/>
              </w:rPr>
              <w:t>X.sr-iiot)</w:t>
            </w:r>
          </w:p>
        </w:tc>
        <w:tc>
          <w:tcPr>
            <w:tcW w:w="7377" w:type="dxa"/>
            <w:tcBorders>
              <w:top w:val="single" w:sz="4" w:space="0" w:color="auto"/>
              <w:left w:val="single" w:sz="4" w:space="0" w:color="auto"/>
              <w:bottom w:val="single" w:sz="4" w:space="0" w:color="auto"/>
              <w:right w:val="single" w:sz="4" w:space="0" w:color="auto"/>
            </w:tcBorders>
            <w:vAlign w:val="center"/>
          </w:tcPr>
          <w:p w14:paraId="2DD3EC11" w14:textId="7D248AFE" w:rsidR="004A6E7C" w:rsidRPr="0080257B" w:rsidRDefault="00BF5108" w:rsidP="00F07D8A">
            <w:pPr>
              <w:tabs>
                <w:tab w:val="clear" w:pos="794"/>
                <w:tab w:val="clear" w:pos="1191"/>
                <w:tab w:val="clear" w:pos="1588"/>
                <w:tab w:val="clear" w:pos="1985"/>
              </w:tabs>
              <w:overflowPunct/>
              <w:autoSpaceDE/>
              <w:autoSpaceDN/>
              <w:adjustRightInd/>
              <w:spacing w:before="40" w:after="40"/>
              <w:ind w:left="459" w:hanging="459"/>
              <w:textAlignment w:val="auto"/>
              <w:rPr>
                <w:sz w:val="20"/>
                <w:lang w:val="ru-RU"/>
              </w:rPr>
            </w:pPr>
            <w:sdt>
              <w:sdtPr>
                <w:rPr>
                  <w:sz w:val="30"/>
                  <w:szCs w:val="30"/>
                  <w:lang w:val="ru-RU"/>
                </w:rPr>
                <w:id w:val="-701623306"/>
                <w14:checkbox>
                  <w14:checked w14:val="0"/>
                  <w14:checkedState w14:val="2612" w14:font="MS Gothic"/>
                  <w14:uncheckedState w14:val="2610" w14:font="MS Gothic"/>
                </w14:checkbox>
              </w:sdtPr>
              <w:sdtEndPr/>
              <w:sdtContent>
                <w:r w:rsidR="004A6E7C" w:rsidRPr="0080257B">
                  <w:rPr>
                    <w:rFonts w:ascii="MS Gothic" w:eastAsia="MS Gothic" w:hAnsi="MS Gothic"/>
                    <w:sz w:val="30"/>
                    <w:szCs w:val="30"/>
                    <w:lang w:val="ru-RU"/>
                  </w:rPr>
                  <w:t>☐</w:t>
                </w:r>
              </w:sdtContent>
            </w:sdt>
            <w:r w:rsidR="004A6E7C" w:rsidRPr="0080257B">
              <w:rPr>
                <w:b/>
                <w:bCs/>
                <w:sz w:val="20"/>
                <w:lang w:val="ru-RU"/>
              </w:rPr>
              <w:tab/>
              <w:t>Предоставляет полномочия</w:t>
            </w:r>
            <w:r w:rsidR="004A6E7C" w:rsidRPr="0080257B">
              <w:rPr>
                <w:sz w:val="20"/>
                <w:lang w:val="ru-RU"/>
              </w:rPr>
              <w:t xml:space="preserve"> </w:t>
            </w:r>
            <w:r w:rsidR="000E68D6">
              <w:rPr>
                <w:sz w:val="20"/>
                <w:lang w:val="ru-RU"/>
              </w:rPr>
              <w:t>17-й</w:t>
            </w:r>
            <w:r w:rsidR="004A6E7C" w:rsidRPr="0080257B">
              <w:rPr>
                <w:sz w:val="20"/>
                <w:lang w:val="ru-RU"/>
              </w:rPr>
              <w:t xml:space="preserve"> </w:t>
            </w:r>
            <w:r w:rsidR="004A6E7C">
              <w:rPr>
                <w:sz w:val="20"/>
                <w:lang w:val="ru-RU"/>
              </w:rPr>
              <w:t xml:space="preserve">Исследовательской комиссии МСЭ-Т </w:t>
            </w:r>
            <w:r w:rsidR="004A6E7C" w:rsidRPr="0080257B">
              <w:rPr>
                <w:sz w:val="20"/>
                <w:lang w:val="ru-RU"/>
              </w:rPr>
              <w:t>для рассмотрения этого текста с целью его утверждения (в этом случае выбрать один из двух вариантов):</w:t>
            </w:r>
          </w:p>
          <w:p w14:paraId="361407B7" w14:textId="77777777" w:rsidR="004A6E7C" w:rsidRPr="0080257B" w:rsidRDefault="00BF5108" w:rsidP="00F07D8A">
            <w:pPr>
              <w:tabs>
                <w:tab w:val="clear" w:pos="794"/>
                <w:tab w:val="clear" w:pos="1191"/>
                <w:tab w:val="clear" w:pos="1588"/>
                <w:tab w:val="clear" w:pos="1985"/>
              </w:tabs>
              <w:overflowPunct/>
              <w:autoSpaceDE/>
              <w:autoSpaceDN/>
              <w:adjustRightInd/>
              <w:spacing w:before="40" w:after="40"/>
              <w:ind w:left="939" w:hanging="459"/>
              <w:textAlignment w:val="auto"/>
              <w:rPr>
                <w:sz w:val="20"/>
                <w:lang w:val="ru-RU"/>
              </w:rPr>
            </w:pPr>
            <w:sdt>
              <w:sdtPr>
                <w:rPr>
                  <w:sz w:val="30"/>
                  <w:szCs w:val="30"/>
                  <w:lang w:val="ru-RU"/>
                </w:rPr>
                <w:id w:val="221186076"/>
                <w14:checkbox>
                  <w14:checked w14:val="0"/>
                  <w14:checkedState w14:val="2612" w14:font="MS Gothic"/>
                  <w14:uncheckedState w14:val="2610" w14:font="MS Gothic"/>
                </w14:checkbox>
              </w:sdtPr>
              <w:sdtEndPr/>
              <w:sdtContent>
                <w:r w:rsidR="004A6E7C" w:rsidRPr="0080257B">
                  <w:rPr>
                    <w:rFonts w:ascii="MS Gothic" w:eastAsia="MS Gothic" w:hAnsi="MS Gothic"/>
                    <w:sz w:val="30"/>
                    <w:szCs w:val="30"/>
                    <w:lang w:val="ru-RU"/>
                  </w:rPr>
                  <w:t>☐</w:t>
                </w:r>
              </w:sdtContent>
            </w:sdt>
            <w:r w:rsidR="004A6E7C" w:rsidRPr="0080257B">
              <w:rPr>
                <w:sz w:val="20"/>
                <w:lang w:val="ru-RU"/>
              </w:rPr>
              <w:tab/>
              <w:t>Замечания или предлагаемые изменения отсутствуют</w:t>
            </w:r>
          </w:p>
          <w:p w14:paraId="3978D285" w14:textId="77777777" w:rsidR="004A6E7C" w:rsidRPr="0080257B" w:rsidRDefault="00BF5108" w:rsidP="00F07D8A">
            <w:pPr>
              <w:tabs>
                <w:tab w:val="clear" w:pos="794"/>
                <w:tab w:val="clear" w:pos="1191"/>
                <w:tab w:val="clear" w:pos="1588"/>
                <w:tab w:val="clear" w:pos="1985"/>
              </w:tabs>
              <w:overflowPunct/>
              <w:autoSpaceDE/>
              <w:autoSpaceDN/>
              <w:adjustRightInd/>
              <w:spacing w:before="40" w:after="40"/>
              <w:ind w:left="939" w:hanging="459"/>
              <w:textAlignment w:val="auto"/>
              <w:rPr>
                <w:sz w:val="20"/>
                <w:lang w:val="ru-RU"/>
              </w:rPr>
            </w:pPr>
            <w:sdt>
              <w:sdtPr>
                <w:rPr>
                  <w:sz w:val="30"/>
                  <w:szCs w:val="30"/>
                  <w:lang w:val="ru-RU"/>
                </w:rPr>
                <w:id w:val="1575396894"/>
                <w14:checkbox>
                  <w14:checked w14:val="0"/>
                  <w14:checkedState w14:val="2612" w14:font="MS Gothic"/>
                  <w14:uncheckedState w14:val="2610" w14:font="MS Gothic"/>
                </w14:checkbox>
              </w:sdtPr>
              <w:sdtEndPr/>
              <w:sdtContent>
                <w:r w:rsidR="004A6E7C" w:rsidRPr="0080257B">
                  <w:rPr>
                    <w:rFonts w:ascii="MS Gothic" w:eastAsia="MS Gothic" w:hAnsi="MS Gothic"/>
                    <w:sz w:val="30"/>
                    <w:szCs w:val="30"/>
                    <w:lang w:val="ru-RU"/>
                  </w:rPr>
                  <w:t>☐</w:t>
                </w:r>
              </w:sdtContent>
            </w:sdt>
            <w:r w:rsidR="004A6E7C" w:rsidRPr="0080257B">
              <w:rPr>
                <w:sz w:val="20"/>
                <w:lang w:val="ru-RU"/>
              </w:rPr>
              <w:tab/>
              <w:t>Замечания и предлагаемые изменения прилагаются</w:t>
            </w:r>
          </w:p>
        </w:tc>
      </w:tr>
      <w:tr w:rsidR="004A6E7C" w:rsidRPr="00C53C88" w14:paraId="157F866C" w14:textId="77777777" w:rsidTr="00F07D8A">
        <w:trPr>
          <w:cantSplit/>
          <w:trHeight w:val="748"/>
        </w:trPr>
        <w:tc>
          <w:tcPr>
            <w:tcW w:w="2249" w:type="dxa"/>
            <w:vMerge/>
            <w:tcBorders>
              <w:left w:val="single" w:sz="4" w:space="0" w:color="auto"/>
              <w:right w:val="single" w:sz="4" w:space="0" w:color="auto"/>
            </w:tcBorders>
            <w:vAlign w:val="center"/>
          </w:tcPr>
          <w:p w14:paraId="52CF0E82" w14:textId="77777777" w:rsidR="004A6E7C" w:rsidRPr="008C3809" w:rsidRDefault="004A6E7C" w:rsidP="00F07D8A">
            <w:pPr>
              <w:spacing w:before="40" w:after="40"/>
              <w:jc w:val="center"/>
              <w:rPr>
                <w:b/>
                <w:bCs/>
                <w:sz w:val="20"/>
                <w:lang w:val="ru-RU"/>
              </w:rPr>
            </w:pPr>
          </w:p>
        </w:tc>
        <w:tc>
          <w:tcPr>
            <w:tcW w:w="7377" w:type="dxa"/>
            <w:tcBorders>
              <w:top w:val="single" w:sz="4" w:space="0" w:color="auto"/>
              <w:left w:val="single" w:sz="4" w:space="0" w:color="auto"/>
              <w:bottom w:val="single" w:sz="4" w:space="0" w:color="auto"/>
              <w:right w:val="single" w:sz="4" w:space="0" w:color="auto"/>
            </w:tcBorders>
            <w:vAlign w:val="center"/>
          </w:tcPr>
          <w:p w14:paraId="6C6C6585" w14:textId="40EC3785" w:rsidR="004A6E7C" w:rsidRPr="0080257B" w:rsidRDefault="00BF5108" w:rsidP="00F07D8A">
            <w:pPr>
              <w:tabs>
                <w:tab w:val="clear" w:pos="794"/>
                <w:tab w:val="clear" w:pos="1191"/>
                <w:tab w:val="clear" w:pos="1588"/>
                <w:tab w:val="clear" w:pos="1985"/>
              </w:tabs>
              <w:overflowPunct/>
              <w:autoSpaceDE/>
              <w:autoSpaceDN/>
              <w:adjustRightInd/>
              <w:spacing w:before="40" w:after="40"/>
              <w:ind w:left="459" w:hanging="459"/>
              <w:textAlignment w:val="auto"/>
              <w:rPr>
                <w:sz w:val="20"/>
                <w:lang w:val="ru-RU"/>
              </w:rPr>
            </w:pPr>
            <w:sdt>
              <w:sdtPr>
                <w:rPr>
                  <w:sz w:val="30"/>
                  <w:szCs w:val="30"/>
                  <w:lang w:val="ru-RU"/>
                </w:rPr>
                <w:id w:val="899017752"/>
                <w14:checkbox>
                  <w14:checked w14:val="0"/>
                  <w14:checkedState w14:val="2612" w14:font="MS Gothic"/>
                  <w14:uncheckedState w14:val="2610" w14:font="MS Gothic"/>
                </w14:checkbox>
              </w:sdtPr>
              <w:sdtEndPr/>
              <w:sdtContent>
                <w:r w:rsidR="004A6E7C" w:rsidRPr="0080257B">
                  <w:rPr>
                    <w:rFonts w:ascii="MS Gothic" w:eastAsia="MS Gothic" w:hAnsi="MS Gothic"/>
                    <w:sz w:val="30"/>
                    <w:szCs w:val="30"/>
                    <w:lang w:val="ru-RU"/>
                  </w:rPr>
                  <w:t>☐</w:t>
                </w:r>
              </w:sdtContent>
            </w:sdt>
            <w:r w:rsidR="004A6E7C" w:rsidRPr="0080257B">
              <w:rPr>
                <w:sz w:val="20"/>
                <w:lang w:val="ru-RU"/>
              </w:rPr>
              <w:tab/>
            </w:r>
            <w:r w:rsidR="004A6E7C" w:rsidRPr="0080257B">
              <w:rPr>
                <w:b/>
                <w:bCs/>
                <w:sz w:val="20"/>
                <w:lang w:val="ru-RU"/>
              </w:rPr>
              <w:t>Не предоставляет полномочий</w:t>
            </w:r>
            <w:r w:rsidR="004A6E7C" w:rsidRPr="0080257B">
              <w:rPr>
                <w:sz w:val="20"/>
                <w:lang w:val="ru-RU"/>
              </w:rPr>
              <w:t xml:space="preserve"> </w:t>
            </w:r>
            <w:r w:rsidR="000E68D6">
              <w:rPr>
                <w:sz w:val="20"/>
                <w:lang w:val="ru-RU"/>
              </w:rPr>
              <w:t>17-й</w:t>
            </w:r>
            <w:r w:rsidR="004A6E7C" w:rsidRPr="0080257B">
              <w:rPr>
                <w:sz w:val="20"/>
                <w:lang w:val="ru-RU"/>
              </w:rPr>
              <w:t xml:space="preserve"> </w:t>
            </w:r>
            <w:r w:rsidR="004A6E7C">
              <w:rPr>
                <w:sz w:val="20"/>
                <w:lang w:val="ru-RU"/>
              </w:rPr>
              <w:t>Исследовательской комиссии МСЭ-Т</w:t>
            </w:r>
            <w:r w:rsidR="004A6E7C" w:rsidRPr="0080257B">
              <w:rPr>
                <w:sz w:val="20"/>
                <w:lang w:val="ru-RU"/>
              </w:rPr>
              <w:t xml:space="preserve"> для рассмотрения этого текста с целью его утверждения (причины этого мнения и возможные изменения, которые могли бы способствовать продолжению работы, прилагаются)</w:t>
            </w:r>
          </w:p>
        </w:tc>
      </w:tr>
      <w:tr w:rsidR="004A6E7C" w:rsidRPr="00C53C88" w14:paraId="454C64EC" w14:textId="77777777" w:rsidTr="00F07D8A">
        <w:trPr>
          <w:cantSplit/>
          <w:trHeight w:val="748"/>
        </w:trPr>
        <w:tc>
          <w:tcPr>
            <w:tcW w:w="2249" w:type="dxa"/>
            <w:vMerge w:val="restart"/>
            <w:tcBorders>
              <w:top w:val="single" w:sz="4" w:space="0" w:color="auto"/>
              <w:left w:val="single" w:sz="4" w:space="0" w:color="auto"/>
              <w:right w:val="single" w:sz="4" w:space="0" w:color="auto"/>
            </w:tcBorders>
            <w:vAlign w:val="center"/>
          </w:tcPr>
          <w:p w14:paraId="7F897122" w14:textId="0EFFA4D3" w:rsidR="004A6E7C" w:rsidRPr="008C3809" w:rsidRDefault="004A6E7C" w:rsidP="00F07D8A">
            <w:pPr>
              <w:spacing w:before="40" w:after="40"/>
              <w:jc w:val="center"/>
              <w:rPr>
                <w:b/>
                <w:bCs/>
                <w:sz w:val="20"/>
                <w:lang w:val="ru-RU"/>
              </w:rPr>
            </w:pPr>
            <w:r w:rsidRPr="008C3809">
              <w:rPr>
                <w:b/>
                <w:bCs/>
                <w:color w:val="000000"/>
                <w:sz w:val="20"/>
                <w:lang w:val="ru-RU"/>
              </w:rPr>
              <w:t xml:space="preserve">Проект новой Рекомендации МСЭ-Т </w:t>
            </w:r>
            <w:r w:rsidR="000E68D6" w:rsidRPr="000E68D6">
              <w:rPr>
                <w:b/>
                <w:bCs/>
                <w:sz w:val="20"/>
                <w:lang w:val="ru-RU"/>
              </w:rPr>
              <w:t xml:space="preserve">X.2105 </w:t>
            </w:r>
            <w:r w:rsidR="000E1D42">
              <w:rPr>
                <w:b/>
                <w:bCs/>
                <w:sz w:val="20"/>
                <w:lang w:val="ru-RU"/>
              </w:rPr>
              <w:t xml:space="preserve">(ранее − </w:t>
            </w:r>
            <w:r w:rsidR="000E68D6" w:rsidRPr="000E68D6">
              <w:rPr>
                <w:b/>
                <w:bCs/>
                <w:sz w:val="20"/>
                <w:lang w:val="ru-RU"/>
              </w:rPr>
              <w:t>X.st-ssc)</w:t>
            </w:r>
          </w:p>
        </w:tc>
        <w:tc>
          <w:tcPr>
            <w:tcW w:w="7377" w:type="dxa"/>
            <w:tcBorders>
              <w:top w:val="single" w:sz="4" w:space="0" w:color="auto"/>
              <w:left w:val="single" w:sz="4" w:space="0" w:color="auto"/>
              <w:bottom w:val="single" w:sz="4" w:space="0" w:color="auto"/>
              <w:right w:val="single" w:sz="4" w:space="0" w:color="auto"/>
            </w:tcBorders>
            <w:vAlign w:val="center"/>
          </w:tcPr>
          <w:p w14:paraId="56C61EBC" w14:textId="3BF4193D" w:rsidR="004A6E7C" w:rsidRPr="0080257B" w:rsidRDefault="00BF5108" w:rsidP="00F07D8A">
            <w:pPr>
              <w:tabs>
                <w:tab w:val="clear" w:pos="794"/>
                <w:tab w:val="clear" w:pos="1191"/>
                <w:tab w:val="clear" w:pos="1588"/>
                <w:tab w:val="clear" w:pos="1985"/>
              </w:tabs>
              <w:overflowPunct/>
              <w:autoSpaceDE/>
              <w:autoSpaceDN/>
              <w:adjustRightInd/>
              <w:spacing w:before="40" w:after="40"/>
              <w:ind w:left="459" w:hanging="459"/>
              <w:textAlignment w:val="auto"/>
              <w:rPr>
                <w:sz w:val="20"/>
                <w:lang w:val="ru-RU"/>
              </w:rPr>
            </w:pPr>
            <w:sdt>
              <w:sdtPr>
                <w:rPr>
                  <w:sz w:val="30"/>
                  <w:szCs w:val="30"/>
                  <w:lang w:val="ru-RU"/>
                </w:rPr>
                <w:id w:val="-1331135032"/>
                <w14:checkbox>
                  <w14:checked w14:val="0"/>
                  <w14:checkedState w14:val="2612" w14:font="MS Gothic"/>
                  <w14:uncheckedState w14:val="2610" w14:font="MS Gothic"/>
                </w14:checkbox>
              </w:sdtPr>
              <w:sdtEndPr/>
              <w:sdtContent>
                <w:r w:rsidR="004A6E7C" w:rsidRPr="0080257B">
                  <w:rPr>
                    <w:rFonts w:ascii="MS Gothic" w:eastAsia="MS Gothic" w:hAnsi="MS Gothic"/>
                    <w:sz w:val="30"/>
                    <w:szCs w:val="30"/>
                    <w:lang w:val="ru-RU"/>
                  </w:rPr>
                  <w:t>☐</w:t>
                </w:r>
              </w:sdtContent>
            </w:sdt>
            <w:r w:rsidR="004A6E7C" w:rsidRPr="0080257B">
              <w:rPr>
                <w:b/>
                <w:bCs/>
                <w:sz w:val="20"/>
                <w:lang w:val="ru-RU"/>
              </w:rPr>
              <w:tab/>
              <w:t>Предоставляет полномочия</w:t>
            </w:r>
            <w:r w:rsidR="004A6E7C" w:rsidRPr="0080257B">
              <w:rPr>
                <w:sz w:val="20"/>
                <w:lang w:val="ru-RU"/>
              </w:rPr>
              <w:t xml:space="preserve"> </w:t>
            </w:r>
            <w:r w:rsidR="000E68D6">
              <w:rPr>
                <w:sz w:val="20"/>
                <w:lang w:val="ru-RU"/>
              </w:rPr>
              <w:t>17-й</w:t>
            </w:r>
            <w:r w:rsidR="004A6E7C" w:rsidRPr="0080257B">
              <w:rPr>
                <w:sz w:val="20"/>
                <w:lang w:val="ru-RU"/>
              </w:rPr>
              <w:t xml:space="preserve"> </w:t>
            </w:r>
            <w:r w:rsidR="004A6E7C">
              <w:rPr>
                <w:sz w:val="20"/>
                <w:lang w:val="ru-RU"/>
              </w:rPr>
              <w:t xml:space="preserve">Исследовательской комиссии МСЭ-Т </w:t>
            </w:r>
            <w:r w:rsidR="004A6E7C" w:rsidRPr="0080257B">
              <w:rPr>
                <w:sz w:val="20"/>
                <w:lang w:val="ru-RU"/>
              </w:rPr>
              <w:t>для рассмотрения этого текста с целью его утверждения (в этом случае выбрать один из двух вариантов):</w:t>
            </w:r>
          </w:p>
          <w:p w14:paraId="0995F608" w14:textId="77777777" w:rsidR="004A6E7C" w:rsidRPr="0080257B" w:rsidRDefault="00BF5108" w:rsidP="00F07D8A">
            <w:pPr>
              <w:tabs>
                <w:tab w:val="clear" w:pos="794"/>
                <w:tab w:val="clear" w:pos="1191"/>
                <w:tab w:val="clear" w:pos="1588"/>
                <w:tab w:val="clear" w:pos="1985"/>
              </w:tabs>
              <w:overflowPunct/>
              <w:autoSpaceDE/>
              <w:autoSpaceDN/>
              <w:adjustRightInd/>
              <w:spacing w:before="40" w:after="40"/>
              <w:ind w:left="939" w:hanging="459"/>
              <w:textAlignment w:val="auto"/>
              <w:rPr>
                <w:sz w:val="20"/>
                <w:lang w:val="ru-RU"/>
              </w:rPr>
            </w:pPr>
            <w:sdt>
              <w:sdtPr>
                <w:rPr>
                  <w:sz w:val="30"/>
                  <w:szCs w:val="30"/>
                  <w:lang w:val="ru-RU"/>
                </w:rPr>
                <w:id w:val="-1206318412"/>
                <w14:checkbox>
                  <w14:checked w14:val="0"/>
                  <w14:checkedState w14:val="2612" w14:font="MS Gothic"/>
                  <w14:uncheckedState w14:val="2610" w14:font="MS Gothic"/>
                </w14:checkbox>
              </w:sdtPr>
              <w:sdtEndPr/>
              <w:sdtContent>
                <w:r w:rsidR="004A6E7C" w:rsidRPr="0080257B">
                  <w:rPr>
                    <w:rFonts w:ascii="MS Gothic" w:eastAsia="MS Gothic" w:hAnsi="MS Gothic"/>
                    <w:sz w:val="30"/>
                    <w:szCs w:val="30"/>
                    <w:lang w:val="ru-RU"/>
                  </w:rPr>
                  <w:t>☐</w:t>
                </w:r>
              </w:sdtContent>
            </w:sdt>
            <w:r w:rsidR="004A6E7C" w:rsidRPr="0080257B">
              <w:rPr>
                <w:sz w:val="20"/>
                <w:lang w:val="ru-RU"/>
              </w:rPr>
              <w:tab/>
              <w:t>Замечания или предлагаемые изменения отсутствуют</w:t>
            </w:r>
          </w:p>
          <w:p w14:paraId="590C3B51" w14:textId="77777777" w:rsidR="004A6E7C" w:rsidRPr="0080257B" w:rsidRDefault="00BF5108" w:rsidP="00F07D8A">
            <w:pPr>
              <w:tabs>
                <w:tab w:val="clear" w:pos="794"/>
                <w:tab w:val="clear" w:pos="1191"/>
                <w:tab w:val="clear" w:pos="1588"/>
                <w:tab w:val="clear" w:pos="1985"/>
              </w:tabs>
              <w:overflowPunct/>
              <w:autoSpaceDE/>
              <w:autoSpaceDN/>
              <w:adjustRightInd/>
              <w:spacing w:before="40" w:after="40"/>
              <w:ind w:left="939" w:hanging="459"/>
              <w:textAlignment w:val="auto"/>
              <w:rPr>
                <w:sz w:val="20"/>
                <w:lang w:val="ru-RU"/>
              </w:rPr>
            </w:pPr>
            <w:sdt>
              <w:sdtPr>
                <w:rPr>
                  <w:sz w:val="30"/>
                  <w:szCs w:val="30"/>
                  <w:lang w:val="ru-RU"/>
                </w:rPr>
                <w:id w:val="-495417939"/>
                <w14:checkbox>
                  <w14:checked w14:val="0"/>
                  <w14:checkedState w14:val="2612" w14:font="MS Gothic"/>
                  <w14:uncheckedState w14:val="2610" w14:font="MS Gothic"/>
                </w14:checkbox>
              </w:sdtPr>
              <w:sdtEndPr/>
              <w:sdtContent>
                <w:r w:rsidR="004A6E7C" w:rsidRPr="0080257B">
                  <w:rPr>
                    <w:rFonts w:ascii="MS Gothic" w:eastAsia="MS Gothic" w:hAnsi="MS Gothic"/>
                    <w:sz w:val="30"/>
                    <w:szCs w:val="30"/>
                    <w:lang w:val="ru-RU"/>
                  </w:rPr>
                  <w:t>☐</w:t>
                </w:r>
              </w:sdtContent>
            </w:sdt>
            <w:r w:rsidR="004A6E7C" w:rsidRPr="0080257B">
              <w:rPr>
                <w:sz w:val="20"/>
                <w:lang w:val="ru-RU"/>
              </w:rPr>
              <w:tab/>
              <w:t>Замечания и предлагаемые изменения прилагаются</w:t>
            </w:r>
          </w:p>
        </w:tc>
      </w:tr>
      <w:tr w:rsidR="004A6E7C" w:rsidRPr="00C53C88" w14:paraId="0E15C50F" w14:textId="77777777" w:rsidTr="00F07D8A">
        <w:trPr>
          <w:cantSplit/>
          <w:trHeight w:val="748"/>
        </w:trPr>
        <w:tc>
          <w:tcPr>
            <w:tcW w:w="2249" w:type="dxa"/>
            <w:vMerge/>
            <w:tcBorders>
              <w:left w:val="single" w:sz="4" w:space="0" w:color="auto"/>
              <w:right w:val="single" w:sz="4" w:space="0" w:color="auto"/>
            </w:tcBorders>
            <w:vAlign w:val="center"/>
          </w:tcPr>
          <w:p w14:paraId="1EC88B0D" w14:textId="77777777" w:rsidR="004A6E7C" w:rsidRPr="008C3809" w:rsidRDefault="004A6E7C" w:rsidP="00F07D8A">
            <w:pPr>
              <w:spacing w:before="40" w:after="40"/>
              <w:jc w:val="center"/>
              <w:rPr>
                <w:b/>
                <w:bCs/>
                <w:sz w:val="20"/>
                <w:lang w:val="ru-RU"/>
              </w:rPr>
            </w:pPr>
          </w:p>
        </w:tc>
        <w:tc>
          <w:tcPr>
            <w:tcW w:w="7377" w:type="dxa"/>
            <w:tcBorders>
              <w:top w:val="single" w:sz="4" w:space="0" w:color="auto"/>
              <w:left w:val="single" w:sz="4" w:space="0" w:color="auto"/>
              <w:bottom w:val="single" w:sz="4" w:space="0" w:color="auto"/>
              <w:right w:val="single" w:sz="4" w:space="0" w:color="auto"/>
            </w:tcBorders>
            <w:vAlign w:val="center"/>
          </w:tcPr>
          <w:p w14:paraId="0E8B38FC" w14:textId="22542148" w:rsidR="004A6E7C" w:rsidRPr="0080257B" w:rsidRDefault="00BF5108" w:rsidP="00F07D8A">
            <w:pPr>
              <w:tabs>
                <w:tab w:val="clear" w:pos="794"/>
                <w:tab w:val="clear" w:pos="1191"/>
                <w:tab w:val="clear" w:pos="1588"/>
                <w:tab w:val="clear" w:pos="1985"/>
              </w:tabs>
              <w:overflowPunct/>
              <w:autoSpaceDE/>
              <w:autoSpaceDN/>
              <w:adjustRightInd/>
              <w:spacing w:before="40" w:after="40"/>
              <w:ind w:left="459" w:hanging="459"/>
              <w:textAlignment w:val="auto"/>
              <w:rPr>
                <w:sz w:val="20"/>
                <w:lang w:val="ru-RU"/>
              </w:rPr>
            </w:pPr>
            <w:sdt>
              <w:sdtPr>
                <w:rPr>
                  <w:sz w:val="30"/>
                  <w:szCs w:val="30"/>
                  <w:lang w:val="ru-RU"/>
                </w:rPr>
                <w:id w:val="-1422024400"/>
                <w14:checkbox>
                  <w14:checked w14:val="0"/>
                  <w14:checkedState w14:val="2612" w14:font="MS Gothic"/>
                  <w14:uncheckedState w14:val="2610" w14:font="MS Gothic"/>
                </w14:checkbox>
              </w:sdtPr>
              <w:sdtEndPr/>
              <w:sdtContent>
                <w:r w:rsidR="004A6E7C" w:rsidRPr="0080257B">
                  <w:rPr>
                    <w:rFonts w:ascii="MS Gothic" w:eastAsia="MS Gothic" w:hAnsi="MS Gothic"/>
                    <w:sz w:val="30"/>
                    <w:szCs w:val="30"/>
                    <w:lang w:val="ru-RU"/>
                  </w:rPr>
                  <w:t>☐</w:t>
                </w:r>
              </w:sdtContent>
            </w:sdt>
            <w:r w:rsidR="004A6E7C" w:rsidRPr="0080257B">
              <w:rPr>
                <w:sz w:val="20"/>
                <w:lang w:val="ru-RU"/>
              </w:rPr>
              <w:tab/>
            </w:r>
            <w:r w:rsidR="004A6E7C" w:rsidRPr="0080257B">
              <w:rPr>
                <w:b/>
                <w:bCs/>
                <w:sz w:val="20"/>
                <w:lang w:val="ru-RU"/>
              </w:rPr>
              <w:t>Не предоставляет полномочий</w:t>
            </w:r>
            <w:r w:rsidR="004A6E7C" w:rsidRPr="0080257B">
              <w:rPr>
                <w:sz w:val="20"/>
                <w:lang w:val="ru-RU"/>
              </w:rPr>
              <w:t xml:space="preserve"> </w:t>
            </w:r>
            <w:r w:rsidR="000E68D6">
              <w:rPr>
                <w:sz w:val="20"/>
                <w:lang w:val="ru-RU"/>
              </w:rPr>
              <w:t>17-й</w:t>
            </w:r>
            <w:r w:rsidR="004A6E7C" w:rsidRPr="0080257B">
              <w:rPr>
                <w:sz w:val="20"/>
                <w:lang w:val="ru-RU"/>
              </w:rPr>
              <w:t xml:space="preserve"> </w:t>
            </w:r>
            <w:r w:rsidR="004A6E7C">
              <w:rPr>
                <w:sz w:val="20"/>
                <w:lang w:val="ru-RU"/>
              </w:rPr>
              <w:t>Исследовательской комиссии МСЭ-Т</w:t>
            </w:r>
            <w:r w:rsidR="004A6E7C" w:rsidRPr="0080257B">
              <w:rPr>
                <w:sz w:val="20"/>
                <w:lang w:val="ru-RU"/>
              </w:rPr>
              <w:t xml:space="preserve"> для рассмотрения этого текста с целью его утверждения (причины этого мнения и возможные изменения, которые могли бы способствовать продолжению работы, прилагаются)</w:t>
            </w:r>
          </w:p>
        </w:tc>
      </w:tr>
      <w:tr w:rsidR="004A6E7C" w:rsidRPr="00C53C88" w14:paraId="478EF9E6" w14:textId="77777777" w:rsidTr="00F07D8A">
        <w:trPr>
          <w:cantSplit/>
          <w:trHeight w:val="748"/>
        </w:trPr>
        <w:tc>
          <w:tcPr>
            <w:tcW w:w="2249" w:type="dxa"/>
            <w:vMerge w:val="restart"/>
            <w:tcBorders>
              <w:top w:val="single" w:sz="4" w:space="0" w:color="auto"/>
              <w:left w:val="single" w:sz="4" w:space="0" w:color="auto"/>
              <w:right w:val="single" w:sz="4" w:space="0" w:color="auto"/>
            </w:tcBorders>
            <w:vAlign w:val="center"/>
          </w:tcPr>
          <w:p w14:paraId="6040BF60" w14:textId="6D908CBE" w:rsidR="004A6E7C" w:rsidRPr="008C3809" w:rsidRDefault="004A6E7C" w:rsidP="00F07D8A">
            <w:pPr>
              <w:spacing w:before="40" w:after="40"/>
              <w:jc w:val="center"/>
              <w:rPr>
                <w:b/>
                <w:bCs/>
                <w:sz w:val="20"/>
                <w:lang w:val="ru-RU"/>
              </w:rPr>
            </w:pPr>
            <w:r w:rsidRPr="008C3809">
              <w:rPr>
                <w:b/>
                <w:bCs/>
                <w:color w:val="000000"/>
                <w:sz w:val="20"/>
                <w:lang w:val="ru-RU"/>
              </w:rPr>
              <w:t xml:space="preserve">Проект новой Рекомендации МСЭ-Т </w:t>
            </w:r>
            <w:r w:rsidR="000E68D6" w:rsidRPr="000E68D6">
              <w:rPr>
                <w:b/>
                <w:bCs/>
                <w:sz w:val="20"/>
                <w:lang w:val="ru-RU"/>
              </w:rPr>
              <w:t xml:space="preserve">X.2210 </w:t>
            </w:r>
            <w:r w:rsidR="000E1D42">
              <w:rPr>
                <w:b/>
                <w:bCs/>
                <w:sz w:val="20"/>
                <w:lang w:val="ru-RU"/>
              </w:rPr>
              <w:t xml:space="preserve">(ранее − </w:t>
            </w:r>
            <w:r w:rsidR="000E68D6" w:rsidRPr="000E68D6">
              <w:rPr>
                <w:b/>
                <w:bCs/>
                <w:sz w:val="20"/>
                <w:lang w:val="ru-RU"/>
              </w:rPr>
              <w:t>X.ig-dw)</w:t>
            </w:r>
          </w:p>
        </w:tc>
        <w:tc>
          <w:tcPr>
            <w:tcW w:w="7377" w:type="dxa"/>
            <w:tcBorders>
              <w:top w:val="single" w:sz="4" w:space="0" w:color="auto"/>
              <w:left w:val="single" w:sz="4" w:space="0" w:color="auto"/>
              <w:bottom w:val="single" w:sz="4" w:space="0" w:color="auto"/>
              <w:right w:val="single" w:sz="4" w:space="0" w:color="auto"/>
            </w:tcBorders>
            <w:vAlign w:val="center"/>
          </w:tcPr>
          <w:p w14:paraId="2EFAA87B" w14:textId="22C83AEF" w:rsidR="004A6E7C" w:rsidRPr="0080257B" w:rsidRDefault="00BF5108" w:rsidP="00F07D8A">
            <w:pPr>
              <w:tabs>
                <w:tab w:val="clear" w:pos="794"/>
                <w:tab w:val="clear" w:pos="1191"/>
                <w:tab w:val="clear" w:pos="1588"/>
                <w:tab w:val="clear" w:pos="1985"/>
              </w:tabs>
              <w:overflowPunct/>
              <w:autoSpaceDE/>
              <w:autoSpaceDN/>
              <w:adjustRightInd/>
              <w:spacing w:before="40" w:after="40"/>
              <w:ind w:left="459" w:hanging="459"/>
              <w:textAlignment w:val="auto"/>
              <w:rPr>
                <w:sz w:val="20"/>
                <w:lang w:val="ru-RU"/>
              </w:rPr>
            </w:pPr>
            <w:sdt>
              <w:sdtPr>
                <w:rPr>
                  <w:sz w:val="30"/>
                  <w:szCs w:val="30"/>
                  <w:lang w:val="ru-RU"/>
                </w:rPr>
                <w:id w:val="-395669664"/>
                <w14:checkbox>
                  <w14:checked w14:val="0"/>
                  <w14:checkedState w14:val="2612" w14:font="MS Gothic"/>
                  <w14:uncheckedState w14:val="2610" w14:font="MS Gothic"/>
                </w14:checkbox>
              </w:sdtPr>
              <w:sdtEndPr/>
              <w:sdtContent>
                <w:r w:rsidR="004A6E7C" w:rsidRPr="0080257B">
                  <w:rPr>
                    <w:rFonts w:ascii="MS Gothic" w:eastAsia="MS Gothic" w:hAnsi="MS Gothic"/>
                    <w:sz w:val="30"/>
                    <w:szCs w:val="30"/>
                    <w:lang w:val="ru-RU"/>
                  </w:rPr>
                  <w:t>☐</w:t>
                </w:r>
              </w:sdtContent>
            </w:sdt>
            <w:r w:rsidR="004A6E7C" w:rsidRPr="0080257B">
              <w:rPr>
                <w:b/>
                <w:bCs/>
                <w:sz w:val="20"/>
                <w:lang w:val="ru-RU"/>
              </w:rPr>
              <w:tab/>
              <w:t>Предоставляет полномочия</w:t>
            </w:r>
            <w:r w:rsidR="004A6E7C" w:rsidRPr="0080257B">
              <w:rPr>
                <w:sz w:val="20"/>
                <w:lang w:val="ru-RU"/>
              </w:rPr>
              <w:t xml:space="preserve"> </w:t>
            </w:r>
            <w:r w:rsidR="000E68D6">
              <w:rPr>
                <w:sz w:val="20"/>
                <w:lang w:val="ru-RU"/>
              </w:rPr>
              <w:t>17-й</w:t>
            </w:r>
            <w:r w:rsidR="004A6E7C" w:rsidRPr="0080257B">
              <w:rPr>
                <w:sz w:val="20"/>
                <w:lang w:val="ru-RU"/>
              </w:rPr>
              <w:t xml:space="preserve"> </w:t>
            </w:r>
            <w:r w:rsidR="004A6E7C">
              <w:rPr>
                <w:sz w:val="20"/>
                <w:lang w:val="ru-RU"/>
              </w:rPr>
              <w:t xml:space="preserve">Исследовательской комиссии МСЭ-Т </w:t>
            </w:r>
            <w:r w:rsidR="004A6E7C" w:rsidRPr="0080257B">
              <w:rPr>
                <w:sz w:val="20"/>
                <w:lang w:val="ru-RU"/>
              </w:rPr>
              <w:t>для рассмотрения этого текста с целью его утверждения (в этом случае выбрать один из двух вариантов):</w:t>
            </w:r>
          </w:p>
          <w:p w14:paraId="611E5205" w14:textId="77777777" w:rsidR="004A6E7C" w:rsidRPr="0080257B" w:rsidRDefault="00BF5108" w:rsidP="00F07D8A">
            <w:pPr>
              <w:tabs>
                <w:tab w:val="clear" w:pos="794"/>
                <w:tab w:val="clear" w:pos="1191"/>
                <w:tab w:val="clear" w:pos="1588"/>
                <w:tab w:val="clear" w:pos="1985"/>
              </w:tabs>
              <w:overflowPunct/>
              <w:autoSpaceDE/>
              <w:autoSpaceDN/>
              <w:adjustRightInd/>
              <w:spacing w:before="40" w:after="40"/>
              <w:ind w:left="939" w:hanging="459"/>
              <w:textAlignment w:val="auto"/>
              <w:rPr>
                <w:sz w:val="20"/>
                <w:lang w:val="ru-RU"/>
              </w:rPr>
            </w:pPr>
            <w:sdt>
              <w:sdtPr>
                <w:rPr>
                  <w:sz w:val="30"/>
                  <w:szCs w:val="30"/>
                  <w:lang w:val="ru-RU"/>
                </w:rPr>
                <w:id w:val="-1287270086"/>
                <w14:checkbox>
                  <w14:checked w14:val="0"/>
                  <w14:checkedState w14:val="2612" w14:font="MS Gothic"/>
                  <w14:uncheckedState w14:val="2610" w14:font="MS Gothic"/>
                </w14:checkbox>
              </w:sdtPr>
              <w:sdtEndPr/>
              <w:sdtContent>
                <w:r w:rsidR="004A6E7C" w:rsidRPr="0080257B">
                  <w:rPr>
                    <w:rFonts w:ascii="MS Gothic" w:eastAsia="MS Gothic" w:hAnsi="MS Gothic"/>
                    <w:sz w:val="30"/>
                    <w:szCs w:val="30"/>
                    <w:lang w:val="ru-RU"/>
                  </w:rPr>
                  <w:t>☐</w:t>
                </w:r>
              </w:sdtContent>
            </w:sdt>
            <w:r w:rsidR="004A6E7C" w:rsidRPr="0080257B">
              <w:rPr>
                <w:sz w:val="20"/>
                <w:lang w:val="ru-RU"/>
              </w:rPr>
              <w:tab/>
              <w:t>Замечания или предлагаемые изменения отсутствуют</w:t>
            </w:r>
          </w:p>
          <w:p w14:paraId="633D73C3" w14:textId="77777777" w:rsidR="004A6E7C" w:rsidRPr="0080257B" w:rsidRDefault="00BF5108" w:rsidP="00F07D8A">
            <w:pPr>
              <w:tabs>
                <w:tab w:val="clear" w:pos="794"/>
                <w:tab w:val="clear" w:pos="1191"/>
                <w:tab w:val="clear" w:pos="1588"/>
                <w:tab w:val="clear" w:pos="1985"/>
              </w:tabs>
              <w:overflowPunct/>
              <w:autoSpaceDE/>
              <w:autoSpaceDN/>
              <w:adjustRightInd/>
              <w:spacing w:before="40" w:after="40"/>
              <w:ind w:left="939" w:hanging="459"/>
              <w:textAlignment w:val="auto"/>
              <w:rPr>
                <w:sz w:val="20"/>
                <w:lang w:val="ru-RU"/>
              </w:rPr>
            </w:pPr>
            <w:sdt>
              <w:sdtPr>
                <w:rPr>
                  <w:sz w:val="30"/>
                  <w:szCs w:val="30"/>
                  <w:lang w:val="ru-RU"/>
                </w:rPr>
                <w:id w:val="353390846"/>
                <w14:checkbox>
                  <w14:checked w14:val="0"/>
                  <w14:checkedState w14:val="2612" w14:font="MS Gothic"/>
                  <w14:uncheckedState w14:val="2610" w14:font="MS Gothic"/>
                </w14:checkbox>
              </w:sdtPr>
              <w:sdtEndPr/>
              <w:sdtContent>
                <w:r w:rsidR="004A6E7C" w:rsidRPr="0080257B">
                  <w:rPr>
                    <w:rFonts w:ascii="MS Gothic" w:eastAsia="MS Gothic" w:hAnsi="MS Gothic"/>
                    <w:sz w:val="30"/>
                    <w:szCs w:val="30"/>
                    <w:lang w:val="ru-RU"/>
                  </w:rPr>
                  <w:t>☐</w:t>
                </w:r>
              </w:sdtContent>
            </w:sdt>
            <w:r w:rsidR="004A6E7C" w:rsidRPr="0080257B">
              <w:rPr>
                <w:sz w:val="20"/>
                <w:lang w:val="ru-RU"/>
              </w:rPr>
              <w:tab/>
              <w:t>Замечания и предлагаемые изменения прилагаются</w:t>
            </w:r>
          </w:p>
        </w:tc>
      </w:tr>
      <w:tr w:rsidR="004A6E7C" w:rsidRPr="00C53C88" w14:paraId="72A0232F" w14:textId="77777777" w:rsidTr="00F07D8A">
        <w:trPr>
          <w:cantSplit/>
          <w:trHeight w:val="748"/>
        </w:trPr>
        <w:tc>
          <w:tcPr>
            <w:tcW w:w="2249" w:type="dxa"/>
            <w:vMerge/>
            <w:tcBorders>
              <w:left w:val="single" w:sz="4" w:space="0" w:color="auto"/>
              <w:right w:val="single" w:sz="4" w:space="0" w:color="auto"/>
            </w:tcBorders>
            <w:vAlign w:val="center"/>
          </w:tcPr>
          <w:p w14:paraId="5315C246" w14:textId="77777777" w:rsidR="004A6E7C" w:rsidRPr="008C3809" w:rsidRDefault="004A6E7C" w:rsidP="00F07D8A">
            <w:pPr>
              <w:spacing w:before="40" w:after="40"/>
              <w:jc w:val="center"/>
              <w:rPr>
                <w:b/>
                <w:bCs/>
                <w:sz w:val="20"/>
                <w:lang w:val="ru-RU"/>
              </w:rPr>
            </w:pPr>
          </w:p>
        </w:tc>
        <w:tc>
          <w:tcPr>
            <w:tcW w:w="7377" w:type="dxa"/>
            <w:tcBorders>
              <w:top w:val="single" w:sz="4" w:space="0" w:color="auto"/>
              <w:left w:val="single" w:sz="4" w:space="0" w:color="auto"/>
              <w:bottom w:val="single" w:sz="4" w:space="0" w:color="auto"/>
              <w:right w:val="single" w:sz="4" w:space="0" w:color="auto"/>
            </w:tcBorders>
            <w:vAlign w:val="center"/>
          </w:tcPr>
          <w:p w14:paraId="04CAC97B" w14:textId="19F87B63" w:rsidR="004A6E7C" w:rsidRPr="0080257B" w:rsidRDefault="00BF5108" w:rsidP="00F07D8A">
            <w:pPr>
              <w:tabs>
                <w:tab w:val="clear" w:pos="794"/>
                <w:tab w:val="clear" w:pos="1191"/>
                <w:tab w:val="clear" w:pos="1588"/>
                <w:tab w:val="clear" w:pos="1985"/>
              </w:tabs>
              <w:overflowPunct/>
              <w:autoSpaceDE/>
              <w:autoSpaceDN/>
              <w:adjustRightInd/>
              <w:spacing w:before="40" w:after="40"/>
              <w:ind w:left="459" w:hanging="459"/>
              <w:textAlignment w:val="auto"/>
              <w:rPr>
                <w:sz w:val="20"/>
                <w:lang w:val="ru-RU"/>
              </w:rPr>
            </w:pPr>
            <w:sdt>
              <w:sdtPr>
                <w:rPr>
                  <w:sz w:val="30"/>
                  <w:szCs w:val="30"/>
                  <w:lang w:val="ru-RU"/>
                </w:rPr>
                <w:id w:val="1827632770"/>
                <w14:checkbox>
                  <w14:checked w14:val="0"/>
                  <w14:checkedState w14:val="2612" w14:font="MS Gothic"/>
                  <w14:uncheckedState w14:val="2610" w14:font="MS Gothic"/>
                </w14:checkbox>
              </w:sdtPr>
              <w:sdtEndPr/>
              <w:sdtContent>
                <w:r w:rsidR="004A6E7C" w:rsidRPr="0080257B">
                  <w:rPr>
                    <w:rFonts w:ascii="MS Gothic" w:eastAsia="MS Gothic" w:hAnsi="MS Gothic"/>
                    <w:sz w:val="30"/>
                    <w:szCs w:val="30"/>
                    <w:lang w:val="ru-RU"/>
                  </w:rPr>
                  <w:t>☐</w:t>
                </w:r>
              </w:sdtContent>
            </w:sdt>
            <w:r w:rsidR="004A6E7C" w:rsidRPr="0080257B">
              <w:rPr>
                <w:sz w:val="20"/>
                <w:lang w:val="ru-RU"/>
              </w:rPr>
              <w:tab/>
            </w:r>
            <w:r w:rsidR="004A6E7C" w:rsidRPr="0080257B">
              <w:rPr>
                <w:b/>
                <w:bCs/>
                <w:sz w:val="20"/>
                <w:lang w:val="ru-RU"/>
              </w:rPr>
              <w:t>Не предоставляет полномочий</w:t>
            </w:r>
            <w:r w:rsidR="004A6E7C" w:rsidRPr="0080257B">
              <w:rPr>
                <w:sz w:val="20"/>
                <w:lang w:val="ru-RU"/>
              </w:rPr>
              <w:t xml:space="preserve"> </w:t>
            </w:r>
            <w:r w:rsidR="000E68D6">
              <w:rPr>
                <w:sz w:val="20"/>
                <w:lang w:val="ru-RU"/>
              </w:rPr>
              <w:t>17-й</w:t>
            </w:r>
            <w:r w:rsidR="004A6E7C" w:rsidRPr="0080257B">
              <w:rPr>
                <w:sz w:val="20"/>
                <w:lang w:val="ru-RU"/>
              </w:rPr>
              <w:t xml:space="preserve"> </w:t>
            </w:r>
            <w:r w:rsidR="004A6E7C">
              <w:rPr>
                <w:sz w:val="20"/>
                <w:lang w:val="ru-RU"/>
              </w:rPr>
              <w:t>Исследовательской комиссии МСЭ-Т</w:t>
            </w:r>
            <w:r w:rsidR="004A6E7C" w:rsidRPr="0080257B">
              <w:rPr>
                <w:sz w:val="20"/>
                <w:lang w:val="ru-RU"/>
              </w:rPr>
              <w:t xml:space="preserve"> для рассмотрения этого текста с целью его утверждения (причины этого мнения и возможные изменения, которые могли бы способствовать продолжению работы, прилагаются)</w:t>
            </w:r>
          </w:p>
        </w:tc>
      </w:tr>
      <w:tr w:rsidR="004A6E7C" w:rsidRPr="00C53C88" w14:paraId="1EDB961D" w14:textId="77777777" w:rsidTr="00F07D8A">
        <w:trPr>
          <w:cantSplit/>
          <w:trHeight w:val="748"/>
        </w:trPr>
        <w:tc>
          <w:tcPr>
            <w:tcW w:w="2249" w:type="dxa"/>
            <w:vMerge w:val="restart"/>
            <w:tcBorders>
              <w:top w:val="single" w:sz="4" w:space="0" w:color="auto"/>
              <w:left w:val="single" w:sz="4" w:space="0" w:color="auto"/>
              <w:right w:val="single" w:sz="4" w:space="0" w:color="auto"/>
            </w:tcBorders>
            <w:vAlign w:val="center"/>
          </w:tcPr>
          <w:p w14:paraId="6C61A560" w14:textId="526C7869" w:rsidR="004A6E7C" w:rsidRPr="008C3809" w:rsidRDefault="004A6E7C" w:rsidP="00F07D8A">
            <w:pPr>
              <w:spacing w:before="40" w:after="40"/>
              <w:jc w:val="center"/>
              <w:rPr>
                <w:b/>
                <w:bCs/>
                <w:sz w:val="20"/>
                <w:lang w:val="ru-RU"/>
              </w:rPr>
            </w:pPr>
            <w:r w:rsidRPr="008C3809">
              <w:rPr>
                <w:b/>
                <w:bCs/>
                <w:color w:val="000000"/>
                <w:sz w:val="20"/>
                <w:lang w:val="ru-RU"/>
              </w:rPr>
              <w:lastRenderedPageBreak/>
              <w:t xml:space="preserve">Проект новой Рекомендации МСЭ-Т </w:t>
            </w:r>
            <w:r w:rsidR="000E68D6" w:rsidRPr="000E68D6">
              <w:rPr>
                <w:b/>
                <w:bCs/>
                <w:sz w:val="20"/>
                <w:lang w:val="ru-RU"/>
              </w:rPr>
              <w:t xml:space="preserve">X.1910 </w:t>
            </w:r>
            <w:r w:rsidR="000E1D42">
              <w:rPr>
                <w:b/>
                <w:bCs/>
                <w:sz w:val="20"/>
                <w:lang w:val="ru-RU"/>
              </w:rPr>
              <w:t xml:space="preserve">(ранее − </w:t>
            </w:r>
            <w:r w:rsidR="000E68D6" w:rsidRPr="000E68D6">
              <w:rPr>
                <w:b/>
                <w:bCs/>
                <w:sz w:val="20"/>
                <w:lang w:val="ru-RU"/>
              </w:rPr>
              <w:t>X.tc-ifd)</w:t>
            </w:r>
          </w:p>
        </w:tc>
        <w:tc>
          <w:tcPr>
            <w:tcW w:w="7377" w:type="dxa"/>
            <w:tcBorders>
              <w:top w:val="single" w:sz="4" w:space="0" w:color="auto"/>
              <w:left w:val="single" w:sz="4" w:space="0" w:color="auto"/>
              <w:bottom w:val="single" w:sz="4" w:space="0" w:color="auto"/>
              <w:right w:val="single" w:sz="4" w:space="0" w:color="auto"/>
            </w:tcBorders>
            <w:vAlign w:val="center"/>
          </w:tcPr>
          <w:p w14:paraId="79124A8F" w14:textId="2581A28E" w:rsidR="004A6E7C" w:rsidRPr="0080257B" w:rsidRDefault="00BF5108" w:rsidP="00F07D8A">
            <w:pPr>
              <w:tabs>
                <w:tab w:val="clear" w:pos="794"/>
                <w:tab w:val="clear" w:pos="1191"/>
                <w:tab w:val="clear" w:pos="1588"/>
                <w:tab w:val="clear" w:pos="1985"/>
              </w:tabs>
              <w:overflowPunct/>
              <w:autoSpaceDE/>
              <w:autoSpaceDN/>
              <w:adjustRightInd/>
              <w:spacing w:before="40" w:after="40"/>
              <w:ind w:left="459" w:hanging="459"/>
              <w:textAlignment w:val="auto"/>
              <w:rPr>
                <w:sz w:val="20"/>
                <w:lang w:val="ru-RU"/>
              </w:rPr>
            </w:pPr>
            <w:sdt>
              <w:sdtPr>
                <w:rPr>
                  <w:sz w:val="30"/>
                  <w:szCs w:val="30"/>
                  <w:lang w:val="ru-RU"/>
                </w:rPr>
                <w:id w:val="-1868205161"/>
                <w14:checkbox>
                  <w14:checked w14:val="0"/>
                  <w14:checkedState w14:val="2612" w14:font="MS Gothic"/>
                  <w14:uncheckedState w14:val="2610" w14:font="MS Gothic"/>
                </w14:checkbox>
              </w:sdtPr>
              <w:sdtEndPr/>
              <w:sdtContent>
                <w:r w:rsidR="004A6E7C" w:rsidRPr="0080257B">
                  <w:rPr>
                    <w:rFonts w:ascii="MS Gothic" w:eastAsia="MS Gothic" w:hAnsi="MS Gothic"/>
                    <w:sz w:val="30"/>
                    <w:szCs w:val="30"/>
                    <w:lang w:val="ru-RU"/>
                  </w:rPr>
                  <w:t>☐</w:t>
                </w:r>
              </w:sdtContent>
            </w:sdt>
            <w:r w:rsidR="004A6E7C" w:rsidRPr="0080257B">
              <w:rPr>
                <w:b/>
                <w:bCs/>
                <w:sz w:val="20"/>
                <w:lang w:val="ru-RU"/>
              </w:rPr>
              <w:tab/>
              <w:t>Предоставляет полномочия</w:t>
            </w:r>
            <w:r w:rsidR="004A6E7C" w:rsidRPr="0080257B">
              <w:rPr>
                <w:sz w:val="20"/>
                <w:lang w:val="ru-RU"/>
              </w:rPr>
              <w:t xml:space="preserve"> </w:t>
            </w:r>
            <w:r w:rsidR="000E68D6">
              <w:rPr>
                <w:sz w:val="20"/>
                <w:lang w:val="ru-RU"/>
              </w:rPr>
              <w:t>17-й</w:t>
            </w:r>
            <w:r w:rsidR="004A6E7C" w:rsidRPr="0080257B">
              <w:rPr>
                <w:sz w:val="20"/>
                <w:lang w:val="ru-RU"/>
              </w:rPr>
              <w:t xml:space="preserve"> </w:t>
            </w:r>
            <w:r w:rsidR="004A6E7C">
              <w:rPr>
                <w:sz w:val="20"/>
                <w:lang w:val="ru-RU"/>
              </w:rPr>
              <w:t xml:space="preserve">Исследовательской комиссии МСЭ-Т </w:t>
            </w:r>
            <w:r w:rsidR="004A6E7C" w:rsidRPr="0080257B">
              <w:rPr>
                <w:sz w:val="20"/>
                <w:lang w:val="ru-RU"/>
              </w:rPr>
              <w:t>для рассмотрения этого текста с целью его утверждения (в этом случае выбрать один из двух вариантов):</w:t>
            </w:r>
          </w:p>
          <w:p w14:paraId="4DC3455D" w14:textId="77777777" w:rsidR="004A6E7C" w:rsidRPr="0080257B" w:rsidRDefault="00BF5108" w:rsidP="00F07D8A">
            <w:pPr>
              <w:tabs>
                <w:tab w:val="clear" w:pos="794"/>
                <w:tab w:val="clear" w:pos="1191"/>
                <w:tab w:val="clear" w:pos="1588"/>
                <w:tab w:val="clear" w:pos="1985"/>
              </w:tabs>
              <w:overflowPunct/>
              <w:autoSpaceDE/>
              <w:autoSpaceDN/>
              <w:adjustRightInd/>
              <w:spacing w:before="40" w:after="40"/>
              <w:ind w:left="939" w:hanging="459"/>
              <w:textAlignment w:val="auto"/>
              <w:rPr>
                <w:sz w:val="20"/>
                <w:lang w:val="ru-RU"/>
              </w:rPr>
            </w:pPr>
            <w:sdt>
              <w:sdtPr>
                <w:rPr>
                  <w:sz w:val="30"/>
                  <w:szCs w:val="30"/>
                  <w:lang w:val="ru-RU"/>
                </w:rPr>
                <w:id w:val="-818110113"/>
                <w14:checkbox>
                  <w14:checked w14:val="0"/>
                  <w14:checkedState w14:val="2612" w14:font="MS Gothic"/>
                  <w14:uncheckedState w14:val="2610" w14:font="MS Gothic"/>
                </w14:checkbox>
              </w:sdtPr>
              <w:sdtEndPr/>
              <w:sdtContent>
                <w:r w:rsidR="004A6E7C" w:rsidRPr="0080257B">
                  <w:rPr>
                    <w:rFonts w:ascii="MS Gothic" w:eastAsia="MS Gothic" w:hAnsi="MS Gothic"/>
                    <w:sz w:val="30"/>
                    <w:szCs w:val="30"/>
                    <w:lang w:val="ru-RU"/>
                  </w:rPr>
                  <w:t>☐</w:t>
                </w:r>
              </w:sdtContent>
            </w:sdt>
            <w:r w:rsidR="004A6E7C" w:rsidRPr="0080257B">
              <w:rPr>
                <w:sz w:val="20"/>
                <w:lang w:val="ru-RU"/>
              </w:rPr>
              <w:tab/>
              <w:t>Замечания или предлагаемые изменения отсутствуют</w:t>
            </w:r>
          </w:p>
          <w:p w14:paraId="5748CC89" w14:textId="77777777" w:rsidR="004A6E7C" w:rsidRPr="0080257B" w:rsidRDefault="00BF5108" w:rsidP="00F07D8A">
            <w:pPr>
              <w:tabs>
                <w:tab w:val="clear" w:pos="794"/>
                <w:tab w:val="clear" w:pos="1191"/>
                <w:tab w:val="clear" w:pos="1588"/>
                <w:tab w:val="clear" w:pos="1985"/>
              </w:tabs>
              <w:overflowPunct/>
              <w:autoSpaceDE/>
              <w:autoSpaceDN/>
              <w:adjustRightInd/>
              <w:spacing w:before="40" w:after="40"/>
              <w:ind w:left="939" w:hanging="459"/>
              <w:textAlignment w:val="auto"/>
              <w:rPr>
                <w:sz w:val="20"/>
                <w:lang w:val="ru-RU"/>
              </w:rPr>
            </w:pPr>
            <w:sdt>
              <w:sdtPr>
                <w:rPr>
                  <w:sz w:val="30"/>
                  <w:szCs w:val="30"/>
                  <w:lang w:val="ru-RU"/>
                </w:rPr>
                <w:id w:val="474190963"/>
                <w14:checkbox>
                  <w14:checked w14:val="0"/>
                  <w14:checkedState w14:val="2612" w14:font="MS Gothic"/>
                  <w14:uncheckedState w14:val="2610" w14:font="MS Gothic"/>
                </w14:checkbox>
              </w:sdtPr>
              <w:sdtEndPr/>
              <w:sdtContent>
                <w:r w:rsidR="004A6E7C" w:rsidRPr="0080257B">
                  <w:rPr>
                    <w:rFonts w:ascii="MS Gothic" w:eastAsia="MS Gothic" w:hAnsi="MS Gothic"/>
                    <w:sz w:val="30"/>
                    <w:szCs w:val="30"/>
                    <w:lang w:val="ru-RU"/>
                  </w:rPr>
                  <w:t>☐</w:t>
                </w:r>
              </w:sdtContent>
            </w:sdt>
            <w:r w:rsidR="004A6E7C" w:rsidRPr="0080257B">
              <w:rPr>
                <w:sz w:val="20"/>
                <w:lang w:val="ru-RU"/>
              </w:rPr>
              <w:tab/>
              <w:t>Замечания и предлагаемые изменения прилагаются</w:t>
            </w:r>
          </w:p>
        </w:tc>
      </w:tr>
      <w:tr w:rsidR="004A6E7C" w:rsidRPr="00C53C88" w14:paraId="78A701F3" w14:textId="77777777" w:rsidTr="00F07D8A">
        <w:trPr>
          <w:cantSplit/>
          <w:trHeight w:val="748"/>
        </w:trPr>
        <w:tc>
          <w:tcPr>
            <w:tcW w:w="2249" w:type="dxa"/>
            <w:vMerge/>
            <w:tcBorders>
              <w:left w:val="single" w:sz="4" w:space="0" w:color="auto"/>
              <w:right w:val="single" w:sz="4" w:space="0" w:color="auto"/>
            </w:tcBorders>
            <w:vAlign w:val="center"/>
          </w:tcPr>
          <w:p w14:paraId="691A910D" w14:textId="77777777" w:rsidR="004A6E7C" w:rsidRPr="008C3809" w:rsidRDefault="004A6E7C" w:rsidP="00F07D8A">
            <w:pPr>
              <w:spacing w:before="40" w:after="40"/>
              <w:jc w:val="center"/>
              <w:rPr>
                <w:b/>
                <w:bCs/>
                <w:sz w:val="20"/>
                <w:lang w:val="ru-RU"/>
              </w:rPr>
            </w:pPr>
          </w:p>
        </w:tc>
        <w:tc>
          <w:tcPr>
            <w:tcW w:w="7377" w:type="dxa"/>
            <w:tcBorders>
              <w:top w:val="single" w:sz="4" w:space="0" w:color="auto"/>
              <w:left w:val="single" w:sz="4" w:space="0" w:color="auto"/>
              <w:bottom w:val="single" w:sz="4" w:space="0" w:color="auto"/>
              <w:right w:val="single" w:sz="4" w:space="0" w:color="auto"/>
            </w:tcBorders>
            <w:vAlign w:val="center"/>
          </w:tcPr>
          <w:p w14:paraId="3B3B9A9B" w14:textId="07F18E24" w:rsidR="004A6E7C" w:rsidRPr="0080257B" w:rsidRDefault="00BF5108" w:rsidP="00F07D8A">
            <w:pPr>
              <w:tabs>
                <w:tab w:val="clear" w:pos="794"/>
                <w:tab w:val="clear" w:pos="1191"/>
                <w:tab w:val="clear" w:pos="1588"/>
                <w:tab w:val="clear" w:pos="1985"/>
              </w:tabs>
              <w:overflowPunct/>
              <w:autoSpaceDE/>
              <w:autoSpaceDN/>
              <w:adjustRightInd/>
              <w:spacing w:before="40" w:after="40"/>
              <w:ind w:left="459" w:hanging="459"/>
              <w:textAlignment w:val="auto"/>
              <w:rPr>
                <w:sz w:val="20"/>
                <w:lang w:val="ru-RU"/>
              </w:rPr>
            </w:pPr>
            <w:sdt>
              <w:sdtPr>
                <w:rPr>
                  <w:sz w:val="30"/>
                  <w:szCs w:val="30"/>
                  <w:lang w:val="ru-RU"/>
                </w:rPr>
                <w:id w:val="1418290791"/>
                <w14:checkbox>
                  <w14:checked w14:val="0"/>
                  <w14:checkedState w14:val="2612" w14:font="MS Gothic"/>
                  <w14:uncheckedState w14:val="2610" w14:font="MS Gothic"/>
                </w14:checkbox>
              </w:sdtPr>
              <w:sdtEndPr/>
              <w:sdtContent>
                <w:r w:rsidR="004A6E7C" w:rsidRPr="0080257B">
                  <w:rPr>
                    <w:rFonts w:ascii="MS Gothic" w:eastAsia="MS Gothic" w:hAnsi="MS Gothic"/>
                    <w:sz w:val="30"/>
                    <w:szCs w:val="30"/>
                    <w:lang w:val="ru-RU"/>
                  </w:rPr>
                  <w:t>☐</w:t>
                </w:r>
              </w:sdtContent>
            </w:sdt>
            <w:r w:rsidR="004A6E7C" w:rsidRPr="0080257B">
              <w:rPr>
                <w:sz w:val="20"/>
                <w:lang w:val="ru-RU"/>
              </w:rPr>
              <w:tab/>
            </w:r>
            <w:r w:rsidR="004A6E7C" w:rsidRPr="0080257B">
              <w:rPr>
                <w:b/>
                <w:bCs/>
                <w:sz w:val="20"/>
                <w:lang w:val="ru-RU"/>
              </w:rPr>
              <w:t>Не предоставляет полномочий</w:t>
            </w:r>
            <w:r w:rsidR="004A6E7C" w:rsidRPr="0080257B">
              <w:rPr>
                <w:sz w:val="20"/>
                <w:lang w:val="ru-RU"/>
              </w:rPr>
              <w:t xml:space="preserve"> </w:t>
            </w:r>
            <w:r w:rsidR="000E68D6">
              <w:rPr>
                <w:sz w:val="20"/>
                <w:lang w:val="ru-RU"/>
              </w:rPr>
              <w:t>17-й</w:t>
            </w:r>
            <w:r w:rsidR="004A6E7C" w:rsidRPr="0080257B">
              <w:rPr>
                <w:sz w:val="20"/>
                <w:lang w:val="ru-RU"/>
              </w:rPr>
              <w:t xml:space="preserve"> </w:t>
            </w:r>
            <w:r w:rsidR="004A6E7C">
              <w:rPr>
                <w:sz w:val="20"/>
                <w:lang w:val="ru-RU"/>
              </w:rPr>
              <w:t>Исследовательской комиссии МСЭ-Т</w:t>
            </w:r>
            <w:r w:rsidR="004A6E7C" w:rsidRPr="0080257B">
              <w:rPr>
                <w:sz w:val="20"/>
                <w:lang w:val="ru-RU"/>
              </w:rPr>
              <w:t xml:space="preserve"> для рассмотрения этого текста с целью его утверждения (причины этого мнения и возможные изменения, которые могли бы способствовать продолжению работы, прилагаются)</w:t>
            </w:r>
          </w:p>
        </w:tc>
      </w:tr>
      <w:tr w:rsidR="004A6E7C" w:rsidRPr="00C53C88" w14:paraId="34EA8550" w14:textId="77777777" w:rsidTr="00F07D8A">
        <w:trPr>
          <w:cantSplit/>
          <w:trHeight w:val="748"/>
        </w:trPr>
        <w:tc>
          <w:tcPr>
            <w:tcW w:w="2249" w:type="dxa"/>
            <w:vMerge w:val="restart"/>
            <w:tcBorders>
              <w:top w:val="single" w:sz="4" w:space="0" w:color="auto"/>
              <w:left w:val="single" w:sz="4" w:space="0" w:color="auto"/>
              <w:right w:val="single" w:sz="4" w:space="0" w:color="auto"/>
            </w:tcBorders>
            <w:vAlign w:val="center"/>
          </w:tcPr>
          <w:p w14:paraId="18BEB6E7" w14:textId="079D00E7" w:rsidR="004A6E7C" w:rsidRPr="008C3809" w:rsidRDefault="004A6E7C" w:rsidP="00F07D8A">
            <w:pPr>
              <w:spacing w:before="40" w:after="40"/>
              <w:jc w:val="center"/>
              <w:rPr>
                <w:b/>
                <w:bCs/>
                <w:sz w:val="20"/>
                <w:lang w:val="ru-RU"/>
              </w:rPr>
            </w:pPr>
            <w:r w:rsidRPr="008C3809">
              <w:rPr>
                <w:b/>
                <w:bCs/>
                <w:color w:val="000000"/>
                <w:sz w:val="20"/>
                <w:lang w:val="ru-RU"/>
              </w:rPr>
              <w:t xml:space="preserve">Проект новой Рекомендации МСЭ-Т </w:t>
            </w:r>
            <w:r w:rsidR="000E68D6" w:rsidRPr="000E68D6">
              <w:rPr>
                <w:b/>
                <w:bCs/>
                <w:sz w:val="20"/>
                <w:lang w:val="ru-RU"/>
              </w:rPr>
              <w:t xml:space="preserve">X.1651 </w:t>
            </w:r>
            <w:r w:rsidR="000E1D42">
              <w:rPr>
                <w:b/>
                <w:bCs/>
                <w:sz w:val="20"/>
                <w:lang w:val="ru-RU"/>
              </w:rPr>
              <w:t xml:space="preserve">(ранее − </w:t>
            </w:r>
            <w:r w:rsidR="000E68D6" w:rsidRPr="000E68D6">
              <w:rPr>
                <w:b/>
                <w:bCs/>
                <w:sz w:val="20"/>
                <w:lang w:val="ru-RU"/>
              </w:rPr>
              <w:t>X.soar-cc)</w:t>
            </w:r>
          </w:p>
        </w:tc>
        <w:tc>
          <w:tcPr>
            <w:tcW w:w="7377" w:type="dxa"/>
            <w:tcBorders>
              <w:top w:val="single" w:sz="4" w:space="0" w:color="auto"/>
              <w:left w:val="single" w:sz="4" w:space="0" w:color="auto"/>
              <w:bottom w:val="single" w:sz="4" w:space="0" w:color="auto"/>
              <w:right w:val="single" w:sz="4" w:space="0" w:color="auto"/>
            </w:tcBorders>
            <w:vAlign w:val="center"/>
          </w:tcPr>
          <w:p w14:paraId="677B88CB" w14:textId="270DB4E1" w:rsidR="004A6E7C" w:rsidRPr="0080257B" w:rsidRDefault="00BF5108" w:rsidP="00F07D8A">
            <w:pPr>
              <w:tabs>
                <w:tab w:val="clear" w:pos="794"/>
                <w:tab w:val="clear" w:pos="1191"/>
                <w:tab w:val="clear" w:pos="1588"/>
                <w:tab w:val="clear" w:pos="1985"/>
              </w:tabs>
              <w:overflowPunct/>
              <w:autoSpaceDE/>
              <w:autoSpaceDN/>
              <w:adjustRightInd/>
              <w:spacing w:before="40" w:after="40"/>
              <w:ind w:left="459" w:hanging="459"/>
              <w:textAlignment w:val="auto"/>
              <w:rPr>
                <w:sz w:val="20"/>
                <w:lang w:val="ru-RU"/>
              </w:rPr>
            </w:pPr>
            <w:sdt>
              <w:sdtPr>
                <w:rPr>
                  <w:sz w:val="30"/>
                  <w:szCs w:val="30"/>
                  <w:lang w:val="ru-RU"/>
                </w:rPr>
                <w:id w:val="-1552231153"/>
                <w14:checkbox>
                  <w14:checked w14:val="0"/>
                  <w14:checkedState w14:val="2612" w14:font="MS Gothic"/>
                  <w14:uncheckedState w14:val="2610" w14:font="MS Gothic"/>
                </w14:checkbox>
              </w:sdtPr>
              <w:sdtEndPr/>
              <w:sdtContent>
                <w:r w:rsidR="004A6E7C" w:rsidRPr="0080257B">
                  <w:rPr>
                    <w:rFonts w:ascii="MS Gothic" w:eastAsia="MS Gothic" w:hAnsi="MS Gothic"/>
                    <w:sz w:val="30"/>
                    <w:szCs w:val="30"/>
                    <w:lang w:val="ru-RU"/>
                  </w:rPr>
                  <w:t>☐</w:t>
                </w:r>
              </w:sdtContent>
            </w:sdt>
            <w:r w:rsidR="004A6E7C" w:rsidRPr="0080257B">
              <w:rPr>
                <w:b/>
                <w:bCs/>
                <w:sz w:val="20"/>
                <w:lang w:val="ru-RU"/>
              </w:rPr>
              <w:tab/>
              <w:t>Предоставляет полномочия</w:t>
            </w:r>
            <w:r w:rsidR="004A6E7C" w:rsidRPr="0080257B">
              <w:rPr>
                <w:sz w:val="20"/>
                <w:lang w:val="ru-RU"/>
              </w:rPr>
              <w:t xml:space="preserve"> </w:t>
            </w:r>
            <w:r w:rsidR="000E68D6">
              <w:rPr>
                <w:sz w:val="20"/>
                <w:lang w:val="ru-RU"/>
              </w:rPr>
              <w:t>17-й</w:t>
            </w:r>
            <w:r w:rsidR="004A6E7C" w:rsidRPr="0080257B">
              <w:rPr>
                <w:sz w:val="20"/>
                <w:lang w:val="ru-RU"/>
              </w:rPr>
              <w:t xml:space="preserve"> </w:t>
            </w:r>
            <w:r w:rsidR="004A6E7C">
              <w:rPr>
                <w:sz w:val="20"/>
                <w:lang w:val="ru-RU"/>
              </w:rPr>
              <w:t xml:space="preserve">Исследовательской комиссии МСЭ-Т </w:t>
            </w:r>
            <w:r w:rsidR="004A6E7C" w:rsidRPr="0080257B">
              <w:rPr>
                <w:sz w:val="20"/>
                <w:lang w:val="ru-RU"/>
              </w:rPr>
              <w:t>для рассмотрения этого текста с целью его утверждения (в этом случае выбрать один из двух вариантов):</w:t>
            </w:r>
          </w:p>
          <w:p w14:paraId="093BBB87" w14:textId="77777777" w:rsidR="004A6E7C" w:rsidRPr="0080257B" w:rsidRDefault="00BF5108" w:rsidP="00F07D8A">
            <w:pPr>
              <w:tabs>
                <w:tab w:val="clear" w:pos="794"/>
                <w:tab w:val="clear" w:pos="1191"/>
                <w:tab w:val="clear" w:pos="1588"/>
                <w:tab w:val="clear" w:pos="1985"/>
              </w:tabs>
              <w:overflowPunct/>
              <w:autoSpaceDE/>
              <w:autoSpaceDN/>
              <w:adjustRightInd/>
              <w:spacing w:before="40" w:after="40"/>
              <w:ind w:left="939" w:hanging="459"/>
              <w:textAlignment w:val="auto"/>
              <w:rPr>
                <w:sz w:val="20"/>
                <w:lang w:val="ru-RU"/>
              </w:rPr>
            </w:pPr>
            <w:sdt>
              <w:sdtPr>
                <w:rPr>
                  <w:sz w:val="30"/>
                  <w:szCs w:val="30"/>
                  <w:lang w:val="ru-RU"/>
                </w:rPr>
                <w:id w:val="67005085"/>
                <w14:checkbox>
                  <w14:checked w14:val="0"/>
                  <w14:checkedState w14:val="2612" w14:font="MS Gothic"/>
                  <w14:uncheckedState w14:val="2610" w14:font="MS Gothic"/>
                </w14:checkbox>
              </w:sdtPr>
              <w:sdtEndPr/>
              <w:sdtContent>
                <w:r w:rsidR="004A6E7C" w:rsidRPr="0080257B">
                  <w:rPr>
                    <w:rFonts w:ascii="MS Gothic" w:eastAsia="MS Gothic" w:hAnsi="MS Gothic"/>
                    <w:sz w:val="30"/>
                    <w:szCs w:val="30"/>
                    <w:lang w:val="ru-RU"/>
                  </w:rPr>
                  <w:t>☐</w:t>
                </w:r>
              </w:sdtContent>
            </w:sdt>
            <w:r w:rsidR="004A6E7C" w:rsidRPr="0080257B">
              <w:rPr>
                <w:sz w:val="20"/>
                <w:lang w:val="ru-RU"/>
              </w:rPr>
              <w:tab/>
              <w:t>Замечания или предлагаемые изменения отсутствуют</w:t>
            </w:r>
          </w:p>
          <w:p w14:paraId="5395CD1C" w14:textId="77777777" w:rsidR="004A6E7C" w:rsidRPr="0080257B" w:rsidRDefault="00BF5108" w:rsidP="00F07D8A">
            <w:pPr>
              <w:tabs>
                <w:tab w:val="clear" w:pos="794"/>
                <w:tab w:val="clear" w:pos="1191"/>
                <w:tab w:val="clear" w:pos="1588"/>
                <w:tab w:val="clear" w:pos="1985"/>
              </w:tabs>
              <w:overflowPunct/>
              <w:autoSpaceDE/>
              <w:autoSpaceDN/>
              <w:adjustRightInd/>
              <w:spacing w:before="40" w:after="40"/>
              <w:ind w:left="939" w:hanging="459"/>
              <w:textAlignment w:val="auto"/>
              <w:rPr>
                <w:sz w:val="20"/>
                <w:lang w:val="ru-RU"/>
              </w:rPr>
            </w:pPr>
            <w:sdt>
              <w:sdtPr>
                <w:rPr>
                  <w:sz w:val="30"/>
                  <w:szCs w:val="30"/>
                  <w:lang w:val="ru-RU"/>
                </w:rPr>
                <w:id w:val="1945114831"/>
                <w14:checkbox>
                  <w14:checked w14:val="0"/>
                  <w14:checkedState w14:val="2612" w14:font="MS Gothic"/>
                  <w14:uncheckedState w14:val="2610" w14:font="MS Gothic"/>
                </w14:checkbox>
              </w:sdtPr>
              <w:sdtEndPr/>
              <w:sdtContent>
                <w:r w:rsidR="004A6E7C" w:rsidRPr="0080257B">
                  <w:rPr>
                    <w:rFonts w:ascii="MS Gothic" w:eastAsia="MS Gothic" w:hAnsi="MS Gothic"/>
                    <w:sz w:val="30"/>
                    <w:szCs w:val="30"/>
                    <w:lang w:val="ru-RU"/>
                  </w:rPr>
                  <w:t>☐</w:t>
                </w:r>
              </w:sdtContent>
            </w:sdt>
            <w:r w:rsidR="004A6E7C" w:rsidRPr="0080257B">
              <w:rPr>
                <w:sz w:val="20"/>
                <w:lang w:val="ru-RU"/>
              </w:rPr>
              <w:tab/>
              <w:t>Замечания и предлагаемые изменения прилагаются</w:t>
            </w:r>
          </w:p>
        </w:tc>
      </w:tr>
      <w:tr w:rsidR="004A6E7C" w:rsidRPr="00C53C88" w14:paraId="69566D78" w14:textId="77777777" w:rsidTr="00F07D8A">
        <w:trPr>
          <w:cantSplit/>
          <w:trHeight w:val="748"/>
        </w:trPr>
        <w:tc>
          <w:tcPr>
            <w:tcW w:w="2249" w:type="dxa"/>
            <w:vMerge/>
            <w:tcBorders>
              <w:left w:val="single" w:sz="4" w:space="0" w:color="auto"/>
              <w:right w:val="single" w:sz="4" w:space="0" w:color="auto"/>
            </w:tcBorders>
            <w:vAlign w:val="center"/>
          </w:tcPr>
          <w:p w14:paraId="2409153F" w14:textId="77777777" w:rsidR="004A6E7C" w:rsidRPr="008C3809" w:rsidRDefault="004A6E7C" w:rsidP="00F07D8A">
            <w:pPr>
              <w:spacing w:before="40" w:after="40"/>
              <w:jc w:val="center"/>
              <w:rPr>
                <w:b/>
                <w:bCs/>
                <w:sz w:val="20"/>
                <w:lang w:val="ru-RU"/>
              </w:rPr>
            </w:pPr>
          </w:p>
        </w:tc>
        <w:tc>
          <w:tcPr>
            <w:tcW w:w="7377" w:type="dxa"/>
            <w:tcBorders>
              <w:top w:val="single" w:sz="4" w:space="0" w:color="auto"/>
              <w:left w:val="single" w:sz="4" w:space="0" w:color="auto"/>
              <w:bottom w:val="single" w:sz="4" w:space="0" w:color="auto"/>
              <w:right w:val="single" w:sz="4" w:space="0" w:color="auto"/>
            </w:tcBorders>
            <w:vAlign w:val="center"/>
          </w:tcPr>
          <w:p w14:paraId="0B80DACC" w14:textId="72E77DBC" w:rsidR="004A6E7C" w:rsidRPr="0080257B" w:rsidRDefault="00BF5108" w:rsidP="00F07D8A">
            <w:pPr>
              <w:tabs>
                <w:tab w:val="clear" w:pos="794"/>
                <w:tab w:val="clear" w:pos="1191"/>
                <w:tab w:val="clear" w:pos="1588"/>
                <w:tab w:val="clear" w:pos="1985"/>
              </w:tabs>
              <w:overflowPunct/>
              <w:autoSpaceDE/>
              <w:autoSpaceDN/>
              <w:adjustRightInd/>
              <w:spacing w:before="40" w:after="40"/>
              <w:ind w:left="459" w:hanging="459"/>
              <w:textAlignment w:val="auto"/>
              <w:rPr>
                <w:sz w:val="20"/>
                <w:lang w:val="ru-RU"/>
              </w:rPr>
            </w:pPr>
            <w:sdt>
              <w:sdtPr>
                <w:rPr>
                  <w:sz w:val="30"/>
                  <w:szCs w:val="30"/>
                  <w:lang w:val="ru-RU"/>
                </w:rPr>
                <w:id w:val="-62714042"/>
                <w14:checkbox>
                  <w14:checked w14:val="0"/>
                  <w14:checkedState w14:val="2612" w14:font="MS Gothic"/>
                  <w14:uncheckedState w14:val="2610" w14:font="MS Gothic"/>
                </w14:checkbox>
              </w:sdtPr>
              <w:sdtEndPr/>
              <w:sdtContent>
                <w:r w:rsidR="004A6E7C" w:rsidRPr="0080257B">
                  <w:rPr>
                    <w:rFonts w:ascii="MS Gothic" w:eastAsia="MS Gothic" w:hAnsi="MS Gothic"/>
                    <w:sz w:val="30"/>
                    <w:szCs w:val="30"/>
                    <w:lang w:val="ru-RU"/>
                  </w:rPr>
                  <w:t>☐</w:t>
                </w:r>
              </w:sdtContent>
            </w:sdt>
            <w:r w:rsidR="004A6E7C" w:rsidRPr="0080257B">
              <w:rPr>
                <w:sz w:val="20"/>
                <w:lang w:val="ru-RU"/>
              </w:rPr>
              <w:tab/>
            </w:r>
            <w:r w:rsidR="004A6E7C" w:rsidRPr="0080257B">
              <w:rPr>
                <w:b/>
                <w:bCs/>
                <w:sz w:val="20"/>
                <w:lang w:val="ru-RU"/>
              </w:rPr>
              <w:t>Не предоставляет полномочий</w:t>
            </w:r>
            <w:r w:rsidR="004A6E7C" w:rsidRPr="0080257B">
              <w:rPr>
                <w:sz w:val="20"/>
                <w:lang w:val="ru-RU"/>
              </w:rPr>
              <w:t xml:space="preserve"> </w:t>
            </w:r>
            <w:r w:rsidR="000E68D6">
              <w:rPr>
                <w:sz w:val="20"/>
                <w:lang w:val="ru-RU"/>
              </w:rPr>
              <w:t>17-й</w:t>
            </w:r>
            <w:r w:rsidR="004A6E7C" w:rsidRPr="0080257B">
              <w:rPr>
                <w:sz w:val="20"/>
                <w:lang w:val="ru-RU"/>
              </w:rPr>
              <w:t xml:space="preserve"> </w:t>
            </w:r>
            <w:r w:rsidR="004A6E7C">
              <w:rPr>
                <w:sz w:val="20"/>
                <w:lang w:val="ru-RU"/>
              </w:rPr>
              <w:t>Исследовательской комиссии МСЭ-Т</w:t>
            </w:r>
            <w:r w:rsidR="004A6E7C" w:rsidRPr="0080257B">
              <w:rPr>
                <w:sz w:val="20"/>
                <w:lang w:val="ru-RU"/>
              </w:rPr>
              <w:t xml:space="preserve"> для рассмотрения этого текста с целью его утверждения (причины этого мнения и возможные изменения, которые могли бы способствовать продолжению работы, прилагаются)</w:t>
            </w:r>
          </w:p>
        </w:tc>
      </w:tr>
      <w:tr w:rsidR="008C3809" w:rsidRPr="00C53C88" w14:paraId="23009629" w14:textId="77777777" w:rsidTr="00F07D8A">
        <w:trPr>
          <w:cantSplit/>
          <w:trHeight w:val="748"/>
        </w:trPr>
        <w:tc>
          <w:tcPr>
            <w:tcW w:w="2249" w:type="dxa"/>
            <w:vMerge w:val="restart"/>
            <w:tcBorders>
              <w:top w:val="single" w:sz="4" w:space="0" w:color="auto"/>
              <w:left w:val="single" w:sz="4" w:space="0" w:color="auto"/>
              <w:right w:val="single" w:sz="4" w:space="0" w:color="auto"/>
            </w:tcBorders>
            <w:vAlign w:val="center"/>
          </w:tcPr>
          <w:p w14:paraId="5D6218A5" w14:textId="64274668" w:rsidR="008C3809" w:rsidRPr="008C3809" w:rsidRDefault="008C3809" w:rsidP="00F07D8A">
            <w:pPr>
              <w:spacing w:before="40" w:after="40"/>
              <w:jc w:val="center"/>
              <w:rPr>
                <w:b/>
                <w:bCs/>
                <w:sz w:val="20"/>
                <w:lang w:val="ru-RU"/>
              </w:rPr>
            </w:pPr>
            <w:r w:rsidRPr="008C3809">
              <w:rPr>
                <w:b/>
                <w:bCs/>
                <w:color w:val="000000"/>
                <w:sz w:val="20"/>
                <w:lang w:val="ru-RU"/>
              </w:rPr>
              <w:t xml:space="preserve">Проект новой Рекомендации МСЭ-Т </w:t>
            </w:r>
            <w:r w:rsidR="000E68D6" w:rsidRPr="000E68D6">
              <w:rPr>
                <w:b/>
                <w:bCs/>
                <w:sz w:val="20"/>
                <w:lang w:val="ru-RU"/>
              </w:rPr>
              <w:t xml:space="preserve">X.1607 </w:t>
            </w:r>
            <w:r w:rsidR="000E1D42">
              <w:rPr>
                <w:b/>
                <w:bCs/>
                <w:sz w:val="20"/>
                <w:lang w:val="ru-RU"/>
              </w:rPr>
              <w:t xml:space="preserve">(ранее − </w:t>
            </w:r>
            <w:r w:rsidR="000E68D6" w:rsidRPr="000E68D6">
              <w:rPr>
                <w:b/>
                <w:bCs/>
                <w:sz w:val="20"/>
                <w:lang w:val="ru-RU"/>
              </w:rPr>
              <w:t>X.asm-cc)</w:t>
            </w:r>
          </w:p>
        </w:tc>
        <w:tc>
          <w:tcPr>
            <w:tcW w:w="7377" w:type="dxa"/>
            <w:tcBorders>
              <w:top w:val="single" w:sz="4" w:space="0" w:color="auto"/>
              <w:left w:val="single" w:sz="4" w:space="0" w:color="auto"/>
              <w:bottom w:val="single" w:sz="4" w:space="0" w:color="auto"/>
              <w:right w:val="single" w:sz="4" w:space="0" w:color="auto"/>
            </w:tcBorders>
            <w:vAlign w:val="center"/>
          </w:tcPr>
          <w:p w14:paraId="17585D64" w14:textId="6DF5F638" w:rsidR="008C3809" w:rsidRPr="0080257B" w:rsidRDefault="00BF5108" w:rsidP="00F07D8A">
            <w:pPr>
              <w:tabs>
                <w:tab w:val="clear" w:pos="794"/>
                <w:tab w:val="clear" w:pos="1191"/>
                <w:tab w:val="clear" w:pos="1588"/>
                <w:tab w:val="clear" w:pos="1985"/>
              </w:tabs>
              <w:overflowPunct/>
              <w:autoSpaceDE/>
              <w:autoSpaceDN/>
              <w:adjustRightInd/>
              <w:spacing w:before="40" w:after="40"/>
              <w:ind w:left="459" w:hanging="459"/>
              <w:textAlignment w:val="auto"/>
              <w:rPr>
                <w:sz w:val="20"/>
                <w:lang w:val="ru-RU"/>
              </w:rPr>
            </w:pPr>
            <w:sdt>
              <w:sdtPr>
                <w:rPr>
                  <w:sz w:val="30"/>
                  <w:szCs w:val="30"/>
                  <w:lang w:val="ru-RU"/>
                </w:rPr>
                <w:id w:val="216947859"/>
                <w14:checkbox>
                  <w14:checked w14:val="0"/>
                  <w14:checkedState w14:val="2612" w14:font="MS Gothic"/>
                  <w14:uncheckedState w14:val="2610" w14:font="MS Gothic"/>
                </w14:checkbox>
              </w:sdtPr>
              <w:sdtEndPr/>
              <w:sdtContent>
                <w:r w:rsidR="005A551D">
                  <w:rPr>
                    <w:rFonts w:ascii="MS Gothic" w:eastAsia="MS Gothic" w:hAnsi="MS Gothic" w:hint="eastAsia"/>
                    <w:sz w:val="30"/>
                    <w:szCs w:val="30"/>
                    <w:lang w:val="ru-RU"/>
                  </w:rPr>
                  <w:t>☐</w:t>
                </w:r>
              </w:sdtContent>
            </w:sdt>
            <w:r w:rsidR="008C3809" w:rsidRPr="0080257B">
              <w:rPr>
                <w:b/>
                <w:bCs/>
                <w:sz w:val="20"/>
                <w:lang w:val="ru-RU"/>
              </w:rPr>
              <w:tab/>
              <w:t>Предоставляет полномочия</w:t>
            </w:r>
            <w:r w:rsidR="008C3809" w:rsidRPr="0080257B">
              <w:rPr>
                <w:sz w:val="20"/>
                <w:lang w:val="ru-RU"/>
              </w:rPr>
              <w:t xml:space="preserve"> </w:t>
            </w:r>
            <w:r w:rsidR="000E68D6">
              <w:rPr>
                <w:sz w:val="20"/>
                <w:lang w:val="ru-RU"/>
              </w:rPr>
              <w:t>17-й</w:t>
            </w:r>
            <w:r w:rsidR="008C3809" w:rsidRPr="0080257B">
              <w:rPr>
                <w:sz w:val="20"/>
                <w:lang w:val="ru-RU"/>
              </w:rPr>
              <w:t xml:space="preserve"> </w:t>
            </w:r>
            <w:r w:rsidR="008C3809">
              <w:rPr>
                <w:sz w:val="20"/>
                <w:lang w:val="ru-RU"/>
              </w:rPr>
              <w:t xml:space="preserve">Исследовательской комиссии МСЭ-Т </w:t>
            </w:r>
            <w:r w:rsidR="008C3809" w:rsidRPr="0080257B">
              <w:rPr>
                <w:sz w:val="20"/>
                <w:lang w:val="ru-RU"/>
              </w:rPr>
              <w:t>для рассмотрения этого текста с целью его утверждения (в этом случае выбрать один из двух вариантов):</w:t>
            </w:r>
          </w:p>
          <w:p w14:paraId="34038AF0" w14:textId="77777777" w:rsidR="008C3809" w:rsidRPr="0080257B" w:rsidRDefault="00BF5108" w:rsidP="00F07D8A">
            <w:pPr>
              <w:tabs>
                <w:tab w:val="clear" w:pos="794"/>
                <w:tab w:val="clear" w:pos="1191"/>
                <w:tab w:val="clear" w:pos="1588"/>
                <w:tab w:val="clear" w:pos="1985"/>
              </w:tabs>
              <w:overflowPunct/>
              <w:autoSpaceDE/>
              <w:autoSpaceDN/>
              <w:adjustRightInd/>
              <w:spacing w:before="40" w:after="40"/>
              <w:ind w:left="939" w:hanging="459"/>
              <w:textAlignment w:val="auto"/>
              <w:rPr>
                <w:sz w:val="20"/>
                <w:lang w:val="ru-RU"/>
              </w:rPr>
            </w:pPr>
            <w:sdt>
              <w:sdtPr>
                <w:rPr>
                  <w:sz w:val="30"/>
                  <w:szCs w:val="30"/>
                  <w:lang w:val="ru-RU"/>
                </w:rPr>
                <w:id w:val="-1099407850"/>
                <w14:checkbox>
                  <w14:checked w14:val="0"/>
                  <w14:checkedState w14:val="2612" w14:font="MS Gothic"/>
                  <w14:uncheckedState w14:val="2610" w14:font="MS Gothic"/>
                </w14:checkbox>
              </w:sdtPr>
              <w:sdtEndPr/>
              <w:sdtContent>
                <w:r w:rsidR="008C3809" w:rsidRPr="0080257B">
                  <w:rPr>
                    <w:rFonts w:ascii="MS Gothic" w:eastAsia="MS Gothic" w:hAnsi="MS Gothic"/>
                    <w:sz w:val="30"/>
                    <w:szCs w:val="30"/>
                    <w:lang w:val="ru-RU"/>
                  </w:rPr>
                  <w:t>☐</w:t>
                </w:r>
              </w:sdtContent>
            </w:sdt>
            <w:r w:rsidR="008C3809" w:rsidRPr="0080257B">
              <w:rPr>
                <w:sz w:val="20"/>
                <w:lang w:val="ru-RU"/>
              </w:rPr>
              <w:tab/>
              <w:t>Замечания или предлагаемые изменения отсутствуют</w:t>
            </w:r>
          </w:p>
          <w:p w14:paraId="06F5E937" w14:textId="77777777" w:rsidR="008C3809" w:rsidRPr="0080257B" w:rsidRDefault="00BF5108" w:rsidP="00F07D8A">
            <w:pPr>
              <w:tabs>
                <w:tab w:val="clear" w:pos="794"/>
                <w:tab w:val="clear" w:pos="1191"/>
                <w:tab w:val="clear" w:pos="1588"/>
                <w:tab w:val="clear" w:pos="1985"/>
              </w:tabs>
              <w:overflowPunct/>
              <w:autoSpaceDE/>
              <w:autoSpaceDN/>
              <w:adjustRightInd/>
              <w:spacing w:before="40" w:after="40"/>
              <w:ind w:left="939" w:hanging="459"/>
              <w:textAlignment w:val="auto"/>
              <w:rPr>
                <w:sz w:val="20"/>
                <w:lang w:val="ru-RU"/>
              </w:rPr>
            </w:pPr>
            <w:sdt>
              <w:sdtPr>
                <w:rPr>
                  <w:sz w:val="30"/>
                  <w:szCs w:val="30"/>
                  <w:lang w:val="ru-RU"/>
                </w:rPr>
                <w:id w:val="-1100493400"/>
                <w14:checkbox>
                  <w14:checked w14:val="0"/>
                  <w14:checkedState w14:val="2612" w14:font="MS Gothic"/>
                  <w14:uncheckedState w14:val="2610" w14:font="MS Gothic"/>
                </w14:checkbox>
              </w:sdtPr>
              <w:sdtEndPr/>
              <w:sdtContent>
                <w:r w:rsidR="008C3809" w:rsidRPr="0080257B">
                  <w:rPr>
                    <w:rFonts w:ascii="MS Gothic" w:eastAsia="MS Gothic" w:hAnsi="MS Gothic"/>
                    <w:sz w:val="30"/>
                    <w:szCs w:val="30"/>
                    <w:lang w:val="ru-RU"/>
                  </w:rPr>
                  <w:t>☐</w:t>
                </w:r>
              </w:sdtContent>
            </w:sdt>
            <w:r w:rsidR="008C3809" w:rsidRPr="0080257B">
              <w:rPr>
                <w:sz w:val="20"/>
                <w:lang w:val="ru-RU"/>
              </w:rPr>
              <w:tab/>
              <w:t>Замечания и предлагаемые изменения прилагаются</w:t>
            </w:r>
          </w:p>
        </w:tc>
      </w:tr>
      <w:tr w:rsidR="008C3809" w:rsidRPr="00C53C88" w14:paraId="6BF95312" w14:textId="77777777" w:rsidTr="00F07D8A">
        <w:trPr>
          <w:cantSplit/>
          <w:trHeight w:val="748"/>
        </w:trPr>
        <w:tc>
          <w:tcPr>
            <w:tcW w:w="2249" w:type="dxa"/>
            <w:vMerge/>
            <w:tcBorders>
              <w:left w:val="single" w:sz="4" w:space="0" w:color="auto"/>
              <w:right w:val="single" w:sz="4" w:space="0" w:color="auto"/>
            </w:tcBorders>
            <w:vAlign w:val="center"/>
          </w:tcPr>
          <w:p w14:paraId="688D58B1" w14:textId="77777777" w:rsidR="008C3809" w:rsidRPr="008C3809" w:rsidRDefault="008C3809" w:rsidP="00F07D8A">
            <w:pPr>
              <w:spacing w:before="40" w:after="40"/>
              <w:jc w:val="center"/>
              <w:rPr>
                <w:b/>
                <w:bCs/>
                <w:sz w:val="20"/>
                <w:lang w:val="ru-RU"/>
              </w:rPr>
            </w:pPr>
          </w:p>
        </w:tc>
        <w:tc>
          <w:tcPr>
            <w:tcW w:w="7377" w:type="dxa"/>
            <w:tcBorders>
              <w:top w:val="single" w:sz="4" w:space="0" w:color="auto"/>
              <w:left w:val="single" w:sz="4" w:space="0" w:color="auto"/>
              <w:bottom w:val="single" w:sz="4" w:space="0" w:color="auto"/>
              <w:right w:val="single" w:sz="4" w:space="0" w:color="auto"/>
            </w:tcBorders>
            <w:vAlign w:val="center"/>
          </w:tcPr>
          <w:p w14:paraId="1190682D" w14:textId="187E8769" w:rsidR="008C3809" w:rsidRPr="0080257B" w:rsidRDefault="00BF5108" w:rsidP="00F07D8A">
            <w:pPr>
              <w:tabs>
                <w:tab w:val="clear" w:pos="794"/>
                <w:tab w:val="clear" w:pos="1191"/>
                <w:tab w:val="clear" w:pos="1588"/>
                <w:tab w:val="clear" w:pos="1985"/>
              </w:tabs>
              <w:overflowPunct/>
              <w:autoSpaceDE/>
              <w:autoSpaceDN/>
              <w:adjustRightInd/>
              <w:spacing w:before="40" w:after="40"/>
              <w:ind w:left="459" w:hanging="459"/>
              <w:textAlignment w:val="auto"/>
              <w:rPr>
                <w:sz w:val="20"/>
                <w:lang w:val="ru-RU"/>
              </w:rPr>
            </w:pPr>
            <w:sdt>
              <w:sdtPr>
                <w:rPr>
                  <w:sz w:val="30"/>
                  <w:szCs w:val="30"/>
                  <w:lang w:val="ru-RU"/>
                </w:rPr>
                <w:id w:val="383295596"/>
                <w14:checkbox>
                  <w14:checked w14:val="0"/>
                  <w14:checkedState w14:val="2612" w14:font="MS Gothic"/>
                  <w14:uncheckedState w14:val="2610" w14:font="MS Gothic"/>
                </w14:checkbox>
              </w:sdtPr>
              <w:sdtEndPr/>
              <w:sdtContent>
                <w:r w:rsidR="008C3809" w:rsidRPr="0080257B">
                  <w:rPr>
                    <w:rFonts w:ascii="MS Gothic" w:eastAsia="MS Gothic" w:hAnsi="MS Gothic"/>
                    <w:sz w:val="30"/>
                    <w:szCs w:val="30"/>
                    <w:lang w:val="ru-RU"/>
                  </w:rPr>
                  <w:t>☐</w:t>
                </w:r>
              </w:sdtContent>
            </w:sdt>
            <w:r w:rsidR="008C3809" w:rsidRPr="0080257B">
              <w:rPr>
                <w:sz w:val="20"/>
                <w:lang w:val="ru-RU"/>
              </w:rPr>
              <w:tab/>
            </w:r>
            <w:r w:rsidR="008C3809" w:rsidRPr="0080257B">
              <w:rPr>
                <w:b/>
                <w:bCs/>
                <w:sz w:val="20"/>
                <w:lang w:val="ru-RU"/>
              </w:rPr>
              <w:t>Не предоставляет полномочий</w:t>
            </w:r>
            <w:r w:rsidR="008C3809" w:rsidRPr="0080257B">
              <w:rPr>
                <w:sz w:val="20"/>
                <w:lang w:val="ru-RU"/>
              </w:rPr>
              <w:t xml:space="preserve"> </w:t>
            </w:r>
            <w:r w:rsidR="000E68D6">
              <w:rPr>
                <w:sz w:val="20"/>
                <w:lang w:val="ru-RU"/>
              </w:rPr>
              <w:t>17-й</w:t>
            </w:r>
            <w:r w:rsidR="008C3809" w:rsidRPr="0080257B">
              <w:rPr>
                <w:sz w:val="20"/>
                <w:lang w:val="ru-RU"/>
              </w:rPr>
              <w:t xml:space="preserve"> </w:t>
            </w:r>
            <w:r w:rsidR="008C3809">
              <w:rPr>
                <w:sz w:val="20"/>
                <w:lang w:val="ru-RU"/>
              </w:rPr>
              <w:t>Исследовательской комиссии МСЭ-Т</w:t>
            </w:r>
            <w:r w:rsidR="008C3809" w:rsidRPr="0080257B">
              <w:rPr>
                <w:sz w:val="20"/>
                <w:lang w:val="ru-RU"/>
              </w:rPr>
              <w:t xml:space="preserve"> для рассмотрения этого текста с целью его утверждения (причины этого мнения и возможные изменения, которые могли бы способствовать продолжению работы, прилагаются)</w:t>
            </w:r>
          </w:p>
        </w:tc>
      </w:tr>
      <w:tr w:rsidR="008C3809" w:rsidRPr="00C53C88" w14:paraId="1CCF64D8" w14:textId="77777777" w:rsidTr="00F07D8A">
        <w:trPr>
          <w:cantSplit/>
          <w:trHeight w:val="748"/>
        </w:trPr>
        <w:tc>
          <w:tcPr>
            <w:tcW w:w="2249" w:type="dxa"/>
            <w:vMerge w:val="restart"/>
            <w:tcBorders>
              <w:top w:val="single" w:sz="4" w:space="0" w:color="auto"/>
              <w:left w:val="single" w:sz="4" w:space="0" w:color="auto"/>
              <w:right w:val="single" w:sz="4" w:space="0" w:color="auto"/>
            </w:tcBorders>
            <w:vAlign w:val="center"/>
          </w:tcPr>
          <w:p w14:paraId="35E37195" w14:textId="097C82AB" w:rsidR="008C3809" w:rsidRPr="008C3809" w:rsidRDefault="008C3809" w:rsidP="00F07D8A">
            <w:pPr>
              <w:spacing w:before="40" w:after="40"/>
              <w:jc w:val="center"/>
              <w:rPr>
                <w:b/>
                <w:bCs/>
                <w:sz w:val="20"/>
                <w:lang w:val="ru-RU"/>
              </w:rPr>
            </w:pPr>
            <w:r w:rsidRPr="008C3809">
              <w:rPr>
                <w:b/>
                <w:bCs/>
                <w:color w:val="000000"/>
                <w:sz w:val="20"/>
                <w:lang w:val="ru-RU"/>
              </w:rPr>
              <w:t xml:space="preserve">Проект новой Рекомендации МСЭ-Т </w:t>
            </w:r>
            <w:r w:rsidR="000E68D6" w:rsidRPr="000E68D6">
              <w:rPr>
                <w:b/>
                <w:bCs/>
                <w:sz w:val="20"/>
                <w:lang w:val="ru-RU"/>
              </w:rPr>
              <w:t xml:space="preserve">X.1418 </w:t>
            </w:r>
            <w:r w:rsidR="000E1D42">
              <w:rPr>
                <w:b/>
                <w:bCs/>
                <w:sz w:val="20"/>
                <w:lang w:val="ru-RU"/>
              </w:rPr>
              <w:t xml:space="preserve">(ранее − </w:t>
            </w:r>
            <w:r w:rsidR="000E68D6" w:rsidRPr="000E68D6">
              <w:rPr>
                <w:b/>
                <w:bCs/>
                <w:sz w:val="20"/>
                <w:lang w:val="ru-RU"/>
              </w:rPr>
              <w:t>X.sg-dcs)</w:t>
            </w:r>
          </w:p>
        </w:tc>
        <w:tc>
          <w:tcPr>
            <w:tcW w:w="7377" w:type="dxa"/>
            <w:tcBorders>
              <w:top w:val="single" w:sz="4" w:space="0" w:color="auto"/>
              <w:left w:val="single" w:sz="4" w:space="0" w:color="auto"/>
              <w:bottom w:val="single" w:sz="4" w:space="0" w:color="auto"/>
              <w:right w:val="single" w:sz="4" w:space="0" w:color="auto"/>
            </w:tcBorders>
            <w:vAlign w:val="center"/>
          </w:tcPr>
          <w:p w14:paraId="71893007" w14:textId="0D547C26" w:rsidR="008C3809" w:rsidRPr="0080257B" w:rsidRDefault="00BF5108" w:rsidP="00F07D8A">
            <w:pPr>
              <w:tabs>
                <w:tab w:val="clear" w:pos="794"/>
                <w:tab w:val="clear" w:pos="1191"/>
                <w:tab w:val="clear" w:pos="1588"/>
                <w:tab w:val="clear" w:pos="1985"/>
              </w:tabs>
              <w:overflowPunct/>
              <w:autoSpaceDE/>
              <w:autoSpaceDN/>
              <w:adjustRightInd/>
              <w:spacing w:before="40" w:after="40"/>
              <w:ind w:left="459" w:hanging="459"/>
              <w:textAlignment w:val="auto"/>
              <w:rPr>
                <w:sz w:val="20"/>
                <w:lang w:val="ru-RU"/>
              </w:rPr>
            </w:pPr>
            <w:sdt>
              <w:sdtPr>
                <w:rPr>
                  <w:sz w:val="30"/>
                  <w:szCs w:val="30"/>
                  <w:lang w:val="ru-RU"/>
                </w:rPr>
                <w:id w:val="-1377233756"/>
                <w14:checkbox>
                  <w14:checked w14:val="0"/>
                  <w14:checkedState w14:val="2612" w14:font="MS Gothic"/>
                  <w14:uncheckedState w14:val="2610" w14:font="MS Gothic"/>
                </w14:checkbox>
              </w:sdtPr>
              <w:sdtEndPr/>
              <w:sdtContent>
                <w:r w:rsidR="008C3809" w:rsidRPr="0080257B">
                  <w:rPr>
                    <w:rFonts w:ascii="MS Gothic" w:eastAsia="MS Gothic" w:hAnsi="MS Gothic"/>
                    <w:sz w:val="30"/>
                    <w:szCs w:val="30"/>
                    <w:lang w:val="ru-RU"/>
                  </w:rPr>
                  <w:t>☐</w:t>
                </w:r>
              </w:sdtContent>
            </w:sdt>
            <w:r w:rsidR="008C3809" w:rsidRPr="0080257B">
              <w:rPr>
                <w:b/>
                <w:bCs/>
                <w:sz w:val="20"/>
                <w:lang w:val="ru-RU"/>
              </w:rPr>
              <w:tab/>
              <w:t>Предоставляет полномочия</w:t>
            </w:r>
            <w:r w:rsidR="008C3809" w:rsidRPr="0080257B">
              <w:rPr>
                <w:sz w:val="20"/>
                <w:lang w:val="ru-RU"/>
              </w:rPr>
              <w:t xml:space="preserve"> </w:t>
            </w:r>
            <w:r w:rsidR="000E68D6">
              <w:rPr>
                <w:sz w:val="20"/>
                <w:lang w:val="ru-RU"/>
              </w:rPr>
              <w:t>17-й</w:t>
            </w:r>
            <w:r w:rsidR="008C3809" w:rsidRPr="0080257B">
              <w:rPr>
                <w:sz w:val="20"/>
                <w:lang w:val="ru-RU"/>
              </w:rPr>
              <w:t xml:space="preserve"> </w:t>
            </w:r>
            <w:r w:rsidR="008C3809">
              <w:rPr>
                <w:sz w:val="20"/>
                <w:lang w:val="ru-RU"/>
              </w:rPr>
              <w:t xml:space="preserve">Исследовательской комиссии МСЭ-Т </w:t>
            </w:r>
            <w:r w:rsidR="008C3809" w:rsidRPr="0080257B">
              <w:rPr>
                <w:sz w:val="20"/>
                <w:lang w:val="ru-RU"/>
              </w:rPr>
              <w:t>для рассмотрения этого текста с целью его утверждения (в этом случае выбрать один из двух вариантов):</w:t>
            </w:r>
          </w:p>
          <w:p w14:paraId="370460A6" w14:textId="77777777" w:rsidR="008C3809" w:rsidRPr="0080257B" w:rsidRDefault="00BF5108" w:rsidP="00F07D8A">
            <w:pPr>
              <w:tabs>
                <w:tab w:val="clear" w:pos="794"/>
                <w:tab w:val="clear" w:pos="1191"/>
                <w:tab w:val="clear" w:pos="1588"/>
                <w:tab w:val="clear" w:pos="1985"/>
              </w:tabs>
              <w:overflowPunct/>
              <w:autoSpaceDE/>
              <w:autoSpaceDN/>
              <w:adjustRightInd/>
              <w:spacing w:before="40" w:after="40"/>
              <w:ind w:left="939" w:hanging="459"/>
              <w:textAlignment w:val="auto"/>
              <w:rPr>
                <w:sz w:val="20"/>
                <w:lang w:val="ru-RU"/>
              </w:rPr>
            </w:pPr>
            <w:sdt>
              <w:sdtPr>
                <w:rPr>
                  <w:sz w:val="30"/>
                  <w:szCs w:val="30"/>
                  <w:lang w:val="ru-RU"/>
                </w:rPr>
                <w:id w:val="389235172"/>
                <w14:checkbox>
                  <w14:checked w14:val="0"/>
                  <w14:checkedState w14:val="2612" w14:font="MS Gothic"/>
                  <w14:uncheckedState w14:val="2610" w14:font="MS Gothic"/>
                </w14:checkbox>
              </w:sdtPr>
              <w:sdtEndPr/>
              <w:sdtContent>
                <w:r w:rsidR="008C3809" w:rsidRPr="0080257B">
                  <w:rPr>
                    <w:rFonts w:ascii="MS Gothic" w:eastAsia="MS Gothic" w:hAnsi="MS Gothic"/>
                    <w:sz w:val="30"/>
                    <w:szCs w:val="30"/>
                    <w:lang w:val="ru-RU"/>
                  </w:rPr>
                  <w:t>☐</w:t>
                </w:r>
              </w:sdtContent>
            </w:sdt>
            <w:r w:rsidR="008C3809" w:rsidRPr="0080257B">
              <w:rPr>
                <w:sz w:val="20"/>
                <w:lang w:val="ru-RU"/>
              </w:rPr>
              <w:tab/>
              <w:t>Замечания или предлагаемые изменения отсутствуют</w:t>
            </w:r>
          </w:p>
          <w:p w14:paraId="3DFC8D8E" w14:textId="77777777" w:rsidR="008C3809" w:rsidRPr="0080257B" w:rsidRDefault="00BF5108" w:rsidP="00F07D8A">
            <w:pPr>
              <w:tabs>
                <w:tab w:val="clear" w:pos="794"/>
                <w:tab w:val="clear" w:pos="1191"/>
                <w:tab w:val="clear" w:pos="1588"/>
                <w:tab w:val="clear" w:pos="1985"/>
              </w:tabs>
              <w:overflowPunct/>
              <w:autoSpaceDE/>
              <w:autoSpaceDN/>
              <w:adjustRightInd/>
              <w:spacing w:before="40" w:after="40"/>
              <w:ind w:left="939" w:hanging="459"/>
              <w:textAlignment w:val="auto"/>
              <w:rPr>
                <w:sz w:val="20"/>
                <w:lang w:val="ru-RU"/>
              </w:rPr>
            </w:pPr>
            <w:sdt>
              <w:sdtPr>
                <w:rPr>
                  <w:sz w:val="30"/>
                  <w:szCs w:val="30"/>
                  <w:lang w:val="ru-RU"/>
                </w:rPr>
                <w:id w:val="398713706"/>
                <w14:checkbox>
                  <w14:checked w14:val="0"/>
                  <w14:checkedState w14:val="2612" w14:font="MS Gothic"/>
                  <w14:uncheckedState w14:val="2610" w14:font="MS Gothic"/>
                </w14:checkbox>
              </w:sdtPr>
              <w:sdtEndPr/>
              <w:sdtContent>
                <w:r w:rsidR="008C3809" w:rsidRPr="0080257B">
                  <w:rPr>
                    <w:rFonts w:ascii="MS Gothic" w:eastAsia="MS Gothic" w:hAnsi="MS Gothic"/>
                    <w:sz w:val="30"/>
                    <w:szCs w:val="30"/>
                    <w:lang w:val="ru-RU"/>
                  </w:rPr>
                  <w:t>☐</w:t>
                </w:r>
              </w:sdtContent>
            </w:sdt>
            <w:r w:rsidR="008C3809" w:rsidRPr="0080257B">
              <w:rPr>
                <w:sz w:val="20"/>
                <w:lang w:val="ru-RU"/>
              </w:rPr>
              <w:tab/>
              <w:t>Замечания и предлагаемые изменения прилагаются</w:t>
            </w:r>
          </w:p>
        </w:tc>
      </w:tr>
      <w:tr w:rsidR="008C3809" w:rsidRPr="00C53C88" w14:paraId="5325B3EA" w14:textId="77777777" w:rsidTr="00F07D8A">
        <w:trPr>
          <w:cantSplit/>
          <w:trHeight w:val="748"/>
        </w:trPr>
        <w:tc>
          <w:tcPr>
            <w:tcW w:w="2249" w:type="dxa"/>
            <w:vMerge/>
            <w:tcBorders>
              <w:left w:val="single" w:sz="4" w:space="0" w:color="auto"/>
              <w:right w:val="single" w:sz="4" w:space="0" w:color="auto"/>
            </w:tcBorders>
            <w:vAlign w:val="center"/>
          </w:tcPr>
          <w:p w14:paraId="5B5C674B" w14:textId="77777777" w:rsidR="008C3809" w:rsidRPr="008C3809" w:rsidRDefault="008C3809" w:rsidP="00F07D8A">
            <w:pPr>
              <w:spacing w:before="40" w:after="40"/>
              <w:jc w:val="center"/>
              <w:rPr>
                <w:b/>
                <w:bCs/>
                <w:sz w:val="20"/>
                <w:lang w:val="ru-RU"/>
              </w:rPr>
            </w:pPr>
          </w:p>
        </w:tc>
        <w:tc>
          <w:tcPr>
            <w:tcW w:w="7377" w:type="dxa"/>
            <w:tcBorders>
              <w:top w:val="single" w:sz="4" w:space="0" w:color="auto"/>
              <w:left w:val="single" w:sz="4" w:space="0" w:color="auto"/>
              <w:bottom w:val="single" w:sz="4" w:space="0" w:color="auto"/>
              <w:right w:val="single" w:sz="4" w:space="0" w:color="auto"/>
            </w:tcBorders>
            <w:vAlign w:val="center"/>
          </w:tcPr>
          <w:p w14:paraId="02F38443" w14:textId="087FF37E" w:rsidR="008C3809" w:rsidRPr="0080257B" w:rsidRDefault="00BF5108" w:rsidP="00F07D8A">
            <w:pPr>
              <w:tabs>
                <w:tab w:val="clear" w:pos="794"/>
                <w:tab w:val="clear" w:pos="1191"/>
                <w:tab w:val="clear" w:pos="1588"/>
                <w:tab w:val="clear" w:pos="1985"/>
              </w:tabs>
              <w:overflowPunct/>
              <w:autoSpaceDE/>
              <w:autoSpaceDN/>
              <w:adjustRightInd/>
              <w:spacing w:before="40" w:after="40"/>
              <w:ind w:left="459" w:hanging="459"/>
              <w:textAlignment w:val="auto"/>
              <w:rPr>
                <w:sz w:val="20"/>
                <w:lang w:val="ru-RU"/>
              </w:rPr>
            </w:pPr>
            <w:sdt>
              <w:sdtPr>
                <w:rPr>
                  <w:sz w:val="30"/>
                  <w:szCs w:val="30"/>
                  <w:lang w:val="ru-RU"/>
                </w:rPr>
                <w:id w:val="-712661352"/>
                <w14:checkbox>
                  <w14:checked w14:val="0"/>
                  <w14:checkedState w14:val="2612" w14:font="MS Gothic"/>
                  <w14:uncheckedState w14:val="2610" w14:font="MS Gothic"/>
                </w14:checkbox>
              </w:sdtPr>
              <w:sdtEndPr/>
              <w:sdtContent>
                <w:r w:rsidR="008C3809" w:rsidRPr="0080257B">
                  <w:rPr>
                    <w:rFonts w:ascii="MS Gothic" w:eastAsia="MS Gothic" w:hAnsi="MS Gothic"/>
                    <w:sz w:val="30"/>
                    <w:szCs w:val="30"/>
                    <w:lang w:val="ru-RU"/>
                  </w:rPr>
                  <w:t>☐</w:t>
                </w:r>
              </w:sdtContent>
            </w:sdt>
            <w:r w:rsidR="008C3809" w:rsidRPr="0080257B">
              <w:rPr>
                <w:sz w:val="20"/>
                <w:lang w:val="ru-RU"/>
              </w:rPr>
              <w:tab/>
            </w:r>
            <w:r w:rsidR="008C3809" w:rsidRPr="0080257B">
              <w:rPr>
                <w:b/>
                <w:bCs/>
                <w:sz w:val="20"/>
                <w:lang w:val="ru-RU"/>
              </w:rPr>
              <w:t>Не предоставляет полномочий</w:t>
            </w:r>
            <w:r w:rsidR="008C3809" w:rsidRPr="0080257B">
              <w:rPr>
                <w:sz w:val="20"/>
                <w:lang w:val="ru-RU"/>
              </w:rPr>
              <w:t xml:space="preserve"> </w:t>
            </w:r>
            <w:r w:rsidR="000E68D6">
              <w:rPr>
                <w:sz w:val="20"/>
                <w:lang w:val="ru-RU"/>
              </w:rPr>
              <w:t>17-й</w:t>
            </w:r>
            <w:r w:rsidR="008C3809" w:rsidRPr="0080257B">
              <w:rPr>
                <w:sz w:val="20"/>
                <w:lang w:val="ru-RU"/>
              </w:rPr>
              <w:t xml:space="preserve"> </w:t>
            </w:r>
            <w:r w:rsidR="008C3809">
              <w:rPr>
                <w:sz w:val="20"/>
                <w:lang w:val="ru-RU"/>
              </w:rPr>
              <w:t>Исследовательской комиссии МСЭ-Т</w:t>
            </w:r>
            <w:r w:rsidR="008C3809" w:rsidRPr="0080257B">
              <w:rPr>
                <w:sz w:val="20"/>
                <w:lang w:val="ru-RU"/>
              </w:rPr>
              <w:t xml:space="preserve"> для рассмотрения этого текста с целью его утверждения (причины этого мнения и возможные изменения, которые могли бы способствовать продолжению работы, прилагаются)</w:t>
            </w:r>
          </w:p>
        </w:tc>
      </w:tr>
      <w:tr w:rsidR="000E68D6" w:rsidRPr="00C53C88" w14:paraId="3B0C496D" w14:textId="77777777" w:rsidTr="00F95512">
        <w:trPr>
          <w:cantSplit/>
          <w:trHeight w:val="748"/>
        </w:trPr>
        <w:tc>
          <w:tcPr>
            <w:tcW w:w="2249" w:type="dxa"/>
            <w:vMerge w:val="restart"/>
            <w:tcBorders>
              <w:top w:val="single" w:sz="4" w:space="0" w:color="auto"/>
              <w:left w:val="single" w:sz="4" w:space="0" w:color="auto"/>
              <w:right w:val="single" w:sz="4" w:space="0" w:color="auto"/>
            </w:tcBorders>
            <w:vAlign w:val="center"/>
          </w:tcPr>
          <w:p w14:paraId="2F54D320" w14:textId="06574A29" w:rsidR="000E68D6" w:rsidRPr="008C3809" w:rsidRDefault="000E68D6" w:rsidP="00F95512">
            <w:pPr>
              <w:spacing w:before="40" w:after="40"/>
              <w:jc w:val="center"/>
              <w:rPr>
                <w:b/>
                <w:bCs/>
                <w:sz w:val="20"/>
                <w:lang w:val="ru-RU"/>
              </w:rPr>
            </w:pPr>
            <w:r w:rsidRPr="008C3809">
              <w:rPr>
                <w:b/>
                <w:bCs/>
                <w:color w:val="000000"/>
                <w:sz w:val="20"/>
                <w:lang w:val="ru-RU"/>
              </w:rPr>
              <w:lastRenderedPageBreak/>
              <w:t xml:space="preserve">Проект новой Рекомендации МСЭ-Т </w:t>
            </w:r>
            <w:r w:rsidR="000C0701" w:rsidRPr="000C0701">
              <w:rPr>
                <w:b/>
                <w:bCs/>
                <w:sz w:val="20"/>
                <w:lang w:val="ru-RU"/>
              </w:rPr>
              <w:t xml:space="preserve">X.1417 </w:t>
            </w:r>
            <w:r w:rsidR="000E1D42">
              <w:rPr>
                <w:b/>
                <w:bCs/>
                <w:sz w:val="20"/>
                <w:lang w:val="ru-RU"/>
              </w:rPr>
              <w:t xml:space="preserve">(ранее − </w:t>
            </w:r>
            <w:r w:rsidR="000C0701" w:rsidRPr="000C0701">
              <w:rPr>
                <w:b/>
                <w:bCs/>
                <w:sz w:val="20"/>
                <w:lang w:val="ru-RU"/>
              </w:rPr>
              <w:t>X.sr-dpts)</w:t>
            </w:r>
          </w:p>
        </w:tc>
        <w:tc>
          <w:tcPr>
            <w:tcW w:w="7377" w:type="dxa"/>
            <w:tcBorders>
              <w:top w:val="single" w:sz="4" w:space="0" w:color="auto"/>
              <w:left w:val="single" w:sz="4" w:space="0" w:color="auto"/>
              <w:bottom w:val="single" w:sz="4" w:space="0" w:color="auto"/>
              <w:right w:val="single" w:sz="4" w:space="0" w:color="auto"/>
            </w:tcBorders>
            <w:vAlign w:val="center"/>
          </w:tcPr>
          <w:p w14:paraId="64344F3C" w14:textId="77777777" w:rsidR="000E68D6" w:rsidRPr="0080257B" w:rsidRDefault="00BF5108" w:rsidP="00F95512">
            <w:pPr>
              <w:tabs>
                <w:tab w:val="clear" w:pos="794"/>
                <w:tab w:val="clear" w:pos="1191"/>
                <w:tab w:val="clear" w:pos="1588"/>
                <w:tab w:val="clear" w:pos="1985"/>
              </w:tabs>
              <w:overflowPunct/>
              <w:autoSpaceDE/>
              <w:autoSpaceDN/>
              <w:adjustRightInd/>
              <w:spacing w:before="40" w:after="40"/>
              <w:ind w:left="459" w:hanging="459"/>
              <w:textAlignment w:val="auto"/>
              <w:rPr>
                <w:sz w:val="20"/>
                <w:lang w:val="ru-RU"/>
              </w:rPr>
            </w:pPr>
            <w:sdt>
              <w:sdtPr>
                <w:rPr>
                  <w:sz w:val="30"/>
                  <w:szCs w:val="30"/>
                  <w:lang w:val="ru-RU"/>
                </w:rPr>
                <w:id w:val="-149443352"/>
                <w14:checkbox>
                  <w14:checked w14:val="0"/>
                  <w14:checkedState w14:val="2612" w14:font="MS Gothic"/>
                  <w14:uncheckedState w14:val="2610" w14:font="MS Gothic"/>
                </w14:checkbox>
              </w:sdtPr>
              <w:sdtEndPr/>
              <w:sdtContent>
                <w:r w:rsidR="000E68D6" w:rsidRPr="0080257B">
                  <w:rPr>
                    <w:rFonts w:ascii="MS Gothic" w:eastAsia="MS Gothic" w:hAnsi="MS Gothic"/>
                    <w:sz w:val="30"/>
                    <w:szCs w:val="30"/>
                    <w:lang w:val="ru-RU"/>
                  </w:rPr>
                  <w:t>☐</w:t>
                </w:r>
              </w:sdtContent>
            </w:sdt>
            <w:r w:rsidR="000E68D6" w:rsidRPr="0080257B">
              <w:rPr>
                <w:b/>
                <w:bCs/>
                <w:sz w:val="20"/>
                <w:lang w:val="ru-RU"/>
              </w:rPr>
              <w:tab/>
              <w:t>Предоставляет полномочия</w:t>
            </w:r>
            <w:r w:rsidR="000E68D6" w:rsidRPr="0080257B">
              <w:rPr>
                <w:sz w:val="20"/>
                <w:lang w:val="ru-RU"/>
              </w:rPr>
              <w:t xml:space="preserve"> </w:t>
            </w:r>
            <w:r w:rsidR="000E68D6">
              <w:rPr>
                <w:sz w:val="20"/>
                <w:lang w:val="ru-RU"/>
              </w:rPr>
              <w:t>17-й</w:t>
            </w:r>
            <w:r w:rsidR="000E68D6" w:rsidRPr="0080257B">
              <w:rPr>
                <w:sz w:val="20"/>
                <w:lang w:val="ru-RU"/>
              </w:rPr>
              <w:t xml:space="preserve"> </w:t>
            </w:r>
            <w:r w:rsidR="000E68D6">
              <w:rPr>
                <w:sz w:val="20"/>
                <w:lang w:val="ru-RU"/>
              </w:rPr>
              <w:t xml:space="preserve">Исследовательской комиссии МСЭ-Т </w:t>
            </w:r>
            <w:r w:rsidR="000E68D6" w:rsidRPr="0080257B">
              <w:rPr>
                <w:sz w:val="20"/>
                <w:lang w:val="ru-RU"/>
              </w:rPr>
              <w:t>для рассмотрения этого текста с целью его утверждения (в этом случае выбрать один из двух вариантов):</w:t>
            </w:r>
          </w:p>
          <w:p w14:paraId="45D09E1E" w14:textId="77777777" w:rsidR="000E68D6" w:rsidRPr="0080257B" w:rsidRDefault="00BF5108" w:rsidP="00F95512">
            <w:pPr>
              <w:tabs>
                <w:tab w:val="clear" w:pos="794"/>
                <w:tab w:val="clear" w:pos="1191"/>
                <w:tab w:val="clear" w:pos="1588"/>
                <w:tab w:val="clear" w:pos="1985"/>
              </w:tabs>
              <w:overflowPunct/>
              <w:autoSpaceDE/>
              <w:autoSpaceDN/>
              <w:adjustRightInd/>
              <w:spacing w:before="40" w:after="40"/>
              <w:ind w:left="939" w:hanging="459"/>
              <w:textAlignment w:val="auto"/>
              <w:rPr>
                <w:sz w:val="20"/>
                <w:lang w:val="ru-RU"/>
              </w:rPr>
            </w:pPr>
            <w:sdt>
              <w:sdtPr>
                <w:rPr>
                  <w:sz w:val="30"/>
                  <w:szCs w:val="30"/>
                  <w:lang w:val="ru-RU"/>
                </w:rPr>
                <w:id w:val="-1250028980"/>
                <w14:checkbox>
                  <w14:checked w14:val="0"/>
                  <w14:checkedState w14:val="2612" w14:font="MS Gothic"/>
                  <w14:uncheckedState w14:val="2610" w14:font="MS Gothic"/>
                </w14:checkbox>
              </w:sdtPr>
              <w:sdtEndPr/>
              <w:sdtContent>
                <w:r w:rsidR="000E68D6" w:rsidRPr="0080257B">
                  <w:rPr>
                    <w:rFonts w:ascii="MS Gothic" w:eastAsia="MS Gothic" w:hAnsi="MS Gothic"/>
                    <w:sz w:val="30"/>
                    <w:szCs w:val="30"/>
                    <w:lang w:val="ru-RU"/>
                  </w:rPr>
                  <w:t>☐</w:t>
                </w:r>
              </w:sdtContent>
            </w:sdt>
            <w:r w:rsidR="000E68D6" w:rsidRPr="0080257B">
              <w:rPr>
                <w:sz w:val="20"/>
                <w:lang w:val="ru-RU"/>
              </w:rPr>
              <w:tab/>
              <w:t>Замечания или предлагаемые изменения отсутствуют</w:t>
            </w:r>
          </w:p>
          <w:p w14:paraId="6F4EBF42" w14:textId="77777777" w:rsidR="000E68D6" w:rsidRPr="0080257B" w:rsidRDefault="00BF5108" w:rsidP="00F95512">
            <w:pPr>
              <w:tabs>
                <w:tab w:val="clear" w:pos="794"/>
                <w:tab w:val="clear" w:pos="1191"/>
                <w:tab w:val="clear" w:pos="1588"/>
                <w:tab w:val="clear" w:pos="1985"/>
              </w:tabs>
              <w:overflowPunct/>
              <w:autoSpaceDE/>
              <w:autoSpaceDN/>
              <w:adjustRightInd/>
              <w:spacing w:before="40" w:after="40"/>
              <w:ind w:left="939" w:hanging="459"/>
              <w:textAlignment w:val="auto"/>
              <w:rPr>
                <w:sz w:val="20"/>
                <w:lang w:val="ru-RU"/>
              </w:rPr>
            </w:pPr>
            <w:sdt>
              <w:sdtPr>
                <w:rPr>
                  <w:sz w:val="30"/>
                  <w:szCs w:val="30"/>
                  <w:lang w:val="ru-RU"/>
                </w:rPr>
                <w:id w:val="896403471"/>
                <w14:checkbox>
                  <w14:checked w14:val="0"/>
                  <w14:checkedState w14:val="2612" w14:font="MS Gothic"/>
                  <w14:uncheckedState w14:val="2610" w14:font="MS Gothic"/>
                </w14:checkbox>
              </w:sdtPr>
              <w:sdtEndPr/>
              <w:sdtContent>
                <w:r w:rsidR="000E68D6" w:rsidRPr="0080257B">
                  <w:rPr>
                    <w:rFonts w:ascii="MS Gothic" w:eastAsia="MS Gothic" w:hAnsi="MS Gothic"/>
                    <w:sz w:val="30"/>
                    <w:szCs w:val="30"/>
                    <w:lang w:val="ru-RU"/>
                  </w:rPr>
                  <w:t>☐</w:t>
                </w:r>
              </w:sdtContent>
            </w:sdt>
            <w:r w:rsidR="000E68D6" w:rsidRPr="0080257B">
              <w:rPr>
                <w:sz w:val="20"/>
                <w:lang w:val="ru-RU"/>
              </w:rPr>
              <w:tab/>
              <w:t>Замечания и предлагаемые изменения прилагаются</w:t>
            </w:r>
          </w:p>
        </w:tc>
      </w:tr>
      <w:tr w:rsidR="000E68D6" w:rsidRPr="00C53C88" w14:paraId="39285F79" w14:textId="77777777" w:rsidTr="00F95512">
        <w:trPr>
          <w:cantSplit/>
          <w:trHeight w:val="748"/>
        </w:trPr>
        <w:tc>
          <w:tcPr>
            <w:tcW w:w="2249" w:type="dxa"/>
            <w:vMerge/>
            <w:tcBorders>
              <w:left w:val="single" w:sz="4" w:space="0" w:color="auto"/>
              <w:right w:val="single" w:sz="4" w:space="0" w:color="auto"/>
            </w:tcBorders>
            <w:vAlign w:val="center"/>
          </w:tcPr>
          <w:p w14:paraId="6169BD94" w14:textId="77777777" w:rsidR="000E68D6" w:rsidRPr="008C3809" w:rsidRDefault="000E68D6" w:rsidP="00F95512">
            <w:pPr>
              <w:spacing w:before="40" w:after="40"/>
              <w:jc w:val="center"/>
              <w:rPr>
                <w:b/>
                <w:bCs/>
                <w:sz w:val="20"/>
                <w:lang w:val="ru-RU"/>
              </w:rPr>
            </w:pPr>
          </w:p>
        </w:tc>
        <w:tc>
          <w:tcPr>
            <w:tcW w:w="7377" w:type="dxa"/>
            <w:tcBorders>
              <w:top w:val="single" w:sz="4" w:space="0" w:color="auto"/>
              <w:left w:val="single" w:sz="4" w:space="0" w:color="auto"/>
              <w:bottom w:val="single" w:sz="4" w:space="0" w:color="auto"/>
              <w:right w:val="single" w:sz="4" w:space="0" w:color="auto"/>
            </w:tcBorders>
            <w:vAlign w:val="center"/>
          </w:tcPr>
          <w:p w14:paraId="309AAE95" w14:textId="77777777" w:rsidR="000E68D6" w:rsidRPr="0080257B" w:rsidRDefault="00BF5108" w:rsidP="00F95512">
            <w:pPr>
              <w:tabs>
                <w:tab w:val="clear" w:pos="794"/>
                <w:tab w:val="clear" w:pos="1191"/>
                <w:tab w:val="clear" w:pos="1588"/>
                <w:tab w:val="clear" w:pos="1985"/>
              </w:tabs>
              <w:overflowPunct/>
              <w:autoSpaceDE/>
              <w:autoSpaceDN/>
              <w:adjustRightInd/>
              <w:spacing w:before="40" w:after="40"/>
              <w:ind w:left="459" w:hanging="459"/>
              <w:textAlignment w:val="auto"/>
              <w:rPr>
                <w:sz w:val="20"/>
                <w:lang w:val="ru-RU"/>
              </w:rPr>
            </w:pPr>
            <w:sdt>
              <w:sdtPr>
                <w:rPr>
                  <w:sz w:val="30"/>
                  <w:szCs w:val="30"/>
                  <w:lang w:val="ru-RU"/>
                </w:rPr>
                <w:id w:val="1998371411"/>
                <w14:checkbox>
                  <w14:checked w14:val="0"/>
                  <w14:checkedState w14:val="2612" w14:font="MS Gothic"/>
                  <w14:uncheckedState w14:val="2610" w14:font="MS Gothic"/>
                </w14:checkbox>
              </w:sdtPr>
              <w:sdtEndPr/>
              <w:sdtContent>
                <w:r w:rsidR="000E68D6" w:rsidRPr="0080257B">
                  <w:rPr>
                    <w:rFonts w:ascii="MS Gothic" w:eastAsia="MS Gothic" w:hAnsi="MS Gothic"/>
                    <w:sz w:val="30"/>
                    <w:szCs w:val="30"/>
                    <w:lang w:val="ru-RU"/>
                  </w:rPr>
                  <w:t>☐</w:t>
                </w:r>
              </w:sdtContent>
            </w:sdt>
            <w:r w:rsidR="000E68D6" w:rsidRPr="0080257B">
              <w:rPr>
                <w:sz w:val="20"/>
                <w:lang w:val="ru-RU"/>
              </w:rPr>
              <w:tab/>
            </w:r>
            <w:r w:rsidR="000E68D6" w:rsidRPr="0080257B">
              <w:rPr>
                <w:b/>
                <w:bCs/>
                <w:sz w:val="20"/>
                <w:lang w:val="ru-RU"/>
              </w:rPr>
              <w:t>Не предоставляет полномочий</w:t>
            </w:r>
            <w:r w:rsidR="000E68D6" w:rsidRPr="0080257B">
              <w:rPr>
                <w:sz w:val="20"/>
                <w:lang w:val="ru-RU"/>
              </w:rPr>
              <w:t xml:space="preserve"> </w:t>
            </w:r>
            <w:r w:rsidR="000E68D6">
              <w:rPr>
                <w:sz w:val="20"/>
                <w:lang w:val="ru-RU"/>
              </w:rPr>
              <w:t>17-й</w:t>
            </w:r>
            <w:r w:rsidR="000E68D6" w:rsidRPr="0080257B">
              <w:rPr>
                <w:sz w:val="20"/>
                <w:lang w:val="ru-RU"/>
              </w:rPr>
              <w:t xml:space="preserve"> </w:t>
            </w:r>
            <w:r w:rsidR="000E68D6">
              <w:rPr>
                <w:sz w:val="20"/>
                <w:lang w:val="ru-RU"/>
              </w:rPr>
              <w:t>Исследовательской комиссии МСЭ-Т</w:t>
            </w:r>
            <w:r w:rsidR="000E68D6" w:rsidRPr="0080257B">
              <w:rPr>
                <w:sz w:val="20"/>
                <w:lang w:val="ru-RU"/>
              </w:rPr>
              <w:t xml:space="preserve"> для рассмотрения этого текста с целью его утверждения (причины этого мнения и возможные изменения, которые могли бы способствовать продолжению работы, прилагаются)</w:t>
            </w:r>
          </w:p>
        </w:tc>
      </w:tr>
    </w:tbl>
    <w:p w14:paraId="554D5080" w14:textId="14EA1161" w:rsidR="00713D99" w:rsidRPr="0080257B" w:rsidRDefault="00713D99" w:rsidP="00721EE9">
      <w:pPr>
        <w:overflowPunct/>
        <w:autoSpaceDE/>
        <w:autoSpaceDN/>
        <w:adjustRightInd/>
        <w:spacing w:before="240"/>
        <w:textAlignment w:val="auto"/>
        <w:rPr>
          <w:szCs w:val="24"/>
          <w:lang w:val="ru-RU"/>
        </w:rPr>
      </w:pPr>
      <w:r w:rsidRPr="0080257B">
        <w:rPr>
          <w:szCs w:val="24"/>
          <w:lang w:val="ru-RU"/>
        </w:rPr>
        <w:t>С уважением,</w:t>
      </w:r>
    </w:p>
    <w:p w14:paraId="0A882A1E" w14:textId="20899374" w:rsidR="00C62B05" w:rsidRPr="0080257B" w:rsidRDefault="00713D99" w:rsidP="005A551D">
      <w:pPr>
        <w:overflowPunct/>
        <w:autoSpaceDE/>
        <w:autoSpaceDN/>
        <w:adjustRightInd/>
        <w:spacing w:before="360"/>
        <w:textAlignment w:val="auto"/>
        <w:rPr>
          <w:szCs w:val="24"/>
          <w:lang w:val="ru-RU"/>
        </w:rPr>
      </w:pPr>
      <w:r w:rsidRPr="0080257B">
        <w:rPr>
          <w:szCs w:val="24"/>
          <w:highlight w:val="green"/>
          <w:lang w:val="ru-RU"/>
        </w:rPr>
        <w:t>[Фамилия]</w:t>
      </w:r>
      <w:r w:rsidRPr="0080257B">
        <w:rPr>
          <w:szCs w:val="24"/>
          <w:highlight w:val="green"/>
          <w:lang w:val="ru-RU"/>
        </w:rPr>
        <w:br/>
        <w:t>[Официальная должность/титул]</w:t>
      </w:r>
      <w:r w:rsidRPr="0080257B">
        <w:rPr>
          <w:szCs w:val="24"/>
          <w:lang w:val="ru-RU"/>
        </w:rPr>
        <w:br/>
        <w:t xml:space="preserve">Администрация </w:t>
      </w:r>
      <w:r w:rsidRPr="0080257B">
        <w:rPr>
          <w:szCs w:val="24"/>
          <w:highlight w:val="green"/>
          <w:lang w:val="ru-RU"/>
        </w:rPr>
        <w:t>[Государства-Члена]</w:t>
      </w:r>
    </w:p>
    <w:sectPr w:rsidR="00C62B05" w:rsidRPr="0080257B" w:rsidSect="00C0450F">
      <w:headerReference w:type="default" r:id="rId31"/>
      <w:footerReference w:type="first" r:id="rId32"/>
      <w:type w:val="oddPage"/>
      <w:pgSz w:w="11907"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AF487" w14:textId="77777777" w:rsidR="00E14F32" w:rsidRDefault="00E14F32">
      <w:r>
        <w:separator/>
      </w:r>
    </w:p>
  </w:endnote>
  <w:endnote w:type="continuationSeparator" w:id="0">
    <w:p w14:paraId="49224580" w14:textId="77777777" w:rsidR="00E14F32" w:rsidRDefault="00E14F32">
      <w:r>
        <w:continuationSeparator/>
      </w:r>
    </w:p>
  </w:endnote>
  <w:endnote w:type="continuationNotice" w:id="1">
    <w:p w14:paraId="6DC56DBF" w14:textId="77777777" w:rsidR="00E14F32" w:rsidRDefault="00E14F3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Futura Lt BT">
    <w:altName w:val="Arial"/>
    <w:charset w:val="00"/>
    <w:family w:val="swiss"/>
    <w:pitch w:val="variable"/>
    <w:sig w:usb0="00000087" w:usb1="00000000" w:usb2="00000000" w:usb3="00000000" w:csb0="0000001B"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B6B5F" w14:textId="56E552CD" w:rsidR="00FA46A0" w:rsidRPr="000A1295" w:rsidRDefault="004A54F8">
    <w:pPr>
      <w:pStyle w:val="FirstFooter"/>
      <w:ind w:left="-397" w:right="-397"/>
      <w:jc w:val="center"/>
      <w:rPr>
        <w:sz w:val="18"/>
        <w:szCs w:val="18"/>
      </w:rPr>
    </w:pPr>
    <w:r w:rsidRPr="000A1295">
      <w:rPr>
        <w:color w:val="0070C0"/>
        <w:sz w:val="18"/>
        <w:szCs w:val="18"/>
      </w:rPr>
      <w:t>International Telecommunication Union • Place des Nations • CH-1211 Geneva 20 • Switzerland</w:t>
    </w:r>
    <w:r w:rsidRPr="000A1295">
      <w:rPr>
        <w:color w:val="0070C0"/>
        <w:sz w:val="18"/>
        <w:szCs w:val="18"/>
      </w:rPr>
      <w:br/>
    </w:r>
    <w:r w:rsidRPr="000A1295">
      <w:rPr>
        <w:color w:val="0070C0"/>
        <w:sz w:val="18"/>
        <w:szCs w:val="18"/>
        <w:lang w:val="ru-RU"/>
      </w:rPr>
      <w:t>Тел.</w:t>
    </w:r>
    <w:r w:rsidRPr="000A1295">
      <w:rPr>
        <w:color w:val="0070C0"/>
        <w:sz w:val="18"/>
        <w:szCs w:val="18"/>
      </w:rPr>
      <w:t xml:space="preserve">: +41 22 730 5111 • </w:t>
    </w:r>
    <w:r w:rsidRPr="000A1295">
      <w:rPr>
        <w:color w:val="0070C0"/>
        <w:sz w:val="18"/>
        <w:szCs w:val="18"/>
        <w:lang w:val="ru-RU"/>
      </w:rPr>
      <w:t>Факс</w:t>
    </w:r>
    <w:r w:rsidRPr="000A1295">
      <w:rPr>
        <w:color w:val="0070C0"/>
        <w:sz w:val="18"/>
        <w:szCs w:val="18"/>
      </w:rPr>
      <w:t xml:space="preserve">: +41 22 733 7256 • </w:t>
    </w:r>
    <w:r w:rsidRPr="000A1295">
      <w:rPr>
        <w:color w:val="0070C0"/>
        <w:sz w:val="18"/>
        <w:szCs w:val="18"/>
        <w:lang w:val="ru-RU"/>
      </w:rPr>
      <w:t>Эл. почта</w:t>
    </w:r>
    <w:r w:rsidRPr="000A1295">
      <w:rPr>
        <w:color w:val="0070C0"/>
        <w:sz w:val="18"/>
        <w:szCs w:val="18"/>
      </w:rPr>
      <w:t xml:space="preserve">: </w:t>
    </w:r>
    <w:hyperlink r:id="rId1" w:history="1">
      <w:r w:rsidRPr="000A1295">
        <w:rPr>
          <w:rStyle w:val="Hyperlink"/>
          <w:color w:val="0070C0"/>
          <w:sz w:val="18"/>
          <w:szCs w:val="18"/>
        </w:rPr>
        <w:t>itumail@itu.int</w:t>
      </w:r>
    </w:hyperlink>
    <w:r w:rsidRPr="000A1295">
      <w:rPr>
        <w:color w:val="0070C0"/>
        <w:sz w:val="18"/>
        <w:szCs w:val="18"/>
      </w:rPr>
      <w:t xml:space="preserve"> • </w:t>
    </w:r>
    <w:hyperlink r:id="rId2" w:history="1">
      <w:r w:rsidRPr="000A1295">
        <w:rPr>
          <w:rStyle w:val="Hyperlink"/>
          <w:color w:val="0070C0"/>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60FDF" w14:textId="77777777" w:rsidR="00E14F32" w:rsidRDefault="00E14F32">
      <w:r>
        <w:t>____________________</w:t>
      </w:r>
    </w:p>
  </w:footnote>
  <w:footnote w:type="continuationSeparator" w:id="0">
    <w:p w14:paraId="7BB9DA11" w14:textId="77777777" w:rsidR="00E14F32" w:rsidRDefault="00E14F32">
      <w:r>
        <w:continuationSeparator/>
      </w:r>
    </w:p>
  </w:footnote>
  <w:footnote w:type="continuationNotice" w:id="1">
    <w:p w14:paraId="3ECF07EA" w14:textId="77777777" w:rsidR="00E14F32" w:rsidRDefault="00E14F3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648258"/>
      <w:docPartObj>
        <w:docPartGallery w:val="Page Numbers (Top of Page)"/>
        <w:docPartUnique/>
      </w:docPartObj>
    </w:sdtPr>
    <w:sdtEndPr>
      <w:rPr>
        <w:noProof/>
      </w:rPr>
    </w:sdtEndPr>
    <w:sdtContent>
      <w:p w14:paraId="510C5649" w14:textId="546ADB3C" w:rsidR="00982411" w:rsidRDefault="00982411">
        <w:pPr>
          <w:pStyle w:val="Header"/>
        </w:pPr>
        <w:r>
          <w:fldChar w:fldCharType="begin"/>
        </w:r>
        <w:r>
          <w:instrText xml:space="preserve"> PAGE   \* MERGEFORMAT </w:instrText>
        </w:r>
        <w:r>
          <w:fldChar w:fldCharType="separate"/>
        </w:r>
        <w:r>
          <w:rPr>
            <w:noProof/>
          </w:rPr>
          <w:t>2</w:t>
        </w:r>
        <w:r>
          <w:rPr>
            <w:noProof/>
          </w:rPr>
          <w:fldChar w:fldCharType="end"/>
        </w:r>
      </w:p>
    </w:sdtContent>
  </w:sdt>
  <w:p w14:paraId="0E56D3CB" w14:textId="0978F766" w:rsidR="003E38F2" w:rsidRPr="00982411" w:rsidRDefault="00982411" w:rsidP="00414B3C">
    <w:pPr>
      <w:pStyle w:val="Header"/>
      <w:rPr>
        <w:lang w:val="ru-RU"/>
      </w:rPr>
    </w:pPr>
    <w:r>
      <w:rPr>
        <w:lang w:val="ru-RU"/>
      </w:rPr>
      <w:t xml:space="preserve">Циркуляр </w:t>
    </w:r>
    <w:r w:rsidR="004B1392">
      <w:rPr>
        <w:lang w:val="en-US"/>
      </w:rPr>
      <w:t>10</w:t>
    </w:r>
    <w:r w:rsidR="000E68D6">
      <w:rPr>
        <w:lang w:val="ru-RU"/>
      </w:rPr>
      <w:t>4</w:t>
    </w:r>
    <w:r>
      <w:rPr>
        <w:lang w:val="ru-RU"/>
      </w:rPr>
      <w:t xml:space="preserve"> БСЭ</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AC7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5703A"/>
    <w:multiLevelType w:val="hybridMultilevel"/>
    <w:tmpl w:val="871A4FEC"/>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11" w15:restartNumberingAfterBreak="0">
    <w:nsid w:val="0E3705AC"/>
    <w:multiLevelType w:val="hybridMultilevel"/>
    <w:tmpl w:val="63FAD23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0E2915"/>
    <w:multiLevelType w:val="hybridMultilevel"/>
    <w:tmpl w:val="9C085504"/>
    <w:lvl w:ilvl="0" w:tplc="93885BF2">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5A05BAF"/>
    <w:multiLevelType w:val="hybridMultilevel"/>
    <w:tmpl w:val="FF5C25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7026CDF"/>
    <w:multiLevelType w:val="multilevel"/>
    <w:tmpl w:val="DFC41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4B579A"/>
    <w:multiLevelType w:val="hybridMultilevel"/>
    <w:tmpl w:val="018EF066"/>
    <w:lvl w:ilvl="0" w:tplc="5E9CFA56">
      <w:start w:val="1"/>
      <w:numFmt w:val="bullet"/>
      <w:lvlText w:val="-"/>
      <w:lvlJc w:val="left"/>
      <w:pPr>
        <w:ind w:left="10000" w:hanging="360"/>
      </w:pPr>
      <w:rPr>
        <w:rFonts w:ascii="Courier New" w:hAnsi="Courier New" w:hint="default"/>
      </w:rPr>
    </w:lvl>
    <w:lvl w:ilvl="1" w:tplc="08090003" w:tentative="1">
      <w:start w:val="1"/>
      <w:numFmt w:val="bullet"/>
      <w:lvlText w:val="o"/>
      <w:lvlJc w:val="left"/>
      <w:pPr>
        <w:ind w:left="10720" w:hanging="360"/>
      </w:pPr>
      <w:rPr>
        <w:rFonts w:ascii="Courier New" w:hAnsi="Courier New" w:cs="Courier New" w:hint="default"/>
      </w:rPr>
    </w:lvl>
    <w:lvl w:ilvl="2" w:tplc="08090005" w:tentative="1">
      <w:start w:val="1"/>
      <w:numFmt w:val="bullet"/>
      <w:lvlText w:val=""/>
      <w:lvlJc w:val="left"/>
      <w:pPr>
        <w:ind w:left="11440" w:hanging="360"/>
      </w:pPr>
      <w:rPr>
        <w:rFonts w:ascii="Wingdings" w:hAnsi="Wingdings" w:hint="default"/>
      </w:rPr>
    </w:lvl>
    <w:lvl w:ilvl="3" w:tplc="08090001" w:tentative="1">
      <w:start w:val="1"/>
      <w:numFmt w:val="bullet"/>
      <w:lvlText w:val=""/>
      <w:lvlJc w:val="left"/>
      <w:pPr>
        <w:ind w:left="12160" w:hanging="360"/>
      </w:pPr>
      <w:rPr>
        <w:rFonts w:ascii="Symbol" w:hAnsi="Symbol" w:hint="default"/>
      </w:rPr>
    </w:lvl>
    <w:lvl w:ilvl="4" w:tplc="08090003" w:tentative="1">
      <w:start w:val="1"/>
      <w:numFmt w:val="bullet"/>
      <w:lvlText w:val="o"/>
      <w:lvlJc w:val="left"/>
      <w:pPr>
        <w:ind w:left="12880" w:hanging="360"/>
      </w:pPr>
      <w:rPr>
        <w:rFonts w:ascii="Courier New" w:hAnsi="Courier New" w:cs="Courier New" w:hint="default"/>
      </w:rPr>
    </w:lvl>
    <w:lvl w:ilvl="5" w:tplc="08090005" w:tentative="1">
      <w:start w:val="1"/>
      <w:numFmt w:val="bullet"/>
      <w:lvlText w:val=""/>
      <w:lvlJc w:val="left"/>
      <w:pPr>
        <w:ind w:left="13600" w:hanging="360"/>
      </w:pPr>
      <w:rPr>
        <w:rFonts w:ascii="Wingdings" w:hAnsi="Wingdings" w:hint="default"/>
      </w:rPr>
    </w:lvl>
    <w:lvl w:ilvl="6" w:tplc="08090001" w:tentative="1">
      <w:start w:val="1"/>
      <w:numFmt w:val="bullet"/>
      <w:lvlText w:val=""/>
      <w:lvlJc w:val="left"/>
      <w:pPr>
        <w:ind w:left="14320" w:hanging="360"/>
      </w:pPr>
      <w:rPr>
        <w:rFonts w:ascii="Symbol" w:hAnsi="Symbol" w:hint="default"/>
      </w:rPr>
    </w:lvl>
    <w:lvl w:ilvl="7" w:tplc="08090003" w:tentative="1">
      <w:start w:val="1"/>
      <w:numFmt w:val="bullet"/>
      <w:lvlText w:val="o"/>
      <w:lvlJc w:val="left"/>
      <w:pPr>
        <w:ind w:left="15040" w:hanging="360"/>
      </w:pPr>
      <w:rPr>
        <w:rFonts w:ascii="Courier New" w:hAnsi="Courier New" w:cs="Courier New" w:hint="default"/>
      </w:rPr>
    </w:lvl>
    <w:lvl w:ilvl="8" w:tplc="08090005" w:tentative="1">
      <w:start w:val="1"/>
      <w:numFmt w:val="bullet"/>
      <w:lvlText w:val=""/>
      <w:lvlJc w:val="left"/>
      <w:pPr>
        <w:ind w:left="15760" w:hanging="360"/>
      </w:pPr>
      <w:rPr>
        <w:rFonts w:ascii="Wingdings" w:hAnsi="Wingdings" w:hint="default"/>
      </w:rPr>
    </w:lvl>
  </w:abstractNum>
  <w:abstractNum w:abstractNumId="16" w15:restartNumberingAfterBreak="0">
    <w:nsid w:val="207021EE"/>
    <w:multiLevelType w:val="hybridMultilevel"/>
    <w:tmpl w:val="C3645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F32804"/>
    <w:multiLevelType w:val="hybridMultilevel"/>
    <w:tmpl w:val="B0C61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BC11AF"/>
    <w:multiLevelType w:val="hybridMultilevel"/>
    <w:tmpl w:val="BFE68C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AB52A6"/>
    <w:multiLevelType w:val="hybridMultilevel"/>
    <w:tmpl w:val="8BFA83A6"/>
    <w:lvl w:ilvl="0" w:tplc="FBDE1E76">
      <w:start w:val="1"/>
      <w:numFmt w:val="decimal"/>
      <w:lvlText w:val="%1."/>
      <w:lvlJc w:val="left"/>
      <w:pPr>
        <w:ind w:left="3108" w:hanging="360"/>
      </w:pPr>
      <w:rPr>
        <w:rFonts w:asciiTheme="minorHAnsi" w:hAnsiTheme="minorHAnsi" w:cstheme="minorHAnsi" w:hint="default"/>
      </w:rPr>
    </w:lvl>
    <w:lvl w:ilvl="1" w:tplc="08090019" w:tentative="1">
      <w:start w:val="1"/>
      <w:numFmt w:val="lowerLetter"/>
      <w:lvlText w:val="%2."/>
      <w:lvlJc w:val="left"/>
      <w:pPr>
        <w:ind w:left="3828" w:hanging="360"/>
      </w:pPr>
    </w:lvl>
    <w:lvl w:ilvl="2" w:tplc="0809001B" w:tentative="1">
      <w:start w:val="1"/>
      <w:numFmt w:val="lowerRoman"/>
      <w:lvlText w:val="%3."/>
      <w:lvlJc w:val="right"/>
      <w:pPr>
        <w:ind w:left="4548" w:hanging="180"/>
      </w:pPr>
    </w:lvl>
    <w:lvl w:ilvl="3" w:tplc="0809000F" w:tentative="1">
      <w:start w:val="1"/>
      <w:numFmt w:val="decimal"/>
      <w:lvlText w:val="%4."/>
      <w:lvlJc w:val="left"/>
      <w:pPr>
        <w:ind w:left="5268" w:hanging="360"/>
      </w:pPr>
    </w:lvl>
    <w:lvl w:ilvl="4" w:tplc="08090019" w:tentative="1">
      <w:start w:val="1"/>
      <w:numFmt w:val="lowerLetter"/>
      <w:lvlText w:val="%5."/>
      <w:lvlJc w:val="left"/>
      <w:pPr>
        <w:ind w:left="5988" w:hanging="360"/>
      </w:pPr>
    </w:lvl>
    <w:lvl w:ilvl="5" w:tplc="0809001B" w:tentative="1">
      <w:start w:val="1"/>
      <w:numFmt w:val="lowerRoman"/>
      <w:lvlText w:val="%6."/>
      <w:lvlJc w:val="right"/>
      <w:pPr>
        <w:ind w:left="6708" w:hanging="180"/>
      </w:pPr>
    </w:lvl>
    <w:lvl w:ilvl="6" w:tplc="0809000F" w:tentative="1">
      <w:start w:val="1"/>
      <w:numFmt w:val="decimal"/>
      <w:lvlText w:val="%7."/>
      <w:lvlJc w:val="left"/>
      <w:pPr>
        <w:ind w:left="7428" w:hanging="360"/>
      </w:pPr>
    </w:lvl>
    <w:lvl w:ilvl="7" w:tplc="08090019" w:tentative="1">
      <w:start w:val="1"/>
      <w:numFmt w:val="lowerLetter"/>
      <w:lvlText w:val="%8."/>
      <w:lvlJc w:val="left"/>
      <w:pPr>
        <w:ind w:left="8148" w:hanging="360"/>
      </w:pPr>
    </w:lvl>
    <w:lvl w:ilvl="8" w:tplc="0809001B" w:tentative="1">
      <w:start w:val="1"/>
      <w:numFmt w:val="lowerRoman"/>
      <w:lvlText w:val="%9."/>
      <w:lvlJc w:val="right"/>
      <w:pPr>
        <w:ind w:left="8868" w:hanging="180"/>
      </w:pPr>
    </w:lvl>
  </w:abstractNum>
  <w:abstractNum w:abstractNumId="20" w15:restartNumberingAfterBreak="0">
    <w:nsid w:val="4CE818CE"/>
    <w:multiLevelType w:val="hybridMultilevel"/>
    <w:tmpl w:val="DD9E6F70"/>
    <w:lvl w:ilvl="0" w:tplc="0809000F">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002C57"/>
    <w:multiLevelType w:val="multilevel"/>
    <w:tmpl w:val="897266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9F1674"/>
    <w:multiLevelType w:val="multilevel"/>
    <w:tmpl w:val="49465D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7D4613"/>
    <w:multiLevelType w:val="hybridMultilevel"/>
    <w:tmpl w:val="6AF22DAC"/>
    <w:lvl w:ilvl="0" w:tplc="C56EB4F8">
      <w:numFmt w:val="bullet"/>
      <w:lvlText w:val="•"/>
      <w:lvlJc w:val="left"/>
      <w:pPr>
        <w:ind w:left="282" w:hanging="390"/>
      </w:pPr>
      <w:rPr>
        <w:rFonts w:ascii="Calibri" w:eastAsia="Times New Roman" w:hAnsi="Calibri" w:cs="Calibri" w:hint="default"/>
      </w:rPr>
    </w:lvl>
    <w:lvl w:ilvl="1" w:tplc="08090003" w:tentative="1">
      <w:start w:val="1"/>
      <w:numFmt w:val="bullet"/>
      <w:lvlText w:val="o"/>
      <w:lvlJc w:val="left"/>
      <w:pPr>
        <w:ind w:left="972" w:hanging="360"/>
      </w:pPr>
      <w:rPr>
        <w:rFonts w:ascii="Courier New" w:hAnsi="Courier New" w:cs="Courier New" w:hint="default"/>
      </w:rPr>
    </w:lvl>
    <w:lvl w:ilvl="2" w:tplc="08090005" w:tentative="1">
      <w:start w:val="1"/>
      <w:numFmt w:val="bullet"/>
      <w:lvlText w:val=""/>
      <w:lvlJc w:val="left"/>
      <w:pPr>
        <w:ind w:left="1692" w:hanging="360"/>
      </w:pPr>
      <w:rPr>
        <w:rFonts w:ascii="Wingdings" w:hAnsi="Wingdings" w:hint="default"/>
      </w:rPr>
    </w:lvl>
    <w:lvl w:ilvl="3" w:tplc="08090001" w:tentative="1">
      <w:start w:val="1"/>
      <w:numFmt w:val="bullet"/>
      <w:lvlText w:val=""/>
      <w:lvlJc w:val="left"/>
      <w:pPr>
        <w:ind w:left="2412" w:hanging="360"/>
      </w:pPr>
      <w:rPr>
        <w:rFonts w:ascii="Symbol" w:hAnsi="Symbol" w:hint="default"/>
      </w:rPr>
    </w:lvl>
    <w:lvl w:ilvl="4" w:tplc="08090003" w:tentative="1">
      <w:start w:val="1"/>
      <w:numFmt w:val="bullet"/>
      <w:lvlText w:val="o"/>
      <w:lvlJc w:val="left"/>
      <w:pPr>
        <w:ind w:left="3132" w:hanging="360"/>
      </w:pPr>
      <w:rPr>
        <w:rFonts w:ascii="Courier New" w:hAnsi="Courier New" w:cs="Courier New" w:hint="default"/>
      </w:rPr>
    </w:lvl>
    <w:lvl w:ilvl="5" w:tplc="08090005" w:tentative="1">
      <w:start w:val="1"/>
      <w:numFmt w:val="bullet"/>
      <w:lvlText w:val=""/>
      <w:lvlJc w:val="left"/>
      <w:pPr>
        <w:ind w:left="3852" w:hanging="360"/>
      </w:pPr>
      <w:rPr>
        <w:rFonts w:ascii="Wingdings" w:hAnsi="Wingdings" w:hint="default"/>
      </w:rPr>
    </w:lvl>
    <w:lvl w:ilvl="6" w:tplc="08090001" w:tentative="1">
      <w:start w:val="1"/>
      <w:numFmt w:val="bullet"/>
      <w:lvlText w:val=""/>
      <w:lvlJc w:val="left"/>
      <w:pPr>
        <w:ind w:left="4572" w:hanging="360"/>
      </w:pPr>
      <w:rPr>
        <w:rFonts w:ascii="Symbol" w:hAnsi="Symbol" w:hint="default"/>
      </w:rPr>
    </w:lvl>
    <w:lvl w:ilvl="7" w:tplc="08090003" w:tentative="1">
      <w:start w:val="1"/>
      <w:numFmt w:val="bullet"/>
      <w:lvlText w:val="o"/>
      <w:lvlJc w:val="left"/>
      <w:pPr>
        <w:ind w:left="5292" w:hanging="360"/>
      </w:pPr>
      <w:rPr>
        <w:rFonts w:ascii="Courier New" w:hAnsi="Courier New" w:cs="Courier New" w:hint="default"/>
      </w:rPr>
    </w:lvl>
    <w:lvl w:ilvl="8" w:tplc="08090005" w:tentative="1">
      <w:start w:val="1"/>
      <w:numFmt w:val="bullet"/>
      <w:lvlText w:val=""/>
      <w:lvlJc w:val="left"/>
      <w:pPr>
        <w:ind w:left="6012" w:hanging="360"/>
      </w:pPr>
      <w:rPr>
        <w:rFonts w:ascii="Wingdings" w:hAnsi="Wingdings" w:hint="default"/>
      </w:rPr>
    </w:lvl>
  </w:abstractNum>
  <w:abstractNum w:abstractNumId="24" w15:restartNumberingAfterBreak="0">
    <w:nsid w:val="61024433"/>
    <w:multiLevelType w:val="hybridMultilevel"/>
    <w:tmpl w:val="FF5C25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54F14C"/>
    <w:multiLevelType w:val="hybridMultilevel"/>
    <w:tmpl w:val="96EC77A2"/>
    <w:lvl w:ilvl="0" w:tplc="041ACD5C">
      <w:start w:val="1"/>
      <w:numFmt w:val="decimal"/>
      <w:lvlText w:val="%1."/>
      <w:lvlJc w:val="left"/>
      <w:pPr>
        <w:ind w:left="360" w:hanging="360"/>
      </w:pPr>
    </w:lvl>
    <w:lvl w:ilvl="1" w:tplc="FAA04DE2">
      <w:start w:val="1"/>
      <w:numFmt w:val="lowerLetter"/>
      <w:lvlText w:val="%2."/>
      <w:lvlJc w:val="left"/>
      <w:pPr>
        <w:ind w:left="1080" w:hanging="360"/>
      </w:pPr>
    </w:lvl>
    <w:lvl w:ilvl="2" w:tplc="339EB42A">
      <w:start w:val="1"/>
      <w:numFmt w:val="lowerRoman"/>
      <w:lvlText w:val="%3."/>
      <w:lvlJc w:val="right"/>
      <w:pPr>
        <w:ind w:left="1800" w:hanging="180"/>
      </w:pPr>
    </w:lvl>
    <w:lvl w:ilvl="3" w:tplc="576ADAE8">
      <w:start w:val="1"/>
      <w:numFmt w:val="decimal"/>
      <w:lvlText w:val="%4."/>
      <w:lvlJc w:val="left"/>
      <w:pPr>
        <w:ind w:left="2520" w:hanging="360"/>
      </w:pPr>
    </w:lvl>
    <w:lvl w:ilvl="4" w:tplc="73340C22">
      <w:start w:val="1"/>
      <w:numFmt w:val="lowerLetter"/>
      <w:lvlText w:val="%5."/>
      <w:lvlJc w:val="left"/>
      <w:pPr>
        <w:ind w:left="3240" w:hanging="360"/>
      </w:pPr>
    </w:lvl>
    <w:lvl w:ilvl="5" w:tplc="DED2CB92">
      <w:start w:val="1"/>
      <w:numFmt w:val="lowerRoman"/>
      <w:lvlText w:val="%6."/>
      <w:lvlJc w:val="right"/>
      <w:pPr>
        <w:ind w:left="3960" w:hanging="180"/>
      </w:pPr>
    </w:lvl>
    <w:lvl w:ilvl="6" w:tplc="4628F202">
      <w:start w:val="1"/>
      <w:numFmt w:val="decimal"/>
      <w:lvlText w:val="%7."/>
      <w:lvlJc w:val="left"/>
      <w:pPr>
        <w:ind w:left="4680" w:hanging="360"/>
      </w:pPr>
    </w:lvl>
    <w:lvl w:ilvl="7" w:tplc="BA083F2E">
      <w:start w:val="1"/>
      <w:numFmt w:val="lowerLetter"/>
      <w:lvlText w:val="%8."/>
      <w:lvlJc w:val="left"/>
      <w:pPr>
        <w:ind w:left="5400" w:hanging="360"/>
      </w:pPr>
    </w:lvl>
    <w:lvl w:ilvl="8" w:tplc="4DE4824E">
      <w:start w:val="1"/>
      <w:numFmt w:val="lowerRoman"/>
      <w:lvlText w:val="%9."/>
      <w:lvlJc w:val="right"/>
      <w:pPr>
        <w:ind w:left="6120" w:hanging="180"/>
      </w:pPr>
    </w:lvl>
  </w:abstractNum>
  <w:abstractNum w:abstractNumId="26" w15:restartNumberingAfterBreak="0">
    <w:nsid w:val="688C1604"/>
    <w:multiLevelType w:val="multilevel"/>
    <w:tmpl w:val="688C16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8932882"/>
    <w:multiLevelType w:val="hybridMultilevel"/>
    <w:tmpl w:val="4364E1C6"/>
    <w:lvl w:ilvl="0" w:tplc="4B4C0A6A">
      <w:start w:val="1"/>
      <w:numFmt w:val="decimal"/>
      <w:lvlText w:val="%1"/>
      <w:lvlJc w:val="left"/>
      <w:pPr>
        <w:ind w:left="1150" w:hanging="7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6B1E3E"/>
    <w:multiLevelType w:val="hybridMultilevel"/>
    <w:tmpl w:val="54C0B476"/>
    <w:lvl w:ilvl="0" w:tplc="95487B40">
      <w:start w:val="1"/>
      <w:numFmt w:val="decimal"/>
      <w:lvlText w:val="%1"/>
      <w:lvlJc w:val="left"/>
      <w:pPr>
        <w:ind w:left="360" w:hanging="360"/>
      </w:pPr>
      <w:rPr>
        <w:rFonts w:hint="default"/>
      </w:rPr>
    </w:lvl>
    <w:lvl w:ilvl="1" w:tplc="D1A40978" w:tentative="1">
      <w:start w:val="1"/>
      <w:numFmt w:val="lowerLetter"/>
      <w:lvlText w:val="%2."/>
      <w:lvlJc w:val="left"/>
      <w:pPr>
        <w:ind w:left="1440" w:hanging="360"/>
      </w:pPr>
    </w:lvl>
    <w:lvl w:ilvl="2" w:tplc="8E720E1A" w:tentative="1">
      <w:start w:val="1"/>
      <w:numFmt w:val="lowerRoman"/>
      <w:lvlText w:val="%3."/>
      <w:lvlJc w:val="right"/>
      <w:pPr>
        <w:ind w:left="2160" w:hanging="180"/>
      </w:pPr>
    </w:lvl>
    <w:lvl w:ilvl="3" w:tplc="5E5A2390" w:tentative="1">
      <w:start w:val="1"/>
      <w:numFmt w:val="decimal"/>
      <w:lvlText w:val="%4."/>
      <w:lvlJc w:val="left"/>
      <w:pPr>
        <w:ind w:left="2880" w:hanging="360"/>
      </w:pPr>
    </w:lvl>
    <w:lvl w:ilvl="4" w:tplc="D5A0F65A" w:tentative="1">
      <w:start w:val="1"/>
      <w:numFmt w:val="lowerLetter"/>
      <w:lvlText w:val="%5."/>
      <w:lvlJc w:val="left"/>
      <w:pPr>
        <w:ind w:left="3600" w:hanging="360"/>
      </w:pPr>
    </w:lvl>
    <w:lvl w:ilvl="5" w:tplc="772A14C0" w:tentative="1">
      <w:start w:val="1"/>
      <w:numFmt w:val="lowerRoman"/>
      <w:lvlText w:val="%6."/>
      <w:lvlJc w:val="right"/>
      <w:pPr>
        <w:ind w:left="4320" w:hanging="180"/>
      </w:pPr>
    </w:lvl>
    <w:lvl w:ilvl="6" w:tplc="85847FBE" w:tentative="1">
      <w:start w:val="1"/>
      <w:numFmt w:val="decimal"/>
      <w:lvlText w:val="%7."/>
      <w:lvlJc w:val="left"/>
      <w:pPr>
        <w:ind w:left="5040" w:hanging="360"/>
      </w:pPr>
    </w:lvl>
    <w:lvl w:ilvl="7" w:tplc="1A6ACA92" w:tentative="1">
      <w:start w:val="1"/>
      <w:numFmt w:val="lowerLetter"/>
      <w:lvlText w:val="%8."/>
      <w:lvlJc w:val="left"/>
      <w:pPr>
        <w:ind w:left="5760" w:hanging="360"/>
      </w:pPr>
    </w:lvl>
    <w:lvl w:ilvl="8" w:tplc="E5A21D14" w:tentative="1">
      <w:start w:val="1"/>
      <w:numFmt w:val="lowerRoman"/>
      <w:lvlText w:val="%9."/>
      <w:lvlJc w:val="right"/>
      <w:pPr>
        <w:ind w:left="6480" w:hanging="180"/>
      </w:pPr>
    </w:lvl>
  </w:abstractNum>
  <w:abstractNum w:abstractNumId="29" w15:restartNumberingAfterBreak="0">
    <w:nsid w:val="7E16577B"/>
    <w:multiLevelType w:val="hybridMultilevel"/>
    <w:tmpl w:val="99025720"/>
    <w:lvl w:ilvl="0" w:tplc="FFFFFFFF">
      <w:start w:val="1"/>
      <w:numFmt w:val="bullet"/>
      <w:lvlText w:val="-"/>
      <w:lvlJc w:val="left"/>
      <w:pPr>
        <w:ind w:left="1440" w:hanging="360"/>
      </w:pPr>
      <w:rPr>
        <w:rFonts w:ascii="Calibri" w:hAnsi="Calibri"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17534476">
    <w:abstractNumId w:val="9"/>
  </w:num>
  <w:num w:numId="2" w16cid:durableId="850677691">
    <w:abstractNumId w:val="7"/>
  </w:num>
  <w:num w:numId="3" w16cid:durableId="1633250963">
    <w:abstractNumId w:val="6"/>
  </w:num>
  <w:num w:numId="4" w16cid:durableId="784083911">
    <w:abstractNumId w:val="5"/>
  </w:num>
  <w:num w:numId="5" w16cid:durableId="969439980">
    <w:abstractNumId w:val="4"/>
  </w:num>
  <w:num w:numId="6" w16cid:durableId="324210963">
    <w:abstractNumId w:val="8"/>
  </w:num>
  <w:num w:numId="7" w16cid:durableId="716930457">
    <w:abstractNumId w:val="3"/>
  </w:num>
  <w:num w:numId="8" w16cid:durableId="594706383">
    <w:abstractNumId w:val="2"/>
  </w:num>
  <w:num w:numId="9" w16cid:durableId="550073244">
    <w:abstractNumId w:val="1"/>
  </w:num>
  <w:num w:numId="10" w16cid:durableId="247665223">
    <w:abstractNumId w:val="0"/>
  </w:num>
  <w:num w:numId="11" w16cid:durableId="661348449">
    <w:abstractNumId w:val="14"/>
  </w:num>
  <w:num w:numId="12" w16cid:durableId="534386655">
    <w:abstractNumId w:val="21"/>
  </w:num>
  <w:num w:numId="13" w16cid:durableId="259024582">
    <w:abstractNumId w:val="22"/>
  </w:num>
  <w:num w:numId="14" w16cid:durableId="68507006">
    <w:abstractNumId w:val="25"/>
  </w:num>
  <w:num w:numId="15" w16cid:durableId="1523322403">
    <w:abstractNumId w:val="24"/>
  </w:num>
  <w:num w:numId="16" w16cid:durableId="1341545519">
    <w:abstractNumId w:val="11"/>
  </w:num>
  <w:num w:numId="17" w16cid:durableId="663900088">
    <w:abstractNumId w:val="10"/>
  </w:num>
  <w:num w:numId="18" w16cid:durableId="1883980613">
    <w:abstractNumId w:val="23"/>
  </w:num>
  <w:num w:numId="19" w16cid:durableId="1523931048">
    <w:abstractNumId w:val="29"/>
  </w:num>
  <w:num w:numId="20" w16cid:durableId="496574885">
    <w:abstractNumId w:val="13"/>
  </w:num>
  <w:num w:numId="21" w16cid:durableId="241914137">
    <w:abstractNumId w:val="20"/>
  </w:num>
  <w:num w:numId="22" w16cid:durableId="725489192">
    <w:abstractNumId w:val="19"/>
  </w:num>
  <w:num w:numId="23" w16cid:durableId="1985118205">
    <w:abstractNumId w:val="18"/>
  </w:num>
  <w:num w:numId="24" w16cid:durableId="2083986707">
    <w:abstractNumId w:val="16"/>
  </w:num>
  <w:num w:numId="25" w16cid:durableId="1505509332">
    <w:abstractNumId w:val="12"/>
  </w:num>
  <w:num w:numId="26" w16cid:durableId="150218594">
    <w:abstractNumId w:val="15"/>
  </w:num>
  <w:num w:numId="27" w16cid:durableId="942616608">
    <w:abstractNumId w:val="28"/>
  </w:num>
  <w:num w:numId="28" w16cid:durableId="334769545">
    <w:abstractNumId w:val="17"/>
  </w:num>
  <w:num w:numId="29" w16cid:durableId="1559976025">
    <w:abstractNumId w:val="27"/>
  </w:num>
  <w:num w:numId="30" w16cid:durableId="3944757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GB" w:vendorID="64" w:dllVersion="0" w:nlCheck="1" w:checkStyle="0"/>
  <w:activeWritingStyle w:appName="MSWord" w:lang="ru-RU" w:vendorID="64" w:dllVersion="0" w:nlCheck="1" w:checkStyle="0"/>
  <w:activeWritingStyle w:appName="MSWord" w:lang="fr-FR" w:vendorID="64" w:dllVersion="0" w:nlCheck="1" w:checkStyle="0"/>
  <w:activeWritingStyle w:appName="MSWord" w:lang="fr-CH"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63C"/>
    <w:rsid w:val="000018ED"/>
    <w:rsid w:val="00001AAE"/>
    <w:rsid w:val="00002FF2"/>
    <w:rsid w:val="00005494"/>
    <w:rsid w:val="00011DBA"/>
    <w:rsid w:val="00012BD3"/>
    <w:rsid w:val="0001340E"/>
    <w:rsid w:val="00013CE5"/>
    <w:rsid w:val="0001721C"/>
    <w:rsid w:val="000173C4"/>
    <w:rsid w:val="0002285F"/>
    <w:rsid w:val="00022E6B"/>
    <w:rsid w:val="000247AE"/>
    <w:rsid w:val="00026A9A"/>
    <w:rsid w:val="00027795"/>
    <w:rsid w:val="00030121"/>
    <w:rsid w:val="0003097A"/>
    <w:rsid w:val="0003507E"/>
    <w:rsid w:val="000401F5"/>
    <w:rsid w:val="00042566"/>
    <w:rsid w:val="00043883"/>
    <w:rsid w:val="0004490E"/>
    <w:rsid w:val="00046536"/>
    <w:rsid w:val="00051AD0"/>
    <w:rsid w:val="00052F8C"/>
    <w:rsid w:val="000540DE"/>
    <w:rsid w:val="00054F8C"/>
    <w:rsid w:val="00061617"/>
    <w:rsid w:val="0006235E"/>
    <w:rsid w:val="00063797"/>
    <w:rsid w:val="000651B7"/>
    <w:rsid w:val="00065F36"/>
    <w:rsid w:val="00067894"/>
    <w:rsid w:val="00070535"/>
    <w:rsid w:val="00072A8D"/>
    <w:rsid w:val="00073003"/>
    <w:rsid w:val="00073A14"/>
    <w:rsid w:val="00076ACF"/>
    <w:rsid w:val="0008028E"/>
    <w:rsid w:val="00081DB8"/>
    <w:rsid w:val="000839F2"/>
    <w:rsid w:val="00084303"/>
    <w:rsid w:val="00092637"/>
    <w:rsid w:val="00095717"/>
    <w:rsid w:val="000968A5"/>
    <w:rsid w:val="0009789E"/>
    <w:rsid w:val="00097BF0"/>
    <w:rsid w:val="000A062C"/>
    <w:rsid w:val="000A1295"/>
    <w:rsid w:val="000A2556"/>
    <w:rsid w:val="000A4572"/>
    <w:rsid w:val="000A5C92"/>
    <w:rsid w:val="000A6DFC"/>
    <w:rsid w:val="000A72DA"/>
    <w:rsid w:val="000A76FE"/>
    <w:rsid w:val="000B0429"/>
    <w:rsid w:val="000B15C8"/>
    <w:rsid w:val="000B7244"/>
    <w:rsid w:val="000B7C8A"/>
    <w:rsid w:val="000C0281"/>
    <w:rsid w:val="000C0701"/>
    <w:rsid w:val="000C2B0C"/>
    <w:rsid w:val="000C5D8F"/>
    <w:rsid w:val="000D04CE"/>
    <w:rsid w:val="000D32E2"/>
    <w:rsid w:val="000D765E"/>
    <w:rsid w:val="000E1902"/>
    <w:rsid w:val="000E1D42"/>
    <w:rsid w:val="000E53D3"/>
    <w:rsid w:val="000E553A"/>
    <w:rsid w:val="000E68D6"/>
    <w:rsid w:val="000E7DF3"/>
    <w:rsid w:val="000F061C"/>
    <w:rsid w:val="000F0778"/>
    <w:rsid w:val="000F1F7D"/>
    <w:rsid w:val="000F5BC0"/>
    <w:rsid w:val="000F647B"/>
    <w:rsid w:val="000F6B58"/>
    <w:rsid w:val="0010187E"/>
    <w:rsid w:val="001018E1"/>
    <w:rsid w:val="00102A9F"/>
    <w:rsid w:val="00107B38"/>
    <w:rsid w:val="00110FFC"/>
    <w:rsid w:val="00111F93"/>
    <w:rsid w:val="00112F37"/>
    <w:rsid w:val="00115B12"/>
    <w:rsid w:val="001223B6"/>
    <w:rsid w:val="00130580"/>
    <w:rsid w:val="001306A8"/>
    <w:rsid w:val="001307D4"/>
    <w:rsid w:val="001318B1"/>
    <w:rsid w:val="001327C8"/>
    <w:rsid w:val="00132AC6"/>
    <w:rsid w:val="00137359"/>
    <w:rsid w:val="00137F0D"/>
    <w:rsid w:val="00140DD3"/>
    <w:rsid w:val="001446F1"/>
    <w:rsid w:val="001458AB"/>
    <w:rsid w:val="00145CF7"/>
    <w:rsid w:val="00146D4B"/>
    <w:rsid w:val="0014773A"/>
    <w:rsid w:val="00150248"/>
    <w:rsid w:val="00151220"/>
    <w:rsid w:val="00154DC2"/>
    <w:rsid w:val="0015527B"/>
    <w:rsid w:val="0015546B"/>
    <w:rsid w:val="001557D6"/>
    <w:rsid w:val="0016113E"/>
    <w:rsid w:val="00163E7E"/>
    <w:rsid w:val="00164CB5"/>
    <w:rsid w:val="001704FD"/>
    <w:rsid w:val="00170769"/>
    <w:rsid w:val="00171788"/>
    <w:rsid w:val="001734DA"/>
    <w:rsid w:val="001737DD"/>
    <w:rsid w:val="001760F4"/>
    <w:rsid w:val="00180B6E"/>
    <w:rsid w:val="00182A89"/>
    <w:rsid w:val="00184ED5"/>
    <w:rsid w:val="00185491"/>
    <w:rsid w:val="0019179A"/>
    <w:rsid w:val="001954E6"/>
    <w:rsid w:val="00197845"/>
    <w:rsid w:val="001A0C28"/>
    <w:rsid w:val="001A1F24"/>
    <w:rsid w:val="001A20C4"/>
    <w:rsid w:val="001A34EC"/>
    <w:rsid w:val="001A5A94"/>
    <w:rsid w:val="001A5FFC"/>
    <w:rsid w:val="001A6390"/>
    <w:rsid w:val="001A63ED"/>
    <w:rsid w:val="001A65DA"/>
    <w:rsid w:val="001A6FE8"/>
    <w:rsid w:val="001B015A"/>
    <w:rsid w:val="001B21D5"/>
    <w:rsid w:val="001B75AA"/>
    <w:rsid w:val="001C0E50"/>
    <w:rsid w:val="001C1D55"/>
    <w:rsid w:val="001C4776"/>
    <w:rsid w:val="001D06AE"/>
    <w:rsid w:val="001D06DF"/>
    <w:rsid w:val="001D081E"/>
    <w:rsid w:val="001D15F3"/>
    <w:rsid w:val="001D1F0B"/>
    <w:rsid w:val="001D3344"/>
    <w:rsid w:val="001D4208"/>
    <w:rsid w:val="001D6681"/>
    <w:rsid w:val="001D6F2C"/>
    <w:rsid w:val="001E2CDD"/>
    <w:rsid w:val="001E54F4"/>
    <w:rsid w:val="001E566E"/>
    <w:rsid w:val="001E5F88"/>
    <w:rsid w:val="001F0CBD"/>
    <w:rsid w:val="001F0D9C"/>
    <w:rsid w:val="001F13FA"/>
    <w:rsid w:val="001F2DB2"/>
    <w:rsid w:val="001F338E"/>
    <w:rsid w:val="001F40D5"/>
    <w:rsid w:val="0020091A"/>
    <w:rsid w:val="002027BE"/>
    <w:rsid w:val="00203AFA"/>
    <w:rsid w:val="00204276"/>
    <w:rsid w:val="00204A44"/>
    <w:rsid w:val="0020622D"/>
    <w:rsid w:val="0020667D"/>
    <w:rsid w:val="00210A52"/>
    <w:rsid w:val="00210F4F"/>
    <w:rsid w:val="00210FCA"/>
    <w:rsid w:val="00212DEB"/>
    <w:rsid w:val="0022077D"/>
    <w:rsid w:val="002210A5"/>
    <w:rsid w:val="0022189E"/>
    <w:rsid w:val="0022381F"/>
    <w:rsid w:val="00230B3C"/>
    <w:rsid w:val="00232EC8"/>
    <w:rsid w:val="0023497B"/>
    <w:rsid w:val="00234AF6"/>
    <w:rsid w:val="00237F8A"/>
    <w:rsid w:val="00242007"/>
    <w:rsid w:val="00242FAF"/>
    <w:rsid w:val="0024489F"/>
    <w:rsid w:val="002450D9"/>
    <w:rsid w:val="002455EA"/>
    <w:rsid w:val="00250B2D"/>
    <w:rsid w:val="002521FC"/>
    <w:rsid w:val="00260B0E"/>
    <w:rsid w:val="00264361"/>
    <w:rsid w:val="002667D7"/>
    <w:rsid w:val="00276350"/>
    <w:rsid w:val="00276521"/>
    <w:rsid w:val="00277678"/>
    <w:rsid w:val="00283197"/>
    <w:rsid w:val="00286D06"/>
    <w:rsid w:val="00287558"/>
    <w:rsid w:val="00287F91"/>
    <w:rsid w:val="00290551"/>
    <w:rsid w:val="002905C7"/>
    <w:rsid w:val="002908E0"/>
    <w:rsid w:val="00291E1C"/>
    <w:rsid w:val="00292CCA"/>
    <w:rsid w:val="002938D0"/>
    <w:rsid w:val="00293B95"/>
    <w:rsid w:val="00295B3B"/>
    <w:rsid w:val="00295D9C"/>
    <w:rsid w:val="002A0477"/>
    <w:rsid w:val="002A4E1E"/>
    <w:rsid w:val="002A70BD"/>
    <w:rsid w:val="002B1C0E"/>
    <w:rsid w:val="002B34D3"/>
    <w:rsid w:val="002B36B0"/>
    <w:rsid w:val="002B4D26"/>
    <w:rsid w:val="002C12F3"/>
    <w:rsid w:val="002C388F"/>
    <w:rsid w:val="002C3EBE"/>
    <w:rsid w:val="002C5942"/>
    <w:rsid w:val="002C6C38"/>
    <w:rsid w:val="002C73B5"/>
    <w:rsid w:val="002C7E47"/>
    <w:rsid w:val="002D2178"/>
    <w:rsid w:val="002D28E5"/>
    <w:rsid w:val="002D3B76"/>
    <w:rsid w:val="002D48B8"/>
    <w:rsid w:val="002D666A"/>
    <w:rsid w:val="002D7524"/>
    <w:rsid w:val="002E04A3"/>
    <w:rsid w:val="002E086E"/>
    <w:rsid w:val="002E4BB8"/>
    <w:rsid w:val="002E6CB4"/>
    <w:rsid w:val="002E6E80"/>
    <w:rsid w:val="002F0D4C"/>
    <w:rsid w:val="002F28A0"/>
    <w:rsid w:val="002F30C7"/>
    <w:rsid w:val="002F3B20"/>
    <w:rsid w:val="002F43F2"/>
    <w:rsid w:val="002F5053"/>
    <w:rsid w:val="002F7233"/>
    <w:rsid w:val="003015BE"/>
    <w:rsid w:val="00301631"/>
    <w:rsid w:val="00301778"/>
    <w:rsid w:val="00301BFE"/>
    <w:rsid w:val="003048AA"/>
    <w:rsid w:val="00305142"/>
    <w:rsid w:val="003062F2"/>
    <w:rsid w:val="003071BB"/>
    <w:rsid w:val="003072A1"/>
    <w:rsid w:val="003077BF"/>
    <w:rsid w:val="003117D7"/>
    <w:rsid w:val="0031211B"/>
    <w:rsid w:val="003132AE"/>
    <w:rsid w:val="00313A2C"/>
    <w:rsid w:val="00313AF3"/>
    <w:rsid w:val="00313D82"/>
    <w:rsid w:val="003146BB"/>
    <w:rsid w:val="003153C2"/>
    <w:rsid w:val="00317712"/>
    <w:rsid w:val="00317B86"/>
    <w:rsid w:val="00320816"/>
    <w:rsid w:val="00320A6E"/>
    <w:rsid w:val="00320D1F"/>
    <w:rsid w:val="00321C94"/>
    <w:rsid w:val="00324F14"/>
    <w:rsid w:val="0032512B"/>
    <w:rsid w:val="00327106"/>
    <w:rsid w:val="00327968"/>
    <w:rsid w:val="00327B48"/>
    <w:rsid w:val="00331BBB"/>
    <w:rsid w:val="003334DC"/>
    <w:rsid w:val="00335903"/>
    <w:rsid w:val="003359BD"/>
    <w:rsid w:val="00344EB7"/>
    <w:rsid w:val="00347BA1"/>
    <w:rsid w:val="00350E0A"/>
    <w:rsid w:val="00354927"/>
    <w:rsid w:val="00356B73"/>
    <w:rsid w:val="0035753F"/>
    <w:rsid w:val="00357891"/>
    <w:rsid w:val="003637B3"/>
    <w:rsid w:val="00364339"/>
    <w:rsid w:val="00365142"/>
    <w:rsid w:val="00367FF5"/>
    <w:rsid w:val="00370DD1"/>
    <w:rsid w:val="003737EB"/>
    <w:rsid w:val="003746A5"/>
    <w:rsid w:val="003751DD"/>
    <w:rsid w:val="003761D1"/>
    <w:rsid w:val="00377C77"/>
    <w:rsid w:val="00380617"/>
    <w:rsid w:val="00380D80"/>
    <w:rsid w:val="003838C9"/>
    <w:rsid w:val="00384B47"/>
    <w:rsid w:val="0039214E"/>
    <w:rsid w:val="0039459F"/>
    <w:rsid w:val="0039534A"/>
    <w:rsid w:val="00396EAB"/>
    <w:rsid w:val="003A07A4"/>
    <w:rsid w:val="003A0EF0"/>
    <w:rsid w:val="003A1C5A"/>
    <w:rsid w:val="003A2360"/>
    <w:rsid w:val="003A3D4D"/>
    <w:rsid w:val="003A7DF5"/>
    <w:rsid w:val="003B3A27"/>
    <w:rsid w:val="003B4978"/>
    <w:rsid w:val="003B6006"/>
    <w:rsid w:val="003B79B5"/>
    <w:rsid w:val="003C06BD"/>
    <w:rsid w:val="003C468D"/>
    <w:rsid w:val="003C763F"/>
    <w:rsid w:val="003C7CB4"/>
    <w:rsid w:val="003C7FF4"/>
    <w:rsid w:val="003D2067"/>
    <w:rsid w:val="003D4690"/>
    <w:rsid w:val="003D522A"/>
    <w:rsid w:val="003E1405"/>
    <w:rsid w:val="003E1B28"/>
    <w:rsid w:val="003E2DF0"/>
    <w:rsid w:val="003E38F2"/>
    <w:rsid w:val="003E6A15"/>
    <w:rsid w:val="003E7CD8"/>
    <w:rsid w:val="003F0CAD"/>
    <w:rsid w:val="003F19BA"/>
    <w:rsid w:val="003F1DDC"/>
    <w:rsid w:val="003F3511"/>
    <w:rsid w:val="003F3859"/>
    <w:rsid w:val="003F5B03"/>
    <w:rsid w:val="004001A6"/>
    <w:rsid w:val="00400FB6"/>
    <w:rsid w:val="00406CD0"/>
    <w:rsid w:val="00406D5F"/>
    <w:rsid w:val="00412B88"/>
    <w:rsid w:val="00412E09"/>
    <w:rsid w:val="00412F0E"/>
    <w:rsid w:val="004140CA"/>
    <w:rsid w:val="00414338"/>
    <w:rsid w:val="00414B3C"/>
    <w:rsid w:val="00414C53"/>
    <w:rsid w:val="00416477"/>
    <w:rsid w:val="004167D4"/>
    <w:rsid w:val="00416ABC"/>
    <w:rsid w:val="004178C2"/>
    <w:rsid w:val="00420DE3"/>
    <w:rsid w:val="004211F6"/>
    <w:rsid w:val="004215C5"/>
    <w:rsid w:val="0042212D"/>
    <w:rsid w:val="0042747E"/>
    <w:rsid w:val="00430A43"/>
    <w:rsid w:val="00433C29"/>
    <w:rsid w:val="0043463F"/>
    <w:rsid w:val="00437A0A"/>
    <w:rsid w:val="00440D3D"/>
    <w:rsid w:val="00442B7D"/>
    <w:rsid w:val="00444806"/>
    <w:rsid w:val="004527E5"/>
    <w:rsid w:val="00452CB1"/>
    <w:rsid w:val="00453934"/>
    <w:rsid w:val="00453CEA"/>
    <w:rsid w:val="00454512"/>
    <w:rsid w:val="00454C86"/>
    <w:rsid w:val="00455D77"/>
    <w:rsid w:val="004568BE"/>
    <w:rsid w:val="00460CAB"/>
    <w:rsid w:val="00462D9D"/>
    <w:rsid w:val="00463ED7"/>
    <w:rsid w:val="00465508"/>
    <w:rsid w:val="0047269E"/>
    <w:rsid w:val="00472CE5"/>
    <w:rsid w:val="004731E5"/>
    <w:rsid w:val="00481CB9"/>
    <w:rsid w:val="00484CDE"/>
    <w:rsid w:val="00486B85"/>
    <w:rsid w:val="00487330"/>
    <w:rsid w:val="004877B8"/>
    <w:rsid w:val="00491557"/>
    <w:rsid w:val="004958BC"/>
    <w:rsid w:val="00495F33"/>
    <w:rsid w:val="00496705"/>
    <w:rsid w:val="00496B4F"/>
    <w:rsid w:val="004A0283"/>
    <w:rsid w:val="004A053F"/>
    <w:rsid w:val="004A1F5D"/>
    <w:rsid w:val="004A21E0"/>
    <w:rsid w:val="004A4EA2"/>
    <w:rsid w:val="004A54F8"/>
    <w:rsid w:val="004A590E"/>
    <w:rsid w:val="004A6E7C"/>
    <w:rsid w:val="004A7FC0"/>
    <w:rsid w:val="004B1392"/>
    <w:rsid w:val="004B14B9"/>
    <w:rsid w:val="004B17D0"/>
    <w:rsid w:val="004B4484"/>
    <w:rsid w:val="004B681C"/>
    <w:rsid w:val="004B6B01"/>
    <w:rsid w:val="004B7F7B"/>
    <w:rsid w:val="004C0876"/>
    <w:rsid w:val="004C23ED"/>
    <w:rsid w:val="004C2872"/>
    <w:rsid w:val="004C428C"/>
    <w:rsid w:val="004C68CC"/>
    <w:rsid w:val="004D1D61"/>
    <w:rsid w:val="004D6292"/>
    <w:rsid w:val="004D63C8"/>
    <w:rsid w:val="004D6BC1"/>
    <w:rsid w:val="004D79F5"/>
    <w:rsid w:val="004E2D44"/>
    <w:rsid w:val="004E4C21"/>
    <w:rsid w:val="004E56DE"/>
    <w:rsid w:val="004E6F7D"/>
    <w:rsid w:val="004F03D7"/>
    <w:rsid w:val="004F35C0"/>
    <w:rsid w:val="004F696B"/>
    <w:rsid w:val="004F6BD3"/>
    <w:rsid w:val="004F7494"/>
    <w:rsid w:val="00500E52"/>
    <w:rsid w:val="00501222"/>
    <w:rsid w:val="00503ADB"/>
    <w:rsid w:val="00503F96"/>
    <w:rsid w:val="00504FAD"/>
    <w:rsid w:val="00506A76"/>
    <w:rsid w:val="00513C7F"/>
    <w:rsid w:val="00514371"/>
    <w:rsid w:val="00514B3A"/>
    <w:rsid w:val="005213B8"/>
    <w:rsid w:val="0052180B"/>
    <w:rsid w:val="00522199"/>
    <w:rsid w:val="00524B87"/>
    <w:rsid w:val="00524ED9"/>
    <w:rsid w:val="0052591A"/>
    <w:rsid w:val="00527445"/>
    <w:rsid w:val="0053063A"/>
    <w:rsid w:val="0053233D"/>
    <w:rsid w:val="005351D3"/>
    <w:rsid w:val="0053650F"/>
    <w:rsid w:val="00536CBE"/>
    <w:rsid w:val="00541FE1"/>
    <w:rsid w:val="00542228"/>
    <w:rsid w:val="00542DE6"/>
    <w:rsid w:val="00543055"/>
    <w:rsid w:val="0054348C"/>
    <w:rsid w:val="00543F4D"/>
    <w:rsid w:val="005447D5"/>
    <w:rsid w:val="00547ECE"/>
    <w:rsid w:val="005514F1"/>
    <w:rsid w:val="005520DD"/>
    <w:rsid w:val="00552973"/>
    <w:rsid w:val="00553692"/>
    <w:rsid w:val="00554003"/>
    <w:rsid w:val="00555163"/>
    <w:rsid w:val="00555F6D"/>
    <w:rsid w:val="00557239"/>
    <w:rsid w:val="005604B5"/>
    <w:rsid w:val="0056274B"/>
    <w:rsid w:val="00562E96"/>
    <w:rsid w:val="005634F1"/>
    <w:rsid w:val="00565C3F"/>
    <w:rsid w:val="00565DBB"/>
    <w:rsid w:val="005660ED"/>
    <w:rsid w:val="00570A28"/>
    <w:rsid w:val="00570F13"/>
    <w:rsid w:val="005722C0"/>
    <w:rsid w:val="0057371B"/>
    <w:rsid w:val="00574A79"/>
    <w:rsid w:val="00574DAC"/>
    <w:rsid w:val="005800B6"/>
    <w:rsid w:val="00582827"/>
    <w:rsid w:val="005852A1"/>
    <w:rsid w:val="00586FBE"/>
    <w:rsid w:val="00592E8C"/>
    <w:rsid w:val="00593A13"/>
    <w:rsid w:val="00594997"/>
    <w:rsid w:val="0059503D"/>
    <w:rsid w:val="005950DC"/>
    <w:rsid w:val="00595116"/>
    <w:rsid w:val="00596590"/>
    <w:rsid w:val="00597745"/>
    <w:rsid w:val="00597A3B"/>
    <w:rsid w:val="005A0594"/>
    <w:rsid w:val="005A1DFF"/>
    <w:rsid w:val="005A44DD"/>
    <w:rsid w:val="005A4A38"/>
    <w:rsid w:val="005A551D"/>
    <w:rsid w:val="005A7006"/>
    <w:rsid w:val="005B01B2"/>
    <w:rsid w:val="005B1279"/>
    <w:rsid w:val="005B3374"/>
    <w:rsid w:val="005B3B0D"/>
    <w:rsid w:val="005B408B"/>
    <w:rsid w:val="005B4202"/>
    <w:rsid w:val="005B49E8"/>
    <w:rsid w:val="005B4CCF"/>
    <w:rsid w:val="005B4E79"/>
    <w:rsid w:val="005B73ED"/>
    <w:rsid w:val="005C17B4"/>
    <w:rsid w:val="005C2116"/>
    <w:rsid w:val="005C276B"/>
    <w:rsid w:val="005C62FE"/>
    <w:rsid w:val="005C64E1"/>
    <w:rsid w:val="005D0439"/>
    <w:rsid w:val="005D3CE9"/>
    <w:rsid w:val="005D5802"/>
    <w:rsid w:val="005D70A0"/>
    <w:rsid w:val="005D7A22"/>
    <w:rsid w:val="005E003C"/>
    <w:rsid w:val="005E328E"/>
    <w:rsid w:val="005E3CA2"/>
    <w:rsid w:val="005F3359"/>
    <w:rsid w:val="005F4C36"/>
    <w:rsid w:val="005F6875"/>
    <w:rsid w:val="005F68D9"/>
    <w:rsid w:val="0060003C"/>
    <w:rsid w:val="00602EE5"/>
    <w:rsid w:val="006038AD"/>
    <w:rsid w:val="00604716"/>
    <w:rsid w:val="00605268"/>
    <w:rsid w:val="00607459"/>
    <w:rsid w:val="00607C18"/>
    <w:rsid w:val="0061031C"/>
    <w:rsid w:val="0061033E"/>
    <w:rsid w:val="00611C90"/>
    <w:rsid w:val="0061402D"/>
    <w:rsid w:val="00614AFB"/>
    <w:rsid w:val="00614CBD"/>
    <w:rsid w:val="00615856"/>
    <w:rsid w:val="006203F1"/>
    <w:rsid w:val="00621476"/>
    <w:rsid w:val="00621CCE"/>
    <w:rsid w:val="00626153"/>
    <w:rsid w:val="0062713A"/>
    <w:rsid w:val="00627913"/>
    <w:rsid w:val="00627DCB"/>
    <w:rsid w:val="006301E0"/>
    <w:rsid w:val="00630D2B"/>
    <w:rsid w:val="00630EE5"/>
    <w:rsid w:val="00631067"/>
    <w:rsid w:val="00632ACD"/>
    <w:rsid w:val="0063314C"/>
    <w:rsid w:val="00633225"/>
    <w:rsid w:val="0063571C"/>
    <w:rsid w:val="00636081"/>
    <w:rsid w:val="006402B8"/>
    <w:rsid w:val="006418A3"/>
    <w:rsid w:val="00642242"/>
    <w:rsid w:val="00643473"/>
    <w:rsid w:val="00645FD4"/>
    <w:rsid w:val="006461ED"/>
    <w:rsid w:val="00652860"/>
    <w:rsid w:val="00654C0B"/>
    <w:rsid w:val="00656FEA"/>
    <w:rsid w:val="00660C59"/>
    <w:rsid w:val="006618E8"/>
    <w:rsid w:val="006639A6"/>
    <w:rsid w:val="00665C89"/>
    <w:rsid w:val="006676E8"/>
    <w:rsid w:val="0067102E"/>
    <w:rsid w:val="00672126"/>
    <w:rsid w:val="0067357A"/>
    <w:rsid w:val="0067444F"/>
    <w:rsid w:val="00677102"/>
    <w:rsid w:val="006771F7"/>
    <w:rsid w:val="006775EA"/>
    <w:rsid w:val="00677D37"/>
    <w:rsid w:val="0068115E"/>
    <w:rsid w:val="00681194"/>
    <w:rsid w:val="00681C6D"/>
    <w:rsid w:val="00683254"/>
    <w:rsid w:val="006843EC"/>
    <w:rsid w:val="0068460D"/>
    <w:rsid w:val="00684805"/>
    <w:rsid w:val="006863B9"/>
    <w:rsid w:val="006867EB"/>
    <w:rsid w:val="00686D54"/>
    <w:rsid w:val="00687652"/>
    <w:rsid w:val="00690923"/>
    <w:rsid w:val="006910C6"/>
    <w:rsid w:val="0069220E"/>
    <w:rsid w:val="006A1D15"/>
    <w:rsid w:val="006A2039"/>
    <w:rsid w:val="006A4527"/>
    <w:rsid w:val="006A4ABA"/>
    <w:rsid w:val="006A519A"/>
    <w:rsid w:val="006A67B6"/>
    <w:rsid w:val="006A6BF8"/>
    <w:rsid w:val="006A7EBD"/>
    <w:rsid w:val="006B181F"/>
    <w:rsid w:val="006B2412"/>
    <w:rsid w:val="006B4F0D"/>
    <w:rsid w:val="006B6E55"/>
    <w:rsid w:val="006B6E92"/>
    <w:rsid w:val="006B773B"/>
    <w:rsid w:val="006C1E47"/>
    <w:rsid w:val="006C4848"/>
    <w:rsid w:val="006C611F"/>
    <w:rsid w:val="006D149E"/>
    <w:rsid w:val="006D35A2"/>
    <w:rsid w:val="006D39A1"/>
    <w:rsid w:val="006D6774"/>
    <w:rsid w:val="006E14F6"/>
    <w:rsid w:val="006E7F17"/>
    <w:rsid w:val="006F0129"/>
    <w:rsid w:val="006F0D5D"/>
    <w:rsid w:val="006F0D8C"/>
    <w:rsid w:val="006F138C"/>
    <w:rsid w:val="006F2804"/>
    <w:rsid w:val="006F5151"/>
    <w:rsid w:val="0070157B"/>
    <w:rsid w:val="00702F92"/>
    <w:rsid w:val="0070311F"/>
    <w:rsid w:val="00703AFB"/>
    <w:rsid w:val="00705637"/>
    <w:rsid w:val="00705EE0"/>
    <w:rsid w:val="00707692"/>
    <w:rsid w:val="007103DA"/>
    <w:rsid w:val="00710F82"/>
    <w:rsid w:val="00713D99"/>
    <w:rsid w:val="00714317"/>
    <w:rsid w:val="0071540B"/>
    <w:rsid w:val="00715695"/>
    <w:rsid w:val="0071636B"/>
    <w:rsid w:val="00716727"/>
    <w:rsid w:val="007168A3"/>
    <w:rsid w:val="00720116"/>
    <w:rsid w:val="007207FA"/>
    <w:rsid w:val="00721EE9"/>
    <w:rsid w:val="0072406C"/>
    <w:rsid w:val="007258BB"/>
    <w:rsid w:val="00725FC0"/>
    <w:rsid w:val="00726C3D"/>
    <w:rsid w:val="00730A58"/>
    <w:rsid w:val="00730E0A"/>
    <w:rsid w:val="00734F6A"/>
    <w:rsid w:val="00735019"/>
    <w:rsid w:val="0073731E"/>
    <w:rsid w:val="0074222C"/>
    <w:rsid w:val="00742978"/>
    <w:rsid w:val="00743398"/>
    <w:rsid w:val="00745345"/>
    <w:rsid w:val="007479B1"/>
    <w:rsid w:val="00750554"/>
    <w:rsid w:val="00750B53"/>
    <w:rsid w:val="007512D7"/>
    <w:rsid w:val="0075166D"/>
    <w:rsid w:val="00752F76"/>
    <w:rsid w:val="00756A8D"/>
    <w:rsid w:val="00761AFD"/>
    <w:rsid w:val="00763FD1"/>
    <w:rsid w:val="00764676"/>
    <w:rsid w:val="00764A38"/>
    <w:rsid w:val="00764B98"/>
    <w:rsid w:val="007651DC"/>
    <w:rsid w:val="00765D7C"/>
    <w:rsid w:val="00767AD4"/>
    <w:rsid w:val="0077156B"/>
    <w:rsid w:val="00771752"/>
    <w:rsid w:val="00773E48"/>
    <w:rsid w:val="00774450"/>
    <w:rsid w:val="00774F96"/>
    <w:rsid w:val="00777635"/>
    <w:rsid w:val="00777AD4"/>
    <w:rsid w:val="00791563"/>
    <w:rsid w:val="0079366C"/>
    <w:rsid w:val="00793926"/>
    <w:rsid w:val="0079465B"/>
    <w:rsid w:val="007949E2"/>
    <w:rsid w:val="00795355"/>
    <w:rsid w:val="00797445"/>
    <w:rsid w:val="007974F1"/>
    <w:rsid w:val="0079763E"/>
    <w:rsid w:val="007A1D8A"/>
    <w:rsid w:val="007A4BA2"/>
    <w:rsid w:val="007A65E8"/>
    <w:rsid w:val="007A7888"/>
    <w:rsid w:val="007B0C81"/>
    <w:rsid w:val="007B59BD"/>
    <w:rsid w:val="007B775D"/>
    <w:rsid w:val="007B7C46"/>
    <w:rsid w:val="007C1656"/>
    <w:rsid w:val="007C36B3"/>
    <w:rsid w:val="007C3B99"/>
    <w:rsid w:val="007C4CC3"/>
    <w:rsid w:val="007C5425"/>
    <w:rsid w:val="007C584A"/>
    <w:rsid w:val="007D226D"/>
    <w:rsid w:val="007E0657"/>
    <w:rsid w:val="007E25B2"/>
    <w:rsid w:val="007E55BB"/>
    <w:rsid w:val="007E65F4"/>
    <w:rsid w:val="007F0A7B"/>
    <w:rsid w:val="007F1AA9"/>
    <w:rsid w:val="007F1C6C"/>
    <w:rsid w:val="007F2B49"/>
    <w:rsid w:val="007F32A6"/>
    <w:rsid w:val="007F3ACB"/>
    <w:rsid w:val="007F3DDA"/>
    <w:rsid w:val="007F5C17"/>
    <w:rsid w:val="007F64FC"/>
    <w:rsid w:val="00800DBC"/>
    <w:rsid w:val="0080257B"/>
    <w:rsid w:val="00807C2A"/>
    <w:rsid w:val="008135A0"/>
    <w:rsid w:val="0081465A"/>
    <w:rsid w:val="008160E6"/>
    <w:rsid w:val="00820F3E"/>
    <w:rsid w:val="00824571"/>
    <w:rsid w:val="00825E89"/>
    <w:rsid w:val="008262BF"/>
    <w:rsid w:val="00826413"/>
    <w:rsid w:val="00826759"/>
    <w:rsid w:val="00830439"/>
    <w:rsid w:val="00830733"/>
    <w:rsid w:val="00831583"/>
    <w:rsid w:val="00832E53"/>
    <w:rsid w:val="0083331F"/>
    <w:rsid w:val="00835373"/>
    <w:rsid w:val="00840AE7"/>
    <w:rsid w:val="00841A7A"/>
    <w:rsid w:val="00841E21"/>
    <w:rsid w:val="008422CC"/>
    <w:rsid w:val="00842CA1"/>
    <w:rsid w:val="00842EF2"/>
    <w:rsid w:val="00846864"/>
    <w:rsid w:val="00847C38"/>
    <w:rsid w:val="00852295"/>
    <w:rsid w:val="00852DE6"/>
    <w:rsid w:val="008539B2"/>
    <w:rsid w:val="00863653"/>
    <w:rsid w:val="00864509"/>
    <w:rsid w:val="00864B64"/>
    <w:rsid w:val="008655FE"/>
    <w:rsid w:val="008669F4"/>
    <w:rsid w:val="00866D99"/>
    <w:rsid w:val="00872903"/>
    <w:rsid w:val="00874383"/>
    <w:rsid w:val="008820A0"/>
    <w:rsid w:val="00885842"/>
    <w:rsid w:val="008858BA"/>
    <w:rsid w:val="00890C67"/>
    <w:rsid w:val="00893436"/>
    <w:rsid w:val="00895A32"/>
    <w:rsid w:val="00896363"/>
    <w:rsid w:val="008A0595"/>
    <w:rsid w:val="008A0719"/>
    <w:rsid w:val="008A45F1"/>
    <w:rsid w:val="008A4810"/>
    <w:rsid w:val="008A55F0"/>
    <w:rsid w:val="008A647D"/>
    <w:rsid w:val="008A78C2"/>
    <w:rsid w:val="008B07EE"/>
    <w:rsid w:val="008B26A0"/>
    <w:rsid w:val="008B5C08"/>
    <w:rsid w:val="008B7689"/>
    <w:rsid w:val="008C34B1"/>
    <w:rsid w:val="008C3809"/>
    <w:rsid w:val="008C3BCF"/>
    <w:rsid w:val="008C6220"/>
    <w:rsid w:val="008C6DFC"/>
    <w:rsid w:val="008D077C"/>
    <w:rsid w:val="008D0CF9"/>
    <w:rsid w:val="008D1A30"/>
    <w:rsid w:val="008D2A87"/>
    <w:rsid w:val="008D4419"/>
    <w:rsid w:val="008D4955"/>
    <w:rsid w:val="008D5286"/>
    <w:rsid w:val="008D7A08"/>
    <w:rsid w:val="008E0383"/>
    <w:rsid w:val="008E1031"/>
    <w:rsid w:val="008E4BA4"/>
    <w:rsid w:val="008E4D58"/>
    <w:rsid w:val="008E61BA"/>
    <w:rsid w:val="008F00D5"/>
    <w:rsid w:val="008F28F2"/>
    <w:rsid w:val="008F3493"/>
    <w:rsid w:val="008F765C"/>
    <w:rsid w:val="00901669"/>
    <w:rsid w:val="0090175F"/>
    <w:rsid w:val="0090238D"/>
    <w:rsid w:val="00902846"/>
    <w:rsid w:val="00903679"/>
    <w:rsid w:val="009042A3"/>
    <w:rsid w:val="009061A2"/>
    <w:rsid w:val="00907263"/>
    <w:rsid w:val="0090792B"/>
    <w:rsid w:val="009111EA"/>
    <w:rsid w:val="009129B4"/>
    <w:rsid w:val="00912EBF"/>
    <w:rsid w:val="009132B1"/>
    <w:rsid w:val="00913804"/>
    <w:rsid w:val="00913A83"/>
    <w:rsid w:val="00914887"/>
    <w:rsid w:val="0091518A"/>
    <w:rsid w:val="009157B9"/>
    <w:rsid w:val="00920413"/>
    <w:rsid w:val="0092154F"/>
    <w:rsid w:val="00922381"/>
    <w:rsid w:val="00922874"/>
    <w:rsid w:val="0092297B"/>
    <w:rsid w:val="00923641"/>
    <w:rsid w:val="00925333"/>
    <w:rsid w:val="009306E7"/>
    <w:rsid w:val="009315C2"/>
    <w:rsid w:val="009317AE"/>
    <w:rsid w:val="0093285D"/>
    <w:rsid w:val="00933373"/>
    <w:rsid w:val="00935DD2"/>
    <w:rsid w:val="00940DEB"/>
    <w:rsid w:val="009452D3"/>
    <w:rsid w:val="00946351"/>
    <w:rsid w:val="00947FA7"/>
    <w:rsid w:val="00954322"/>
    <w:rsid w:val="00960562"/>
    <w:rsid w:val="00961CD3"/>
    <w:rsid w:val="00961E27"/>
    <w:rsid w:val="00962446"/>
    <w:rsid w:val="00962CD2"/>
    <w:rsid w:val="00963900"/>
    <w:rsid w:val="0096452C"/>
    <w:rsid w:val="00965BB3"/>
    <w:rsid w:val="0096669B"/>
    <w:rsid w:val="00972396"/>
    <w:rsid w:val="00972BB4"/>
    <w:rsid w:val="009733C5"/>
    <w:rsid w:val="009747C5"/>
    <w:rsid w:val="0098005C"/>
    <w:rsid w:val="00982411"/>
    <w:rsid w:val="0098279E"/>
    <w:rsid w:val="0098293D"/>
    <w:rsid w:val="00983CAB"/>
    <w:rsid w:val="00984C33"/>
    <w:rsid w:val="00984FB7"/>
    <w:rsid w:val="0098697D"/>
    <w:rsid w:val="00986B8B"/>
    <w:rsid w:val="0099078B"/>
    <w:rsid w:val="00991AA5"/>
    <w:rsid w:val="009964BA"/>
    <w:rsid w:val="00997086"/>
    <w:rsid w:val="009A06A0"/>
    <w:rsid w:val="009A1070"/>
    <w:rsid w:val="009A253D"/>
    <w:rsid w:val="009A2B77"/>
    <w:rsid w:val="009A2C75"/>
    <w:rsid w:val="009A4725"/>
    <w:rsid w:val="009A55C3"/>
    <w:rsid w:val="009B0073"/>
    <w:rsid w:val="009B1317"/>
    <w:rsid w:val="009B2EB5"/>
    <w:rsid w:val="009B340B"/>
    <w:rsid w:val="009B4AC7"/>
    <w:rsid w:val="009B544F"/>
    <w:rsid w:val="009B6B50"/>
    <w:rsid w:val="009C0B5B"/>
    <w:rsid w:val="009C158F"/>
    <w:rsid w:val="009C1A45"/>
    <w:rsid w:val="009C2182"/>
    <w:rsid w:val="009C308E"/>
    <w:rsid w:val="009C4969"/>
    <w:rsid w:val="009C4C1A"/>
    <w:rsid w:val="009C7385"/>
    <w:rsid w:val="009C7550"/>
    <w:rsid w:val="009C76F4"/>
    <w:rsid w:val="009D0AA5"/>
    <w:rsid w:val="009D22D2"/>
    <w:rsid w:val="009D23DE"/>
    <w:rsid w:val="009D53C4"/>
    <w:rsid w:val="009D5D88"/>
    <w:rsid w:val="009D7228"/>
    <w:rsid w:val="009E01E8"/>
    <w:rsid w:val="009E0F1E"/>
    <w:rsid w:val="009E242E"/>
    <w:rsid w:val="009E419F"/>
    <w:rsid w:val="009E6D58"/>
    <w:rsid w:val="009E7AF4"/>
    <w:rsid w:val="009F0656"/>
    <w:rsid w:val="009F12B9"/>
    <w:rsid w:val="009F22B8"/>
    <w:rsid w:val="009F2DC7"/>
    <w:rsid w:val="009F3704"/>
    <w:rsid w:val="009F42CD"/>
    <w:rsid w:val="009F50C6"/>
    <w:rsid w:val="009F6387"/>
    <w:rsid w:val="009F74B9"/>
    <w:rsid w:val="00A01CB2"/>
    <w:rsid w:val="00A07493"/>
    <w:rsid w:val="00A07B45"/>
    <w:rsid w:val="00A10CEC"/>
    <w:rsid w:val="00A13224"/>
    <w:rsid w:val="00A1394C"/>
    <w:rsid w:val="00A14338"/>
    <w:rsid w:val="00A150A8"/>
    <w:rsid w:val="00A23D24"/>
    <w:rsid w:val="00A278C5"/>
    <w:rsid w:val="00A303D4"/>
    <w:rsid w:val="00A3174A"/>
    <w:rsid w:val="00A3428B"/>
    <w:rsid w:val="00A3481B"/>
    <w:rsid w:val="00A34C62"/>
    <w:rsid w:val="00A378E9"/>
    <w:rsid w:val="00A41FD5"/>
    <w:rsid w:val="00A43949"/>
    <w:rsid w:val="00A43BBA"/>
    <w:rsid w:val="00A461C3"/>
    <w:rsid w:val="00A464D5"/>
    <w:rsid w:val="00A4691B"/>
    <w:rsid w:val="00A46E41"/>
    <w:rsid w:val="00A508F0"/>
    <w:rsid w:val="00A511A2"/>
    <w:rsid w:val="00A51EC2"/>
    <w:rsid w:val="00A52510"/>
    <w:rsid w:val="00A56595"/>
    <w:rsid w:val="00A6052C"/>
    <w:rsid w:val="00A61F72"/>
    <w:rsid w:val="00A638B0"/>
    <w:rsid w:val="00A6449E"/>
    <w:rsid w:val="00A652EC"/>
    <w:rsid w:val="00A65945"/>
    <w:rsid w:val="00A67841"/>
    <w:rsid w:val="00A7119D"/>
    <w:rsid w:val="00A71E2D"/>
    <w:rsid w:val="00A7206B"/>
    <w:rsid w:val="00A72C30"/>
    <w:rsid w:val="00A76CBE"/>
    <w:rsid w:val="00A80691"/>
    <w:rsid w:val="00A81FB3"/>
    <w:rsid w:val="00A82DFD"/>
    <w:rsid w:val="00A83943"/>
    <w:rsid w:val="00A86B7E"/>
    <w:rsid w:val="00A86E4C"/>
    <w:rsid w:val="00A901EC"/>
    <w:rsid w:val="00A903A5"/>
    <w:rsid w:val="00A9089F"/>
    <w:rsid w:val="00A933D5"/>
    <w:rsid w:val="00A965B6"/>
    <w:rsid w:val="00A96AAE"/>
    <w:rsid w:val="00A97A01"/>
    <w:rsid w:val="00AA29CA"/>
    <w:rsid w:val="00AA5F3E"/>
    <w:rsid w:val="00AA6249"/>
    <w:rsid w:val="00AA7074"/>
    <w:rsid w:val="00AB0C30"/>
    <w:rsid w:val="00AB12ED"/>
    <w:rsid w:val="00AB40DA"/>
    <w:rsid w:val="00AB6069"/>
    <w:rsid w:val="00AC1E56"/>
    <w:rsid w:val="00AC49E9"/>
    <w:rsid w:val="00AC5D16"/>
    <w:rsid w:val="00AC5FCF"/>
    <w:rsid w:val="00AC718A"/>
    <w:rsid w:val="00AD1AC0"/>
    <w:rsid w:val="00AD4D03"/>
    <w:rsid w:val="00AD6668"/>
    <w:rsid w:val="00AD795B"/>
    <w:rsid w:val="00AE1025"/>
    <w:rsid w:val="00AE18C5"/>
    <w:rsid w:val="00AE4F5C"/>
    <w:rsid w:val="00AF06C5"/>
    <w:rsid w:val="00AF117C"/>
    <w:rsid w:val="00AF1E94"/>
    <w:rsid w:val="00AF4265"/>
    <w:rsid w:val="00AF4702"/>
    <w:rsid w:val="00B00382"/>
    <w:rsid w:val="00B01F45"/>
    <w:rsid w:val="00B03DA2"/>
    <w:rsid w:val="00B04D35"/>
    <w:rsid w:val="00B055CB"/>
    <w:rsid w:val="00B06078"/>
    <w:rsid w:val="00B1149E"/>
    <w:rsid w:val="00B12B51"/>
    <w:rsid w:val="00B205C4"/>
    <w:rsid w:val="00B206EB"/>
    <w:rsid w:val="00B22A58"/>
    <w:rsid w:val="00B2488F"/>
    <w:rsid w:val="00B25361"/>
    <w:rsid w:val="00B27533"/>
    <w:rsid w:val="00B27613"/>
    <w:rsid w:val="00B3060B"/>
    <w:rsid w:val="00B307C6"/>
    <w:rsid w:val="00B30A7D"/>
    <w:rsid w:val="00B31D4F"/>
    <w:rsid w:val="00B32233"/>
    <w:rsid w:val="00B34475"/>
    <w:rsid w:val="00B36614"/>
    <w:rsid w:val="00B421ED"/>
    <w:rsid w:val="00B42761"/>
    <w:rsid w:val="00B42AFE"/>
    <w:rsid w:val="00B43237"/>
    <w:rsid w:val="00B4513B"/>
    <w:rsid w:val="00B4598F"/>
    <w:rsid w:val="00B463D3"/>
    <w:rsid w:val="00B4669D"/>
    <w:rsid w:val="00B467FB"/>
    <w:rsid w:val="00B509B1"/>
    <w:rsid w:val="00B52219"/>
    <w:rsid w:val="00B52F4D"/>
    <w:rsid w:val="00B535A0"/>
    <w:rsid w:val="00B57293"/>
    <w:rsid w:val="00B57D9A"/>
    <w:rsid w:val="00B602B6"/>
    <w:rsid w:val="00B61012"/>
    <w:rsid w:val="00B62ECD"/>
    <w:rsid w:val="00B6388D"/>
    <w:rsid w:val="00B644AE"/>
    <w:rsid w:val="00B65246"/>
    <w:rsid w:val="00B66113"/>
    <w:rsid w:val="00B67C9A"/>
    <w:rsid w:val="00B716A5"/>
    <w:rsid w:val="00B72C37"/>
    <w:rsid w:val="00B73EAF"/>
    <w:rsid w:val="00B7482D"/>
    <w:rsid w:val="00B75C80"/>
    <w:rsid w:val="00B75F5A"/>
    <w:rsid w:val="00B773CD"/>
    <w:rsid w:val="00B7774D"/>
    <w:rsid w:val="00B80A79"/>
    <w:rsid w:val="00B8232C"/>
    <w:rsid w:val="00B84291"/>
    <w:rsid w:val="00B84746"/>
    <w:rsid w:val="00B85E4B"/>
    <w:rsid w:val="00B9071B"/>
    <w:rsid w:val="00B919EB"/>
    <w:rsid w:val="00B91CB2"/>
    <w:rsid w:val="00B92017"/>
    <w:rsid w:val="00B929D5"/>
    <w:rsid w:val="00B933DA"/>
    <w:rsid w:val="00B944BF"/>
    <w:rsid w:val="00B94BF0"/>
    <w:rsid w:val="00B94D3E"/>
    <w:rsid w:val="00BA3031"/>
    <w:rsid w:val="00BA44FD"/>
    <w:rsid w:val="00BA4AE6"/>
    <w:rsid w:val="00BA68AC"/>
    <w:rsid w:val="00BA7440"/>
    <w:rsid w:val="00BB1F60"/>
    <w:rsid w:val="00BB5E80"/>
    <w:rsid w:val="00BB6C41"/>
    <w:rsid w:val="00BB6E60"/>
    <w:rsid w:val="00BB769F"/>
    <w:rsid w:val="00BC1FD6"/>
    <w:rsid w:val="00BC32CF"/>
    <w:rsid w:val="00BC5225"/>
    <w:rsid w:val="00BC5A1A"/>
    <w:rsid w:val="00BC69C2"/>
    <w:rsid w:val="00BD0F2D"/>
    <w:rsid w:val="00BD13AB"/>
    <w:rsid w:val="00BD2E3A"/>
    <w:rsid w:val="00BD5E3D"/>
    <w:rsid w:val="00BD64F9"/>
    <w:rsid w:val="00BD6805"/>
    <w:rsid w:val="00BD77BD"/>
    <w:rsid w:val="00BE0260"/>
    <w:rsid w:val="00BE17CB"/>
    <w:rsid w:val="00BE22E1"/>
    <w:rsid w:val="00BE30CB"/>
    <w:rsid w:val="00BE41B1"/>
    <w:rsid w:val="00BE4F88"/>
    <w:rsid w:val="00BE635E"/>
    <w:rsid w:val="00BE6B6A"/>
    <w:rsid w:val="00BF1038"/>
    <w:rsid w:val="00BF2053"/>
    <w:rsid w:val="00BF3CB3"/>
    <w:rsid w:val="00BF44DD"/>
    <w:rsid w:val="00BF482B"/>
    <w:rsid w:val="00BF4C4E"/>
    <w:rsid w:val="00BF515D"/>
    <w:rsid w:val="00C02E9A"/>
    <w:rsid w:val="00C0318F"/>
    <w:rsid w:val="00C0383E"/>
    <w:rsid w:val="00C0450F"/>
    <w:rsid w:val="00C06324"/>
    <w:rsid w:val="00C0798B"/>
    <w:rsid w:val="00C103C7"/>
    <w:rsid w:val="00C10CC1"/>
    <w:rsid w:val="00C11787"/>
    <w:rsid w:val="00C1193A"/>
    <w:rsid w:val="00C13823"/>
    <w:rsid w:val="00C14F79"/>
    <w:rsid w:val="00C201EA"/>
    <w:rsid w:val="00C2231E"/>
    <w:rsid w:val="00C22818"/>
    <w:rsid w:val="00C321E1"/>
    <w:rsid w:val="00C400D5"/>
    <w:rsid w:val="00C42E08"/>
    <w:rsid w:val="00C463B7"/>
    <w:rsid w:val="00C46D3A"/>
    <w:rsid w:val="00C47931"/>
    <w:rsid w:val="00C50DF4"/>
    <w:rsid w:val="00C53426"/>
    <w:rsid w:val="00C534D5"/>
    <w:rsid w:val="00C53C88"/>
    <w:rsid w:val="00C542FB"/>
    <w:rsid w:val="00C54C55"/>
    <w:rsid w:val="00C55AD7"/>
    <w:rsid w:val="00C60EDA"/>
    <w:rsid w:val="00C61857"/>
    <w:rsid w:val="00C624C6"/>
    <w:rsid w:val="00C62B05"/>
    <w:rsid w:val="00C63DAA"/>
    <w:rsid w:val="00C659D7"/>
    <w:rsid w:val="00C71412"/>
    <w:rsid w:val="00C73564"/>
    <w:rsid w:val="00C74D98"/>
    <w:rsid w:val="00C7515C"/>
    <w:rsid w:val="00C7668A"/>
    <w:rsid w:val="00C76AC6"/>
    <w:rsid w:val="00C80B3D"/>
    <w:rsid w:val="00C824BA"/>
    <w:rsid w:val="00C834C7"/>
    <w:rsid w:val="00C87A96"/>
    <w:rsid w:val="00C90E8D"/>
    <w:rsid w:val="00C93E27"/>
    <w:rsid w:val="00C95B77"/>
    <w:rsid w:val="00C95BF6"/>
    <w:rsid w:val="00CA2781"/>
    <w:rsid w:val="00CA3853"/>
    <w:rsid w:val="00CA40EC"/>
    <w:rsid w:val="00CA6BF9"/>
    <w:rsid w:val="00CA71E5"/>
    <w:rsid w:val="00CB0C00"/>
    <w:rsid w:val="00CB1E9A"/>
    <w:rsid w:val="00CB5ACF"/>
    <w:rsid w:val="00CB5B8D"/>
    <w:rsid w:val="00CB62CB"/>
    <w:rsid w:val="00CB66E3"/>
    <w:rsid w:val="00CC02A4"/>
    <w:rsid w:val="00CC1493"/>
    <w:rsid w:val="00CC3C64"/>
    <w:rsid w:val="00CC7B63"/>
    <w:rsid w:val="00CD1F80"/>
    <w:rsid w:val="00CD501E"/>
    <w:rsid w:val="00CD5309"/>
    <w:rsid w:val="00CD5A29"/>
    <w:rsid w:val="00CE075B"/>
    <w:rsid w:val="00CE0C55"/>
    <w:rsid w:val="00CE1AD1"/>
    <w:rsid w:val="00CE6B94"/>
    <w:rsid w:val="00CF1093"/>
    <w:rsid w:val="00CF23EF"/>
    <w:rsid w:val="00CF4F2E"/>
    <w:rsid w:val="00CF5D54"/>
    <w:rsid w:val="00CF7F2F"/>
    <w:rsid w:val="00D0119D"/>
    <w:rsid w:val="00D02E2E"/>
    <w:rsid w:val="00D07672"/>
    <w:rsid w:val="00D104AF"/>
    <w:rsid w:val="00D1104A"/>
    <w:rsid w:val="00D12014"/>
    <w:rsid w:val="00D12D3A"/>
    <w:rsid w:val="00D1428E"/>
    <w:rsid w:val="00D1562C"/>
    <w:rsid w:val="00D15B9A"/>
    <w:rsid w:val="00D15BCB"/>
    <w:rsid w:val="00D16352"/>
    <w:rsid w:val="00D20856"/>
    <w:rsid w:val="00D22E4E"/>
    <w:rsid w:val="00D240B6"/>
    <w:rsid w:val="00D27378"/>
    <w:rsid w:val="00D31E2A"/>
    <w:rsid w:val="00D322CC"/>
    <w:rsid w:val="00D345B0"/>
    <w:rsid w:val="00D37588"/>
    <w:rsid w:val="00D37FCA"/>
    <w:rsid w:val="00D40360"/>
    <w:rsid w:val="00D40EB4"/>
    <w:rsid w:val="00D41D3E"/>
    <w:rsid w:val="00D41D56"/>
    <w:rsid w:val="00D43F2B"/>
    <w:rsid w:val="00D44C00"/>
    <w:rsid w:val="00D57F9B"/>
    <w:rsid w:val="00D60239"/>
    <w:rsid w:val="00D62312"/>
    <w:rsid w:val="00D624F4"/>
    <w:rsid w:val="00D62702"/>
    <w:rsid w:val="00D62F07"/>
    <w:rsid w:val="00D64667"/>
    <w:rsid w:val="00D65D9E"/>
    <w:rsid w:val="00D660BC"/>
    <w:rsid w:val="00D67C13"/>
    <w:rsid w:val="00D729AC"/>
    <w:rsid w:val="00D74041"/>
    <w:rsid w:val="00D7482E"/>
    <w:rsid w:val="00D756A7"/>
    <w:rsid w:val="00D77647"/>
    <w:rsid w:val="00D8039D"/>
    <w:rsid w:val="00D817DF"/>
    <w:rsid w:val="00D836EB"/>
    <w:rsid w:val="00D84C30"/>
    <w:rsid w:val="00D84F51"/>
    <w:rsid w:val="00D90250"/>
    <w:rsid w:val="00D904FA"/>
    <w:rsid w:val="00D9465D"/>
    <w:rsid w:val="00D95EE1"/>
    <w:rsid w:val="00D964BC"/>
    <w:rsid w:val="00D9748B"/>
    <w:rsid w:val="00DA0F75"/>
    <w:rsid w:val="00DA183D"/>
    <w:rsid w:val="00DA2A4B"/>
    <w:rsid w:val="00DA498B"/>
    <w:rsid w:val="00DA7D1A"/>
    <w:rsid w:val="00DB0915"/>
    <w:rsid w:val="00DB13EB"/>
    <w:rsid w:val="00DB1638"/>
    <w:rsid w:val="00DB1FEC"/>
    <w:rsid w:val="00DB2F96"/>
    <w:rsid w:val="00DB30FA"/>
    <w:rsid w:val="00DB3855"/>
    <w:rsid w:val="00DB50F1"/>
    <w:rsid w:val="00DB5735"/>
    <w:rsid w:val="00DB5BF1"/>
    <w:rsid w:val="00DC51AD"/>
    <w:rsid w:val="00DC6B78"/>
    <w:rsid w:val="00DC71FD"/>
    <w:rsid w:val="00DC780B"/>
    <w:rsid w:val="00DD170B"/>
    <w:rsid w:val="00DD4F60"/>
    <w:rsid w:val="00DD7466"/>
    <w:rsid w:val="00DD7630"/>
    <w:rsid w:val="00DD7EC5"/>
    <w:rsid w:val="00DE3C96"/>
    <w:rsid w:val="00DE6F4D"/>
    <w:rsid w:val="00DE7009"/>
    <w:rsid w:val="00DF2A8E"/>
    <w:rsid w:val="00DF3447"/>
    <w:rsid w:val="00DF4ABC"/>
    <w:rsid w:val="00DF58E7"/>
    <w:rsid w:val="00DF65B9"/>
    <w:rsid w:val="00DF6A62"/>
    <w:rsid w:val="00E07342"/>
    <w:rsid w:val="00E07BCA"/>
    <w:rsid w:val="00E126A7"/>
    <w:rsid w:val="00E14233"/>
    <w:rsid w:val="00E14F32"/>
    <w:rsid w:val="00E17639"/>
    <w:rsid w:val="00E17C93"/>
    <w:rsid w:val="00E2015D"/>
    <w:rsid w:val="00E207BD"/>
    <w:rsid w:val="00E261FC"/>
    <w:rsid w:val="00E30580"/>
    <w:rsid w:val="00E307CB"/>
    <w:rsid w:val="00E31729"/>
    <w:rsid w:val="00E320DB"/>
    <w:rsid w:val="00E325CA"/>
    <w:rsid w:val="00E330E2"/>
    <w:rsid w:val="00E34D14"/>
    <w:rsid w:val="00E34EBF"/>
    <w:rsid w:val="00E35662"/>
    <w:rsid w:val="00E35D17"/>
    <w:rsid w:val="00E36011"/>
    <w:rsid w:val="00E36CF0"/>
    <w:rsid w:val="00E37C2C"/>
    <w:rsid w:val="00E4067F"/>
    <w:rsid w:val="00E408B1"/>
    <w:rsid w:val="00E43219"/>
    <w:rsid w:val="00E44200"/>
    <w:rsid w:val="00E447D7"/>
    <w:rsid w:val="00E44BFF"/>
    <w:rsid w:val="00E46B3B"/>
    <w:rsid w:val="00E46F57"/>
    <w:rsid w:val="00E4751B"/>
    <w:rsid w:val="00E5010C"/>
    <w:rsid w:val="00E5070C"/>
    <w:rsid w:val="00E50E9B"/>
    <w:rsid w:val="00E5281C"/>
    <w:rsid w:val="00E52B5D"/>
    <w:rsid w:val="00E54F8D"/>
    <w:rsid w:val="00E55FE5"/>
    <w:rsid w:val="00E56E65"/>
    <w:rsid w:val="00E573D7"/>
    <w:rsid w:val="00E57BF0"/>
    <w:rsid w:val="00E6017B"/>
    <w:rsid w:val="00E615F3"/>
    <w:rsid w:val="00E62F77"/>
    <w:rsid w:val="00E6385D"/>
    <w:rsid w:val="00E640B9"/>
    <w:rsid w:val="00E65294"/>
    <w:rsid w:val="00E72C2E"/>
    <w:rsid w:val="00E7306E"/>
    <w:rsid w:val="00E76CE5"/>
    <w:rsid w:val="00E80CC0"/>
    <w:rsid w:val="00E81F4F"/>
    <w:rsid w:val="00E82BC4"/>
    <w:rsid w:val="00E839EB"/>
    <w:rsid w:val="00E8451B"/>
    <w:rsid w:val="00E86A4F"/>
    <w:rsid w:val="00E86DEB"/>
    <w:rsid w:val="00E86E43"/>
    <w:rsid w:val="00E945A3"/>
    <w:rsid w:val="00E95389"/>
    <w:rsid w:val="00E965A5"/>
    <w:rsid w:val="00E97235"/>
    <w:rsid w:val="00E97B46"/>
    <w:rsid w:val="00EA0BE4"/>
    <w:rsid w:val="00EA1436"/>
    <w:rsid w:val="00EA163C"/>
    <w:rsid w:val="00EA2114"/>
    <w:rsid w:val="00EA2A38"/>
    <w:rsid w:val="00EA3872"/>
    <w:rsid w:val="00EA4183"/>
    <w:rsid w:val="00EA4FAB"/>
    <w:rsid w:val="00EA5FA9"/>
    <w:rsid w:val="00EA6345"/>
    <w:rsid w:val="00EB0F03"/>
    <w:rsid w:val="00EB2C48"/>
    <w:rsid w:val="00EB3810"/>
    <w:rsid w:val="00EB4374"/>
    <w:rsid w:val="00EB4555"/>
    <w:rsid w:val="00EB76E0"/>
    <w:rsid w:val="00EC0512"/>
    <w:rsid w:val="00EC15F4"/>
    <w:rsid w:val="00EC242A"/>
    <w:rsid w:val="00EC2C17"/>
    <w:rsid w:val="00EC2F43"/>
    <w:rsid w:val="00EC371F"/>
    <w:rsid w:val="00EC52B2"/>
    <w:rsid w:val="00EC57B9"/>
    <w:rsid w:val="00EC6C39"/>
    <w:rsid w:val="00ED2F1E"/>
    <w:rsid w:val="00ED5537"/>
    <w:rsid w:val="00ED6E3A"/>
    <w:rsid w:val="00ED7EB9"/>
    <w:rsid w:val="00EE2B8C"/>
    <w:rsid w:val="00EE5990"/>
    <w:rsid w:val="00EE5EAA"/>
    <w:rsid w:val="00EE7ED3"/>
    <w:rsid w:val="00EF22B4"/>
    <w:rsid w:val="00EF46E7"/>
    <w:rsid w:val="00EF5179"/>
    <w:rsid w:val="00EF5D31"/>
    <w:rsid w:val="00EF71A9"/>
    <w:rsid w:val="00EF740C"/>
    <w:rsid w:val="00F00AB5"/>
    <w:rsid w:val="00F00CD0"/>
    <w:rsid w:val="00F02F48"/>
    <w:rsid w:val="00F06FA2"/>
    <w:rsid w:val="00F10057"/>
    <w:rsid w:val="00F10CDE"/>
    <w:rsid w:val="00F11BA1"/>
    <w:rsid w:val="00F12B52"/>
    <w:rsid w:val="00F12D97"/>
    <w:rsid w:val="00F132BC"/>
    <w:rsid w:val="00F16061"/>
    <w:rsid w:val="00F20728"/>
    <w:rsid w:val="00F22314"/>
    <w:rsid w:val="00F2245D"/>
    <w:rsid w:val="00F255FB"/>
    <w:rsid w:val="00F25636"/>
    <w:rsid w:val="00F26149"/>
    <w:rsid w:val="00F26A42"/>
    <w:rsid w:val="00F300D5"/>
    <w:rsid w:val="00F36506"/>
    <w:rsid w:val="00F36CB2"/>
    <w:rsid w:val="00F37B86"/>
    <w:rsid w:val="00F403D3"/>
    <w:rsid w:val="00F4087E"/>
    <w:rsid w:val="00F4189E"/>
    <w:rsid w:val="00F43105"/>
    <w:rsid w:val="00F4573F"/>
    <w:rsid w:val="00F45B32"/>
    <w:rsid w:val="00F46533"/>
    <w:rsid w:val="00F47A10"/>
    <w:rsid w:val="00F5182A"/>
    <w:rsid w:val="00F52B54"/>
    <w:rsid w:val="00F53956"/>
    <w:rsid w:val="00F53B5B"/>
    <w:rsid w:val="00F56D78"/>
    <w:rsid w:val="00F601C1"/>
    <w:rsid w:val="00F64EDE"/>
    <w:rsid w:val="00F65759"/>
    <w:rsid w:val="00F663F4"/>
    <w:rsid w:val="00F6654A"/>
    <w:rsid w:val="00F67CDF"/>
    <w:rsid w:val="00F67E3F"/>
    <w:rsid w:val="00F70F43"/>
    <w:rsid w:val="00F71492"/>
    <w:rsid w:val="00F74C0C"/>
    <w:rsid w:val="00F772E9"/>
    <w:rsid w:val="00F77720"/>
    <w:rsid w:val="00F83B0F"/>
    <w:rsid w:val="00F86AD4"/>
    <w:rsid w:val="00F8726F"/>
    <w:rsid w:val="00F8772F"/>
    <w:rsid w:val="00F90258"/>
    <w:rsid w:val="00F9229A"/>
    <w:rsid w:val="00F9258D"/>
    <w:rsid w:val="00F96A41"/>
    <w:rsid w:val="00F97CB8"/>
    <w:rsid w:val="00FA1224"/>
    <w:rsid w:val="00FA1474"/>
    <w:rsid w:val="00FA2AAE"/>
    <w:rsid w:val="00FA2D9B"/>
    <w:rsid w:val="00FA46A0"/>
    <w:rsid w:val="00FA710E"/>
    <w:rsid w:val="00FA7865"/>
    <w:rsid w:val="00FA7ABF"/>
    <w:rsid w:val="00FB0DE2"/>
    <w:rsid w:val="00FB165E"/>
    <w:rsid w:val="00FB21F8"/>
    <w:rsid w:val="00FB27C0"/>
    <w:rsid w:val="00FB2D9A"/>
    <w:rsid w:val="00FB3D51"/>
    <w:rsid w:val="00FB42AA"/>
    <w:rsid w:val="00FB4576"/>
    <w:rsid w:val="00FB6BB8"/>
    <w:rsid w:val="00FC1C19"/>
    <w:rsid w:val="00FC4860"/>
    <w:rsid w:val="00FC544A"/>
    <w:rsid w:val="00FD3437"/>
    <w:rsid w:val="00FD49D4"/>
    <w:rsid w:val="00FD571F"/>
    <w:rsid w:val="00FE0DDD"/>
    <w:rsid w:val="00FE3A4E"/>
    <w:rsid w:val="00FE4C94"/>
    <w:rsid w:val="00FF2F0E"/>
    <w:rsid w:val="00FF3572"/>
    <w:rsid w:val="00FF5078"/>
    <w:rsid w:val="00FF5729"/>
    <w:rsid w:val="00FF71EA"/>
    <w:rsid w:val="00FF72E4"/>
    <w:rsid w:val="01BF74C1"/>
    <w:rsid w:val="0516D9AB"/>
    <w:rsid w:val="0903D03C"/>
    <w:rsid w:val="0D420326"/>
    <w:rsid w:val="117B7BB7"/>
    <w:rsid w:val="12502200"/>
    <w:rsid w:val="1A003CC2"/>
    <w:rsid w:val="1E31C69A"/>
    <w:rsid w:val="2088E4BA"/>
    <w:rsid w:val="22C310A1"/>
    <w:rsid w:val="25223F28"/>
    <w:rsid w:val="2DFE9700"/>
    <w:rsid w:val="371E060B"/>
    <w:rsid w:val="3858D490"/>
    <w:rsid w:val="39D78180"/>
    <w:rsid w:val="3AC9E2B2"/>
    <w:rsid w:val="41C8D390"/>
    <w:rsid w:val="46460C96"/>
    <w:rsid w:val="48381514"/>
    <w:rsid w:val="4FE80A76"/>
    <w:rsid w:val="5604BED7"/>
    <w:rsid w:val="61C4C3A3"/>
    <w:rsid w:val="6710BB0E"/>
    <w:rsid w:val="694E0607"/>
    <w:rsid w:val="6FB4C487"/>
    <w:rsid w:val="720D22DA"/>
    <w:rsid w:val="78DC079B"/>
    <w:rsid w:val="7E9F0D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11C0A"/>
  <w15:docId w15:val="{BF237E53-910D-44BD-A65E-938011551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qFormat="1"/>
    <w:lsdException w:name="caption" w:semiHidden="1" w:unhideWhenUsed="1" w:qFormat="1"/>
    <w:lsdException w:name="annotation reference" w:uiPriority="99"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07FA"/>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qFormat/>
    <w:rsid w:val="0080257B"/>
    <w:pPr>
      <w:keepNext/>
      <w:keepLines/>
      <w:spacing w:before="360"/>
      <w:ind w:left="794" w:hanging="794"/>
      <w:outlineLvl w:val="0"/>
    </w:pPr>
    <w:rPr>
      <w:b/>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link w:val="enumlev1Char"/>
    <w:qFormat/>
    <w:rsid w:val="000A1295"/>
    <w:pPr>
      <w:spacing w:before="80"/>
      <w:ind w:left="794" w:hanging="79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aliases w:val="fo,pie de página,footer odd,footer"/>
    <w:basedOn w:val="Normal"/>
    <w:link w:val="FooterChar"/>
    <w:qFormat/>
    <w:rsid w:val="00E63C59"/>
    <w:pPr>
      <w:tabs>
        <w:tab w:val="left" w:pos="5954"/>
        <w:tab w:val="right" w:pos="9639"/>
      </w:tabs>
      <w:spacing w:before="0"/>
    </w:pPr>
    <w:rPr>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noProof w:val="0"/>
    </w:rPr>
  </w:style>
  <w:style w:type="character" w:styleId="FootnoteReference">
    <w:name w:val="footnote reference"/>
    <w:aliases w:val="Appel note de bas de p,Footnote Reference/,ft#,Footnote symbol,Ref,de nota al pie"/>
    <w:rsid w:val="00964CF0"/>
    <w:rPr>
      <w:rFonts w:ascii="Calibri" w:hAnsi="Calibr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sz w:val="28"/>
    </w:rPr>
  </w:style>
  <w:style w:type="paragraph" w:customStyle="1" w:styleId="Rectitle">
    <w:name w:val="Rec_title"/>
    <w:basedOn w:val="RecNo"/>
    <w:next w:val="Recref"/>
    <w:rsid w:val="00D1428E"/>
    <w:pPr>
      <w:spacing w:before="240"/>
    </w:pPr>
    <w:rPr>
      <w:b/>
      <w:sz w:val="26"/>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link w:val="ResNoChar"/>
    <w:rsid w:val="00E63C59"/>
  </w:style>
  <w:style w:type="paragraph" w:customStyle="1" w:styleId="Restitle">
    <w:name w:val="Res_title"/>
    <w:basedOn w:val="Rectitle"/>
    <w:next w:val="Resref"/>
    <w:link w:val="RestitleChar"/>
    <w:rsid w:val="00E63C59"/>
  </w:style>
  <w:style w:type="paragraph" w:customStyle="1" w:styleId="Resref">
    <w:name w:val="Res_ref"/>
    <w:basedOn w:val="Recref"/>
    <w:next w:val="Resdate"/>
    <w:link w:val="ResrefChar"/>
    <w:qFormat/>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pPr>
    <w:rPr>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rPr>
  </w:style>
  <w:style w:type="paragraph" w:customStyle="1" w:styleId="Title2">
    <w:name w:val="Title 2"/>
    <w:basedOn w:val="Source"/>
    <w:next w:val="Title3"/>
    <w:rsid w:val="00E63C59"/>
    <w:pPr>
      <w:overflowPunct/>
      <w:autoSpaceDE/>
      <w:autoSpaceDN/>
      <w:adjustRightInd/>
      <w:spacing w:before="480"/>
      <w:textAlignment w:val="auto"/>
    </w:pPr>
    <w:rPr>
      <w:b w:val="0"/>
    </w:rPr>
  </w:style>
  <w:style w:type="paragraph" w:customStyle="1" w:styleId="Title3">
    <w:name w:val="Title 3"/>
    <w:basedOn w:val="Title2"/>
    <w:next w:val="Title4"/>
    <w:rsid w:val="00E63C59"/>
    <w:pPr>
      <w:spacing w:before="240"/>
    </w:p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sz w:val="20"/>
    </w:rPr>
  </w:style>
  <w:style w:type="paragraph" w:customStyle="1" w:styleId="AnnexNo">
    <w:name w:val="Annex_No"/>
    <w:basedOn w:val="Normal"/>
    <w:next w:val="Normal"/>
    <w:link w:val="AnnexNoChar"/>
    <w:rsid w:val="00D31E2A"/>
    <w:pPr>
      <w:keepNext/>
      <w:keepLines/>
      <w:spacing w:before="480" w:after="80"/>
      <w:jc w:val="center"/>
    </w:pPr>
    <w:rPr>
      <w:sz w:val="26"/>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link w:val="AnnextitleChar"/>
    <w:rsid w:val="00D31E2A"/>
    <w:pPr>
      <w:keepNext/>
      <w:keepLines/>
      <w:spacing w:before="240" w:after="280"/>
      <w:jc w:val="center"/>
    </w:pPr>
    <w:rPr>
      <w:b/>
      <w:sz w:val="26"/>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link w:val="NormalaftertitleChar"/>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qFormat/>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uiPriority w:val="99"/>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uiPriority w:val="99"/>
    <w:qFormat/>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D62702"/>
    <w:rPr>
      <w:b/>
      <w:bCs/>
    </w:rPr>
  </w:style>
  <w:style w:type="character" w:customStyle="1" w:styleId="CommentSubjectChar">
    <w:name w:val="Comment Subject Char"/>
    <w:basedOn w:val="CommentTextChar"/>
    <w:link w:val="CommentSubject"/>
    <w:rsid w:val="00D62702"/>
    <w:rPr>
      <w:rFonts w:ascii="Calibri" w:hAnsi="Calibri"/>
      <w:b/>
      <w:bCs/>
      <w:lang w:val="en-GB" w:eastAsia="en-US"/>
    </w:rPr>
  </w:style>
  <w:style w:type="character" w:customStyle="1" w:styleId="normaltextrun">
    <w:name w:val="normaltextrun"/>
    <w:basedOn w:val="DefaultParagraphFont"/>
    <w:rsid w:val="00B67C9A"/>
  </w:style>
  <w:style w:type="character" w:customStyle="1" w:styleId="eop">
    <w:name w:val="eop"/>
    <w:basedOn w:val="DefaultParagraphFont"/>
    <w:rsid w:val="00B67C9A"/>
  </w:style>
  <w:style w:type="paragraph" w:customStyle="1" w:styleId="paragraph">
    <w:name w:val="paragraph"/>
    <w:basedOn w:val="Normal"/>
    <w:rsid w:val="00B67C9A"/>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hAnsi="Times New Roman"/>
      <w:szCs w:val="24"/>
      <w:lang w:eastAsia="en-GB"/>
    </w:rPr>
  </w:style>
  <w:style w:type="paragraph" w:styleId="Revision">
    <w:name w:val="Revision"/>
    <w:hidden/>
    <w:rsid w:val="00830733"/>
    <w:rPr>
      <w:rFonts w:ascii="Calibri" w:hAnsi="Calibri"/>
      <w:sz w:val="24"/>
      <w:lang w:val="en-GB" w:eastAsia="en-US"/>
    </w:rPr>
  </w:style>
  <w:style w:type="character" w:styleId="UnresolvedMention">
    <w:name w:val="Unresolved Mention"/>
    <w:basedOn w:val="DefaultParagraphFont"/>
    <w:uiPriority w:val="99"/>
    <w:semiHidden/>
    <w:unhideWhenUsed/>
    <w:rsid w:val="00A23D24"/>
    <w:rPr>
      <w:color w:val="605E5C"/>
      <w:shd w:val="clear" w:color="auto" w:fill="E1DFDD"/>
    </w:rPr>
  </w:style>
  <w:style w:type="paragraph" w:styleId="ListParagraph">
    <w:name w:val="List Paragraph"/>
    <w:basedOn w:val="Normal"/>
    <w:uiPriority w:val="34"/>
    <w:qFormat/>
    <w:rsid w:val="005A7006"/>
    <w:pPr>
      <w:tabs>
        <w:tab w:val="clear" w:pos="794"/>
        <w:tab w:val="clear" w:pos="1191"/>
        <w:tab w:val="clear" w:pos="1588"/>
        <w:tab w:val="clear" w:pos="1985"/>
      </w:tabs>
      <w:overflowPunct/>
      <w:autoSpaceDE/>
      <w:autoSpaceDN/>
      <w:adjustRightInd/>
      <w:spacing w:before="0" w:after="160" w:line="259" w:lineRule="auto"/>
      <w:ind w:left="720"/>
      <w:contextualSpacing/>
      <w:textAlignment w:val="auto"/>
    </w:pPr>
    <w:rPr>
      <w:rFonts w:asciiTheme="minorHAnsi" w:eastAsiaTheme="minorHAnsi" w:hAnsiTheme="minorHAnsi" w:cstheme="minorBidi"/>
      <w:szCs w:val="22"/>
    </w:rPr>
  </w:style>
  <w:style w:type="paragraph" w:styleId="EndnoteText">
    <w:name w:val="endnote text"/>
    <w:basedOn w:val="Normal"/>
    <w:link w:val="EndnoteTextChar"/>
    <w:rsid w:val="00965BB3"/>
    <w:pPr>
      <w:spacing w:before="0"/>
    </w:pPr>
    <w:rPr>
      <w:sz w:val="20"/>
    </w:rPr>
  </w:style>
  <w:style w:type="character" w:customStyle="1" w:styleId="EndnoteTextChar">
    <w:name w:val="Endnote Text Char"/>
    <w:basedOn w:val="DefaultParagraphFont"/>
    <w:link w:val="EndnoteText"/>
    <w:rsid w:val="00965BB3"/>
    <w:rPr>
      <w:rFonts w:ascii="Calibri" w:hAnsi="Calibri"/>
      <w:lang w:val="en-GB" w:eastAsia="en-US"/>
    </w:rPr>
  </w:style>
  <w:style w:type="character" w:styleId="Mention">
    <w:name w:val="Mention"/>
    <w:basedOn w:val="DefaultParagraphFont"/>
    <w:uiPriority w:val="99"/>
    <w:unhideWhenUsed/>
    <w:rsid w:val="00FB0DE2"/>
    <w:rPr>
      <w:color w:val="2B579A"/>
      <w:shd w:val="clear" w:color="auto" w:fill="E1DFDD"/>
    </w:rPr>
  </w:style>
  <w:style w:type="table" w:styleId="TableGrid">
    <w:name w:val="Table Grid"/>
    <w:basedOn w:val="TableNormal"/>
    <w:uiPriority w:val="59"/>
    <w:rsid w:val="005B3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13D99"/>
  </w:style>
  <w:style w:type="paragraph" w:styleId="BodyText">
    <w:name w:val="Body Text"/>
    <w:basedOn w:val="Normal"/>
    <w:link w:val="BodyTextChar"/>
    <w:rsid w:val="00713D99"/>
    <w:pPr>
      <w:overflowPunct/>
      <w:autoSpaceDE/>
      <w:autoSpaceDN/>
      <w:adjustRightInd/>
      <w:textAlignment w:val="auto"/>
    </w:pPr>
    <w:rPr>
      <w:b/>
      <w:bCs/>
      <w:sz w:val="24"/>
      <w:szCs w:val="24"/>
      <w:lang w:val="en-US"/>
    </w:rPr>
  </w:style>
  <w:style w:type="character" w:customStyle="1" w:styleId="BodyTextChar">
    <w:name w:val="Body Text Char"/>
    <w:basedOn w:val="DefaultParagraphFont"/>
    <w:link w:val="BodyText"/>
    <w:rsid w:val="00713D99"/>
    <w:rPr>
      <w:rFonts w:ascii="Calibri" w:hAnsi="Calibri"/>
      <w:b/>
      <w:bCs/>
      <w:sz w:val="24"/>
      <w:szCs w:val="24"/>
      <w:lang w:eastAsia="en-US"/>
    </w:rPr>
  </w:style>
  <w:style w:type="paragraph" w:styleId="Title">
    <w:name w:val="Title"/>
    <w:basedOn w:val="Normal"/>
    <w:link w:val="TitleChar"/>
    <w:qFormat/>
    <w:rsid w:val="00713D99"/>
    <w:pPr>
      <w:overflowPunct/>
      <w:autoSpaceDE/>
      <w:autoSpaceDN/>
      <w:adjustRightInd/>
      <w:jc w:val="center"/>
      <w:textAlignment w:val="auto"/>
    </w:pPr>
    <w:rPr>
      <w:b/>
      <w:bCs/>
      <w:sz w:val="24"/>
      <w:szCs w:val="24"/>
      <w:lang w:val="en-US"/>
    </w:rPr>
  </w:style>
  <w:style w:type="character" w:customStyle="1" w:styleId="TitleChar">
    <w:name w:val="Title Char"/>
    <w:basedOn w:val="DefaultParagraphFont"/>
    <w:link w:val="Title"/>
    <w:rsid w:val="00713D99"/>
    <w:rPr>
      <w:rFonts w:ascii="Calibri" w:hAnsi="Calibri"/>
      <w:b/>
      <w:bCs/>
      <w:sz w:val="24"/>
      <w:szCs w:val="24"/>
      <w:lang w:eastAsia="en-US"/>
    </w:rPr>
  </w:style>
  <w:style w:type="paragraph" w:customStyle="1" w:styleId="xl24">
    <w:name w:val="xl24"/>
    <w:basedOn w:val="Normal"/>
    <w:rsid w:val="00713D99"/>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val="en-US"/>
    </w:rPr>
  </w:style>
  <w:style w:type="paragraph" w:customStyle="1" w:styleId="xl25">
    <w:name w:val="xl25"/>
    <w:basedOn w:val="Normal"/>
    <w:rsid w:val="00713D99"/>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Arial Unicode MS" w:eastAsia="Arial Unicode MS" w:hAnsi="Arial Unicode MS" w:cs="Arial Unicode MS"/>
      <w:sz w:val="24"/>
      <w:szCs w:val="24"/>
      <w:lang w:val="en-US"/>
    </w:rPr>
  </w:style>
  <w:style w:type="paragraph" w:customStyle="1" w:styleId="Bureau">
    <w:name w:val="Bureau"/>
    <w:basedOn w:val="Normal"/>
    <w:rsid w:val="00713D99"/>
    <w:pPr>
      <w:tabs>
        <w:tab w:val="right" w:pos="8732"/>
      </w:tabs>
      <w:overflowPunct/>
      <w:autoSpaceDE/>
      <w:autoSpaceDN/>
      <w:adjustRightInd/>
      <w:textAlignment w:val="auto"/>
    </w:pPr>
    <w:rPr>
      <w:rFonts w:ascii="Futura Lt BT" w:hAnsi="Futura Lt BT"/>
      <w:i/>
      <w:sz w:val="28"/>
      <w:lang w:val="en-US" w:bidi="he-IL"/>
    </w:rPr>
  </w:style>
  <w:style w:type="paragraph" w:customStyle="1" w:styleId="Logo">
    <w:name w:val="Logo"/>
    <w:basedOn w:val="Normal"/>
    <w:rsid w:val="00713D99"/>
    <w:pPr>
      <w:overflowPunct/>
      <w:autoSpaceDE/>
      <w:autoSpaceDN/>
      <w:adjustRightInd/>
      <w:spacing w:before="100"/>
      <w:jc w:val="right"/>
      <w:textAlignment w:val="auto"/>
    </w:pPr>
    <w:rPr>
      <w:rFonts w:ascii="Futura Lt BT" w:hAnsi="Futura Lt BT"/>
      <w:color w:val="FFFFFF"/>
      <w:sz w:val="20"/>
      <w:lang w:val="en-US" w:bidi="he-IL"/>
    </w:rPr>
  </w:style>
  <w:style w:type="paragraph" w:customStyle="1" w:styleId="Table">
    <w:name w:val="Table_#"/>
    <w:basedOn w:val="Normal"/>
    <w:next w:val="Normal"/>
    <w:rsid w:val="00713D99"/>
    <w:pPr>
      <w:keepNext/>
      <w:spacing w:before="560" w:after="120"/>
      <w:jc w:val="center"/>
    </w:pPr>
    <w:rPr>
      <w:caps/>
      <w:sz w:val="24"/>
    </w:rPr>
  </w:style>
  <w:style w:type="paragraph" w:customStyle="1" w:styleId="AnnexTitle0">
    <w:name w:val="Annex_Title"/>
    <w:basedOn w:val="Normal"/>
    <w:next w:val="Normal"/>
    <w:rsid w:val="00713D99"/>
    <w:pPr>
      <w:keepNext/>
      <w:keepLines/>
      <w:spacing w:before="240" w:after="280"/>
      <w:jc w:val="center"/>
    </w:pPr>
    <w:rPr>
      <w:b/>
      <w:sz w:val="24"/>
    </w:rPr>
  </w:style>
  <w:style w:type="paragraph" w:styleId="BodyTextIndent">
    <w:name w:val="Body Text Indent"/>
    <w:basedOn w:val="Normal"/>
    <w:link w:val="BodyTextIndentChar"/>
    <w:rsid w:val="00713D99"/>
    <w:pPr>
      <w:tabs>
        <w:tab w:val="left" w:pos="141"/>
      </w:tabs>
      <w:overflowPunct/>
      <w:autoSpaceDE/>
      <w:autoSpaceDN/>
      <w:adjustRightInd/>
      <w:ind w:left="141" w:hanging="141"/>
      <w:textAlignment w:val="auto"/>
    </w:pPr>
    <w:rPr>
      <w:sz w:val="24"/>
      <w:szCs w:val="24"/>
      <w:lang w:val="en-US"/>
    </w:rPr>
  </w:style>
  <w:style w:type="character" w:customStyle="1" w:styleId="BodyTextIndentChar">
    <w:name w:val="Body Text Indent Char"/>
    <w:basedOn w:val="DefaultParagraphFont"/>
    <w:link w:val="BodyTextIndent"/>
    <w:rsid w:val="00713D99"/>
    <w:rPr>
      <w:rFonts w:ascii="Calibri" w:hAnsi="Calibri"/>
      <w:sz w:val="24"/>
      <w:szCs w:val="24"/>
      <w:lang w:eastAsia="en-US"/>
    </w:rPr>
  </w:style>
  <w:style w:type="paragraph" w:styleId="BodyTextIndent2">
    <w:name w:val="Body Text Indent 2"/>
    <w:basedOn w:val="Normal"/>
    <w:link w:val="BodyTextIndent2Char"/>
    <w:rsid w:val="00713D99"/>
    <w:pPr>
      <w:tabs>
        <w:tab w:val="left" w:pos="284"/>
        <w:tab w:val="left" w:pos="4111"/>
      </w:tabs>
      <w:overflowPunct/>
      <w:autoSpaceDE/>
      <w:autoSpaceDN/>
      <w:adjustRightInd/>
      <w:ind w:left="284" w:hanging="227"/>
      <w:textAlignment w:val="auto"/>
    </w:pPr>
    <w:rPr>
      <w:szCs w:val="24"/>
      <w:lang w:val="ru-RU"/>
    </w:rPr>
  </w:style>
  <w:style w:type="character" w:customStyle="1" w:styleId="BodyTextIndent2Char">
    <w:name w:val="Body Text Indent 2 Char"/>
    <w:basedOn w:val="DefaultParagraphFont"/>
    <w:link w:val="BodyTextIndent2"/>
    <w:rsid w:val="00713D99"/>
    <w:rPr>
      <w:rFonts w:ascii="Calibri" w:hAnsi="Calibri"/>
      <w:sz w:val="22"/>
      <w:szCs w:val="24"/>
      <w:lang w:val="ru-RU" w:eastAsia="en-US"/>
    </w:rPr>
  </w:style>
  <w:style w:type="paragraph" w:customStyle="1" w:styleId="itu">
    <w:name w:val="itu"/>
    <w:basedOn w:val="Normal"/>
    <w:rsid w:val="00713D99"/>
    <w:pPr>
      <w:tabs>
        <w:tab w:val="left" w:pos="709"/>
        <w:tab w:val="left" w:pos="1134"/>
      </w:tabs>
      <w:overflowPunct/>
      <w:autoSpaceDE/>
      <w:autoSpaceDN/>
      <w:adjustRightInd/>
      <w:textAlignment w:val="auto"/>
    </w:pPr>
    <w:rPr>
      <w:rFonts w:ascii="Futura Lt BT" w:hAnsi="Futura Lt BT"/>
      <w:sz w:val="18"/>
    </w:rPr>
  </w:style>
  <w:style w:type="character" w:customStyle="1" w:styleId="FooterChar">
    <w:name w:val="Footer Char"/>
    <w:aliases w:val="fo Char,pie de página Char,footer odd Char,footer Char"/>
    <w:basedOn w:val="DefaultParagraphFont"/>
    <w:link w:val="Footer"/>
    <w:rsid w:val="00713D99"/>
    <w:rPr>
      <w:rFonts w:ascii="Calibri" w:hAnsi="Calibri"/>
      <w:noProof/>
      <w:sz w:val="16"/>
      <w:lang w:val="en-GB" w:eastAsia="en-US"/>
    </w:rPr>
  </w:style>
  <w:style w:type="paragraph" w:customStyle="1" w:styleId="TableText0">
    <w:name w:val="Table_Text"/>
    <w:basedOn w:val="Normal"/>
    <w:rsid w:val="00713D9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713D99"/>
    <w:rPr>
      <w:rFonts w:ascii="Calibri" w:hAnsi="Calibri"/>
      <w:sz w:val="22"/>
      <w:lang w:val="en-GB" w:eastAsia="en-US"/>
    </w:rPr>
  </w:style>
  <w:style w:type="character" w:customStyle="1" w:styleId="enumlev1Char">
    <w:name w:val="enumlev1 Char"/>
    <w:basedOn w:val="DefaultParagraphFont"/>
    <w:link w:val="enumlev1"/>
    <w:rsid w:val="00713D99"/>
    <w:rPr>
      <w:rFonts w:ascii="Calibri" w:hAnsi="Calibri"/>
      <w:sz w:val="22"/>
      <w:lang w:val="en-GB" w:eastAsia="en-US"/>
    </w:rPr>
  </w:style>
  <w:style w:type="character" w:customStyle="1" w:styleId="CallChar">
    <w:name w:val="Call Char"/>
    <w:basedOn w:val="DefaultParagraphFont"/>
    <w:link w:val="Call"/>
    <w:rsid w:val="00713D99"/>
    <w:rPr>
      <w:rFonts w:ascii="Calibri" w:hAnsi="Calibri"/>
      <w:i/>
      <w:sz w:val="22"/>
      <w:lang w:val="en-GB" w:eastAsia="en-US"/>
    </w:rPr>
  </w:style>
  <w:style w:type="character" w:customStyle="1" w:styleId="ResNoChar">
    <w:name w:val="Res_No Char"/>
    <w:basedOn w:val="DefaultParagraphFont"/>
    <w:link w:val="ResNo"/>
    <w:rsid w:val="00713D99"/>
    <w:rPr>
      <w:rFonts w:ascii="Calibri" w:hAnsi="Calibri"/>
      <w:sz w:val="28"/>
      <w:lang w:val="en-GB" w:eastAsia="en-US"/>
    </w:rPr>
  </w:style>
  <w:style w:type="character" w:customStyle="1" w:styleId="href">
    <w:name w:val="href"/>
    <w:basedOn w:val="DefaultParagraphFont"/>
    <w:rsid w:val="00713D99"/>
  </w:style>
  <w:style w:type="character" w:customStyle="1" w:styleId="RestitleChar">
    <w:name w:val="Res_title Char"/>
    <w:basedOn w:val="DefaultParagraphFont"/>
    <w:link w:val="Restitle"/>
    <w:rsid w:val="00713D99"/>
    <w:rPr>
      <w:rFonts w:ascii="Calibri" w:hAnsi="Calibri"/>
      <w:b/>
      <w:sz w:val="28"/>
      <w:lang w:val="en-GB" w:eastAsia="en-US"/>
    </w:rPr>
  </w:style>
  <w:style w:type="character" w:customStyle="1" w:styleId="NormalaftertitleChar">
    <w:name w:val="Normal after title Char"/>
    <w:basedOn w:val="DefaultParagraphFont"/>
    <w:link w:val="Normalaftertitle0"/>
    <w:locked/>
    <w:rsid w:val="00713D99"/>
    <w:rPr>
      <w:rFonts w:ascii="Calibri" w:hAnsi="Calibri"/>
      <w:sz w:val="22"/>
      <w:lang w:val="en-GB" w:eastAsia="en-US"/>
    </w:rPr>
  </w:style>
  <w:style w:type="character" w:customStyle="1" w:styleId="AnnextitleChar">
    <w:name w:val="Annex_title Char"/>
    <w:basedOn w:val="DefaultParagraphFont"/>
    <w:link w:val="Annextitle"/>
    <w:rsid w:val="00713D99"/>
    <w:rPr>
      <w:rFonts w:ascii="Calibri" w:hAnsi="Calibri"/>
      <w:b/>
      <w:sz w:val="26"/>
      <w:lang w:val="en-GB" w:eastAsia="en-US"/>
    </w:rPr>
  </w:style>
  <w:style w:type="character" w:customStyle="1" w:styleId="AnnexNoChar">
    <w:name w:val="Annex_No Char"/>
    <w:basedOn w:val="DefaultParagraphFont"/>
    <w:link w:val="AnnexNo"/>
    <w:rsid w:val="00713D99"/>
    <w:rPr>
      <w:rFonts w:ascii="Calibri" w:hAnsi="Calibri"/>
      <w:sz w:val="26"/>
      <w:lang w:val="en-GB" w:eastAsia="en-US"/>
    </w:rPr>
  </w:style>
  <w:style w:type="character" w:customStyle="1" w:styleId="ResrefChar">
    <w:name w:val="Res_ref Char"/>
    <w:basedOn w:val="DefaultParagraphFont"/>
    <w:link w:val="Resref"/>
    <w:rsid w:val="00713D99"/>
    <w:rPr>
      <w:rFonts w:ascii="Calibri" w:hAnsi="Calibri"/>
      <w:sz w:val="22"/>
      <w:lang w:val="en-GB" w:eastAsia="en-US"/>
    </w:rPr>
  </w:style>
  <w:style w:type="table" w:customStyle="1" w:styleId="TableGrid1">
    <w:name w:val="Table Grid1"/>
    <w:basedOn w:val="TableNormal"/>
    <w:next w:val="TableGrid"/>
    <w:rsid w:val="00713D9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nhideWhenUsed/>
    <w:rsid w:val="00713D99"/>
    <w:pPr>
      <w:tabs>
        <w:tab w:val="num" w:pos="360"/>
      </w:tabs>
      <w:overflowPunct/>
      <w:autoSpaceDE/>
      <w:autoSpaceDN/>
      <w:adjustRightInd/>
      <w:ind w:left="360" w:hanging="360"/>
      <w:contextualSpacing/>
      <w:textAlignment w:val="auto"/>
    </w:pPr>
    <w:rPr>
      <w:szCs w:val="24"/>
      <w:lang w:val="en-US"/>
    </w:rPr>
  </w:style>
  <w:style w:type="character" w:customStyle="1" w:styleId="UnresolvedMention1">
    <w:name w:val="Unresolved Mention1"/>
    <w:basedOn w:val="DefaultParagraphFont"/>
    <w:uiPriority w:val="99"/>
    <w:semiHidden/>
    <w:unhideWhenUsed/>
    <w:rsid w:val="00713D99"/>
    <w:rPr>
      <w:color w:val="605E5C"/>
      <w:shd w:val="clear" w:color="auto" w:fill="E1DFDD"/>
    </w:rPr>
  </w:style>
  <w:style w:type="character" w:customStyle="1" w:styleId="UnresolvedMention2">
    <w:name w:val="Unresolved Mention2"/>
    <w:basedOn w:val="DefaultParagraphFont"/>
    <w:uiPriority w:val="99"/>
    <w:semiHidden/>
    <w:unhideWhenUsed/>
    <w:rsid w:val="00713D99"/>
    <w:rPr>
      <w:color w:val="605E5C"/>
      <w:shd w:val="clear" w:color="auto" w:fill="E1DFDD"/>
    </w:rPr>
  </w:style>
  <w:style w:type="character" w:customStyle="1" w:styleId="ui-provider">
    <w:name w:val="ui-provider"/>
    <w:basedOn w:val="DefaultParagraphFont"/>
    <w:rsid w:val="008A0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4371">
      <w:bodyDiv w:val="1"/>
      <w:marLeft w:val="0"/>
      <w:marRight w:val="0"/>
      <w:marTop w:val="0"/>
      <w:marBottom w:val="0"/>
      <w:divBdr>
        <w:top w:val="none" w:sz="0" w:space="0" w:color="auto"/>
        <w:left w:val="none" w:sz="0" w:space="0" w:color="auto"/>
        <w:bottom w:val="none" w:sz="0" w:space="0" w:color="auto"/>
        <w:right w:val="none" w:sz="0" w:space="0" w:color="auto"/>
      </w:divBdr>
    </w:div>
    <w:div w:id="87896136">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43573233">
      <w:bodyDiv w:val="1"/>
      <w:marLeft w:val="0"/>
      <w:marRight w:val="0"/>
      <w:marTop w:val="0"/>
      <w:marBottom w:val="0"/>
      <w:divBdr>
        <w:top w:val="none" w:sz="0" w:space="0" w:color="auto"/>
        <w:left w:val="none" w:sz="0" w:space="0" w:color="auto"/>
        <w:bottom w:val="none" w:sz="0" w:space="0" w:color="auto"/>
        <w:right w:val="none" w:sz="0" w:space="0" w:color="auto"/>
      </w:divBdr>
    </w:div>
    <w:div w:id="783228604">
      <w:bodyDiv w:val="1"/>
      <w:marLeft w:val="0"/>
      <w:marRight w:val="0"/>
      <w:marTop w:val="0"/>
      <w:marBottom w:val="0"/>
      <w:divBdr>
        <w:top w:val="none" w:sz="0" w:space="0" w:color="auto"/>
        <w:left w:val="none" w:sz="0" w:space="0" w:color="auto"/>
        <w:bottom w:val="none" w:sz="0" w:space="0" w:color="auto"/>
        <w:right w:val="none" w:sz="0" w:space="0" w:color="auto"/>
      </w:divBdr>
    </w:div>
    <w:div w:id="815994760">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001588491">
      <w:bodyDiv w:val="1"/>
      <w:marLeft w:val="0"/>
      <w:marRight w:val="0"/>
      <w:marTop w:val="0"/>
      <w:marBottom w:val="0"/>
      <w:divBdr>
        <w:top w:val="none" w:sz="0" w:space="0" w:color="auto"/>
        <w:left w:val="none" w:sz="0" w:space="0" w:color="auto"/>
        <w:bottom w:val="none" w:sz="0" w:space="0" w:color="auto"/>
        <w:right w:val="none" w:sz="0" w:space="0" w:color="auto"/>
      </w:divBdr>
    </w:div>
    <w:div w:id="1067074051">
      <w:bodyDiv w:val="1"/>
      <w:marLeft w:val="0"/>
      <w:marRight w:val="0"/>
      <w:marTop w:val="0"/>
      <w:marBottom w:val="0"/>
      <w:divBdr>
        <w:top w:val="none" w:sz="0" w:space="0" w:color="auto"/>
        <w:left w:val="none" w:sz="0" w:space="0" w:color="auto"/>
        <w:bottom w:val="none" w:sz="0" w:space="0" w:color="auto"/>
        <w:right w:val="none" w:sz="0" w:space="0" w:color="auto"/>
      </w:divBdr>
    </w:div>
    <w:div w:id="1147237957">
      <w:bodyDiv w:val="1"/>
      <w:marLeft w:val="0"/>
      <w:marRight w:val="0"/>
      <w:marTop w:val="0"/>
      <w:marBottom w:val="0"/>
      <w:divBdr>
        <w:top w:val="none" w:sz="0" w:space="0" w:color="auto"/>
        <w:left w:val="none" w:sz="0" w:space="0" w:color="auto"/>
        <w:bottom w:val="none" w:sz="0" w:space="0" w:color="auto"/>
        <w:right w:val="none" w:sz="0" w:space="0" w:color="auto"/>
      </w:divBdr>
    </w:div>
    <w:div w:id="1186868323">
      <w:bodyDiv w:val="1"/>
      <w:marLeft w:val="0"/>
      <w:marRight w:val="0"/>
      <w:marTop w:val="0"/>
      <w:marBottom w:val="0"/>
      <w:divBdr>
        <w:top w:val="none" w:sz="0" w:space="0" w:color="auto"/>
        <w:left w:val="none" w:sz="0" w:space="0" w:color="auto"/>
        <w:bottom w:val="none" w:sz="0" w:space="0" w:color="auto"/>
        <w:right w:val="none" w:sz="0" w:space="0" w:color="auto"/>
      </w:divBdr>
    </w:div>
    <w:div w:id="1190677093">
      <w:bodyDiv w:val="1"/>
      <w:marLeft w:val="0"/>
      <w:marRight w:val="0"/>
      <w:marTop w:val="0"/>
      <w:marBottom w:val="0"/>
      <w:divBdr>
        <w:top w:val="none" w:sz="0" w:space="0" w:color="auto"/>
        <w:left w:val="none" w:sz="0" w:space="0" w:color="auto"/>
        <w:bottom w:val="none" w:sz="0" w:space="0" w:color="auto"/>
        <w:right w:val="none" w:sz="0" w:space="0" w:color="auto"/>
      </w:divBdr>
    </w:div>
    <w:div w:id="1367874602">
      <w:bodyDiv w:val="1"/>
      <w:marLeft w:val="0"/>
      <w:marRight w:val="0"/>
      <w:marTop w:val="0"/>
      <w:marBottom w:val="0"/>
      <w:divBdr>
        <w:top w:val="none" w:sz="0" w:space="0" w:color="auto"/>
        <w:left w:val="none" w:sz="0" w:space="0" w:color="auto"/>
        <w:bottom w:val="none" w:sz="0" w:space="0" w:color="auto"/>
        <w:right w:val="none" w:sz="0" w:space="0" w:color="auto"/>
      </w:divBdr>
    </w:div>
    <w:div w:id="1422604097">
      <w:bodyDiv w:val="1"/>
      <w:marLeft w:val="0"/>
      <w:marRight w:val="0"/>
      <w:marTop w:val="0"/>
      <w:marBottom w:val="0"/>
      <w:divBdr>
        <w:top w:val="none" w:sz="0" w:space="0" w:color="auto"/>
        <w:left w:val="none" w:sz="0" w:space="0" w:color="auto"/>
        <w:bottom w:val="none" w:sz="0" w:space="0" w:color="auto"/>
        <w:right w:val="none" w:sz="0" w:space="0" w:color="auto"/>
      </w:divBdr>
      <w:divsChild>
        <w:div w:id="708191090">
          <w:marLeft w:val="0"/>
          <w:marRight w:val="0"/>
          <w:marTop w:val="0"/>
          <w:marBottom w:val="0"/>
          <w:divBdr>
            <w:top w:val="none" w:sz="0" w:space="0" w:color="auto"/>
            <w:left w:val="none" w:sz="0" w:space="0" w:color="auto"/>
            <w:bottom w:val="none" w:sz="0" w:space="0" w:color="auto"/>
            <w:right w:val="none" w:sz="0" w:space="0" w:color="auto"/>
          </w:divBdr>
        </w:div>
        <w:div w:id="1741712272">
          <w:marLeft w:val="0"/>
          <w:marRight w:val="0"/>
          <w:marTop w:val="0"/>
          <w:marBottom w:val="0"/>
          <w:divBdr>
            <w:top w:val="none" w:sz="0" w:space="0" w:color="auto"/>
            <w:left w:val="none" w:sz="0" w:space="0" w:color="auto"/>
            <w:bottom w:val="none" w:sz="0" w:space="0" w:color="auto"/>
            <w:right w:val="none" w:sz="0" w:space="0" w:color="auto"/>
          </w:divBdr>
        </w:div>
      </w:divsChild>
    </w:div>
    <w:div w:id="1605111159">
      <w:bodyDiv w:val="1"/>
      <w:marLeft w:val="0"/>
      <w:marRight w:val="0"/>
      <w:marTop w:val="0"/>
      <w:marBottom w:val="0"/>
      <w:divBdr>
        <w:top w:val="none" w:sz="0" w:space="0" w:color="auto"/>
        <w:left w:val="none" w:sz="0" w:space="0" w:color="auto"/>
        <w:bottom w:val="none" w:sz="0" w:space="0" w:color="auto"/>
        <w:right w:val="none" w:sz="0" w:space="0" w:color="auto"/>
      </w:divBdr>
      <w:divsChild>
        <w:div w:id="4676385">
          <w:marLeft w:val="0"/>
          <w:marRight w:val="0"/>
          <w:marTop w:val="0"/>
          <w:marBottom w:val="0"/>
          <w:divBdr>
            <w:top w:val="none" w:sz="0" w:space="0" w:color="auto"/>
            <w:left w:val="none" w:sz="0" w:space="0" w:color="auto"/>
            <w:bottom w:val="none" w:sz="0" w:space="0" w:color="auto"/>
            <w:right w:val="none" w:sz="0" w:space="0" w:color="auto"/>
          </w:divBdr>
        </w:div>
        <w:div w:id="21712761">
          <w:marLeft w:val="0"/>
          <w:marRight w:val="0"/>
          <w:marTop w:val="0"/>
          <w:marBottom w:val="0"/>
          <w:divBdr>
            <w:top w:val="none" w:sz="0" w:space="0" w:color="auto"/>
            <w:left w:val="none" w:sz="0" w:space="0" w:color="auto"/>
            <w:bottom w:val="none" w:sz="0" w:space="0" w:color="auto"/>
            <w:right w:val="none" w:sz="0" w:space="0" w:color="auto"/>
          </w:divBdr>
        </w:div>
        <w:div w:id="33239544">
          <w:marLeft w:val="0"/>
          <w:marRight w:val="0"/>
          <w:marTop w:val="0"/>
          <w:marBottom w:val="0"/>
          <w:divBdr>
            <w:top w:val="none" w:sz="0" w:space="0" w:color="auto"/>
            <w:left w:val="none" w:sz="0" w:space="0" w:color="auto"/>
            <w:bottom w:val="none" w:sz="0" w:space="0" w:color="auto"/>
            <w:right w:val="none" w:sz="0" w:space="0" w:color="auto"/>
          </w:divBdr>
        </w:div>
        <w:div w:id="38869870">
          <w:marLeft w:val="0"/>
          <w:marRight w:val="0"/>
          <w:marTop w:val="0"/>
          <w:marBottom w:val="0"/>
          <w:divBdr>
            <w:top w:val="none" w:sz="0" w:space="0" w:color="auto"/>
            <w:left w:val="none" w:sz="0" w:space="0" w:color="auto"/>
            <w:bottom w:val="none" w:sz="0" w:space="0" w:color="auto"/>
            <w:right w:val="none" w:sz="0" w:space="0" w:color="auto"/>
          </w:divBdr>
        </w:div>
        <w:div w:id="140772559">
          <w:marLeft w:val="0"/>
          <w:marRight w:val="0"/>
          <w:marTop w:val="0"/>
          <w:marBottom w:val="0"/>
          <w:divBdr>
            <w:top w:val="none" w:sz="0" w:space="0" w:color="auto"/>
            <w:left w:val="none" w:sz="0" w:space="0" w:color="auto"/>
            <w:bottom w:val="none" w:sz="0" w:space="0" w:color="auto"/>
            <w:right w:val="none" w:sz="0" w:space="0" w:color="auto"/>
          </w:divBdr>
        </w:div>
        <w:div w:id="329065248">
          <w:marLeft w:val="0"/>
          <w:marRight w:val="0"/>
          <w:marTop w:val="0"/>
          <w:marBottom w:val="0"/>
          <w:divBdr>
            <w:top w:val="none" w:sz="0" w:space="0" w:color="auto"/>
            <w:left w:val="none" w:sz="0" w:space="0" w:color="auto"/>
            <w:bottom w:val="none" w:sz="0" w:space="0" w:color="auto"/>
            <w:right w:val="none" w:sz="0" w:space="0" w:color="auto"/>
          </w:divBdr>
        </w:div>
        <w:div w:id="336540854">
          <w:marLeft w:val="0"/>
          <w:marRight w:val="0"/>
          <w:marTop w:val="0"/>
          <w:marBottom w:val="0"/>
          <w:divBdr>
            <w:top w:val="none" w:sz="0" w:space="0" w:color="auto"/>
            <w:left w:val="none" w:sz="0" w:space="0" w:color="auto"/>
            <w:bottom w:val="none" w:sz="0" w:space="0" w:color="auto"/>
            <w:right w:val="none" w:sz="0" w:space="0" w:color="auto"/>
          </w:divBdr>
        </w:div>
        <w:div w:id="834804304">
          <w:marLeft w:val="0"/>
          <w:marRight w:val="0"/>
          <w:marTop w:val="0"/>
          <w:marBottom w:val="0"/>
          <w:divBdr>
            <w:top w:val="none" w:sz="0" w:space="0" w:color="auto"/>
            <w:left w:val="none" w:sz="0" w:space="0" w:color="auto"/>
            <w:bottom w:val="none" w:sz="0" w:space="0" w:color="auto"/>
            <w:right w:val="none" w:sz="0" w:space="0" w:color="auto"/>
          </w:divBdr>
        </w:div>
        <w:div w:id="998535149">
          <w:marLeft w:val="0"/>
          <w:marRight w:val="0"/>
          <w:marTop w:val="0"/>
          <w:marBottom w:val="0"/>
          <w:divBdr>
            <w:top w:val="none" w:sz="0" w:space="0" w:color="auto"/>
            <w:left w:val="none" w:sz="0" w:space="0" w:color="auto"/>
            <w:bottom w:val="none" w:sz="0" w:space="0" w:color="auto"/>
            <w:right w:val="none" w:sz="0" w:space="0" w:color="auto"/>
          </w:divBdr>
        </w:div>
        <w:div w:id="1100683484">
          <w:marLeft w:val="0"/>
          <w:marRight w:val="0"/>
          <w:marTop w:val="0"/>
          <w:marBottom w:val="0"/>
          <w:divBdr>
            <w:top w:val="none" w:sz="0" w:space="0" w:color="auto"/>
            <w:left w:val="none" w:sz="0" w:space="0" w:color="auto"/>
            <w:bottom w:val="none" w:sz="0" w:space="0" w:color="auto"/>
            <w:right w:val="none" w:sz="0" w:space="0" w:color="auto"/>
          </w:divBdr>
        </w:div>
        <w:div w:id="1719283852">
          <w:marLeft w:val="0"/>
          <w:marRight w:val="0"/>
          <w:marTop w:val="0"/>
          <w:marBottom w:val="0"/>
          <w:divBdr>
            <w:top w:val="none" w:sz="0" w:space="0" w:color="auto"/>
            <w:left w:val="none" w:sz="0" w:space="0" w:color="auto"/>
            <w:bottom w:val="none" w:sz="0" w:space="0" w:color="auto"/>
            <w:right w:val="none" w:sz="0" w:space="0" w:color="auto"/>
          </w:divBdr>
        </w:div>
        <w:div w:id="2105954423">
          <w:marLeft w:val="0"/>
          <w:marRight w:val="0"/>
          <w:marTop w:val="0"/>
          <w:marBottom w:val="0"/>
          <w:divBdr>
            <w:top w:val="none" w:sz="0" w:space="0" w:color="auto"/>
            <w:left w:val="none" w:sz="0" w:space="0" w:color="auto"/>
            <w:bottom w:val="none" w:sz="0" w:space="0" w:color="auto"/>
            <w:right w:val="none" w:sz="0" w:space="0" w:color="auto"/>
          </w:divBdr>
        </w:div>
        <w:div w:id="2144150949">
          <w:marLeft w:val="0"/>
          <w:marRight w:val="0"/>
          <w:marTop w:val="0"/>
          <w:marBottom w:val="0"/>
          <w:divBdr>
            <w:top w:val="none" w:sz="0" w:space="0" w:color="auto"/>
            <w:left w:val="none" w:sz="0" w:space="0" w:color="auto"/>
            <w:bottom w:val="none" w:sz="0" w:space="0" w:color="auto"/>
            <w:right w:val="none" w:sz="0" w:space="0" w:color="auto"/>
          </w:divBdr>
        </w:div>
      </w:divsChild>
    </w:div>
    <w:div w:id="2122795038">
      <w:bodyDiv w:val="1"/>
      <w:marLeft w:val="0"/>
      <w:marRight w:val="0"/>
      <w:marTop w:val="0"/>
      <w:marBottom w:val="0"/>
      <w:divBdr>
        <w:top w:val="none" w:sz="0" w:space="0" w:color="auto"/>
        <w:left w:val="none" w:sz="0" w:space="0" w:color="auto"/>
        <w:bottom w:val="none" w:sz="0" w:space="0" w:color="auto"/>
        <w:right w:val="none" w:sz="0" w:space="0" w:color="auto"/>
      </w:divBdr>
    </w:div>
    <w:div w:id="212776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dms_pub/itu-t/opb/res/T-RES-T.1-2022-PDF-R.pdf" TargetMode="External"/><Relationship Id="rId18" Type="http://schemas.openxmlformats.org/officeDocument/2006/relationships/hyperlink" Target="http://www.itu.int/md/T25-SG17-R-0025" TargetMode="External"/><Relationship Id="rId26" Type="http://schemas.openxmlformats.org/officeDocument/2006/relationships/hyperlink" Target="http://www.itu.int/md/T25-SG17-R-0033" TargetMode="External"/><Relationship Id="rId3" Type="http://schemas.openxmlformats.org/officeDocument/2006/relationships/customXml" Target="../customXml/item3.xml"/><Relationship Id="rId21" Type="http://schemas.openxmlformats.org/officeDocument/2006/relationships/hyperlink" Target="http://www.itu.int/md/T25-SG17-R-0028"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sbsg17@itu.int" TargetMode="External"/><Relationship Id="rId17" Type="http://schemas.openxmlformats.org/officeDocument/2006/relationships/image" Target="media/image2.png"/><Relationship Id="rId25" Type="http://schemas.openxmlformats.org/officeDocument/2006/relationships/hyperlink" Target="http://www.itu.int/md/T25-SG17-R-0032"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tu.int/ipr/" TargetMode="External"/><Relationship Id="rId20" Type="http://schemas.openxmlformats.org/officeDocument/2006/relationships/hyperlink" Target="http://www.itu.int/md/T25-SG17-R-0027" TargetMode="External"/><Relationship Id="rId29" Type="http://schemas.openxmlformats.org/officeDocument/2006/relationships/hyperlink" Target="mailto:tsbdir@itu.i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itu.int/md/T25-SG17-R-0031"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tu.int/md/T25-SG17-COL-0004/en" TargetMode="External"/><Relationship Id="rId23" Type="http://schemas.openxmlformats.org/officeDocument/2006/relationships/hyperlink" Target="http://www.itu.int/md/T25-SG17-R-0030" TargetMode="External"/><Relationship Id="rId28" Type="http://schemas.openxmlformats.org/officeDocument/2006/relationships/hyperlink" Target="http://www.itu.int/md/T25-SG17-R-0035" TargetMode="External"/><Relationship Id="rId10" Type="http://schemas.openxmlformats.org/officeDocument/2006/relationships/endnotes" Target="endnotes.xml"/><Relationship Id="rId19" Type="http://schemas.openxmlformats.org/officeDocument/2006/relationships/hyperlink" Target="http://www.itu.int/md/T25-SG17-R-0026"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T25-SG17-COL-0008/en" TargetMode="External"/><Relationship Id="rId22" Type="http://schemas.openxmlformats.org/officeDocument/2006/relationships/hyperlink" Target="http://www.itu.int/md/T25-SG17-R-0029" TargetMode="External"/><Relationship Id="rId27" Type="http://schemas.openxmlformats.org/officeDocument/2006/relationships/hyperlink" Target="http://www.itu.int/md/T25-SG17-R-0034" TargetMode="External"/><Relationship Id="rId30" Type="http://schemas.openxmlformats.org/officeDocument/2006/relationships/hyperlink" Target="https://www.itu.int/md/meetingdoc.asp?lang=en&amp;parent=T25-TSB-CIR&amp;destination=SG17"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ores\AppData\Roaming\Microsoft\Templates\TSB%20DOC\TSB_Circula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1102ab-a52d-496e-9b5b-8442a937392e">
      <Terms xmlns="http://schemas.microsoft.com/office/infopath/2007/PartnerControls"/>
    </lcf76f155ced4ddcb4097134ff3c332f>
    <TaxCatchAll xmlns="990eeaed-7a61-4f76-b7b0-4bef4f5f64c0" xsi:nil="true"/>
    <SharedWithUsers xmlns="990eeaed-7a61-4f76-b7b0-4bef4f5f64c0">
      <UserInfo>
        <DisplayName>Restivo, Charlyne</DisplayName>
        <AccountId>13</AccountId>
        <AccountType/>
      </UserInfo>
      <UserInfo>
        <DisplayName>Liu, Xiya</DisplayName>
        <AccountId>10</AccountId>
        <AccountType/>
      </UserInfo>
      <UserInfo>
        <DisplayName>Moore, Samantha</DisplayName>
        <AccountId>12</AccountId>
        <AccountType/>
      </UserInfo>
      <UserInfo>
        <DisplayName>Tuplin, Tracy</DisplayName>
        <AccountId>82</AccountId>
        <AccountType/>
      </UserInfo>
      <UserInfo>
        <DisplayName>Sukenik, Maria Victoria</DisplayName>
        <AccountId>76</AccountId>
        <AccountType/>
      </UserInfo>
      <UserInfo>
        <DisplayName>Högback, Alex</DisplayName>
        <AccountId>89</AccountId>
        <AccountType/>
      </UserInfo>
      <UserInfo>
        <DisplayName>Chan, Calvin</DisplayName>
        <AccountId>90</AccountId>
        <AccountType/>
      </UserInfo>
      <UserInfo>
        <DisplayName>Gaspari, Alexandra</DisplayName>
        <AccountId>67</AccountId>
        <AccountType/>
      </UserInfo>
      <UserInfo>
        <DisplayName>Sharma, Akanksha</DisplayName>
        <AccountId>91</AccountId>
        <AccountType/>
      </UserInfo>
      <UserInfo>
        <DisplayName>Jamoussi, Bilel</DisplayName>
        <AccountId>23</AccountId>
        <AccountType/>
      </UserInfo>
      <UserInfo>
        <DisplayName>Al-Mnini, Lara</DisplayName>
        <AccountId>93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C06615-FC29-4CA0-990E-67B2520D2A99}">
  <ds:schemaRefs>
    <ds:schemaRef ds:uri="http://schemas.openxmlformats.org/officeDocument/2006/bibliography"/>
  </ds:schemaRefs>
</ds:datastoreItem>
</file>

<file path=customXml/itemProps2.xml><?xml version="1.0" encoding="utf-8"?>
<ds:datastoreItem xmlns:ds="http://schemas.openxmlformats.org/officeDocument/2006/customXml" ds:itemID="{032D8790-3D5E-452E-B706-A2A3F51B11E1}">
  <ds:schemaRefs>
    <ds:schemaRef ds:uri="http://schemas.microsoft.com/office/2006/metadata/properties"/>
    <ds:schemaRef ds:uri="http://schemas.microsoft.com/office/infopath/2007/PartnerControls"/>
    <ds:schemaRef ds:uri="2e1102ab-a52d-496e-9b5b-8442a937392e"/>
    <ds:schemaRef ds:uri="990eeaed-7a61-4f76-b7b0-4bef4f5f64c0"/>
  </ds:schemaRefs>
</ds:datastoreItem>
</file>

<file path=customXml/itemProps3.xml><?xml version="1.0" encoding="utf-8"?>
<ds:datastoreItem xmlns:ds="http://schemas.openxmlformats.org/officeDocument/2006/customXml" ds:itemID="{150C9F8F-DEDB-44B4-9482-D23987134BF8}">
  <ds:schemaRefs>
    <ds:schemaRef ds:uri="http://schemas.microsoft.com/sharepoint/v3/contenttype/forms"/>
  </ds:schemaRefs>
</ds:datastoreItem>
</file>

<file path=customXml/itemProps4.xml><?xml version="1.0" encoding="utf-8"?>
<ds:datastoreItem xmlns:ds="http://schemas.openxmlformats.org/officeDocument/2006/customXml" ds:itemID="{707026E1-C638-473C-AE33-8ECEAE64B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TSB_Circular-E.dotx</Template>
  <TotalTime>20</TotalTime>
  <Pages>12</Pages>
  <Words>4290</Words>
  <Characters>24459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28692</CharactersWithSpaces>
  <SharedDoc>false</SharedDoc>
  <HLinks>
    <vt:vector size="78" baseType="variant">
      <vt:variant>
        <vt:i4>1114125</vt:i4>
      </vt:variant>
      <vt:variant>
        <vt:i4>30</vt:i4>
      </vt:variant>
      <vt:variant>
        <vt:i4>0</vt:i4>
      </vt:variant>
      <vt:variant>
        <vt:i4>5</vt:i4>
      </vt:variant>
      <vt:variant>
        <vt:lpwstr>https://www.itu.int/wtsa/2024/now/about/</vt:lpwstr>
      </vt:variant>
      <vt:variant>
        <vt:lpwstr/>
      </vt:variant>
      <vt:variant>
        <vt:i4>6225982</vt:i4>
      </vt:variant>
      <vt:variant>
        <vt:i4>27</vt:i4>
      </vt:variant>
      <vt:variant>
        <vt:i4>0</vt:i4>
      </vt:variant>
      <vt:variant>
        <vt:i4>5</vt:i4>
      </vt:variant>
      <vt:variant>
        <vt:lpwstr>mailto:charlyne.restivo@itu.int</vt:lpwstr>
      </vt:variant>
      <vt:variant>
        <vt:lpwstr/>
      </vt:variant>
      <vt:variant>
        <vt:i4>2687095</vt:i4>
      </vt:variant>
      <vt:variant>
        <vt:i4>24</vt:i4>
      </vt:variant>
      <vt:variant>
        <vt:i4>0</vt:i4>
      </vt:variant>
      <vt:variant>
        <vt:i4>5</vt:i4>
      </vt:variant>
      <vt:variant>
        <vt:lpwstr>https://www.itu.int/wtsa/2024/now/</vt:lpwstr>
      </vt:variant>
      <vt:variant>
        <vt:lpwstr/>
      </vt:variant>
      <vt:variant>
        <vt:i4>5046346</vt:i4>
      </vt:variant>
      <vt:variant>
        <vt:i4>21</vt:i4>
      </vt:variant>
      <vt:variant>
        <vt:i4>0</vt:i4>
      </vt:variant>
      <vt:variant>
        <vt:i4>5</vt:i4>
      </vt:variant>
      <vt:variant>
        <vt:lpwstr>https://www.itu.int/en/ITU-T/NoW/Documents/Terms of Reference.pdf</vt:lpwstr>
      </vt:variant>
      <vt:variant>
        <vt:lpwstr/>
      </vt:variant>
      <vt:variant>
        <vt:i4>5046346</vt:i4>
      </vt:variant>
      <vt:variant>
        <vt:i4>18</vt:i4>
      </vt:variant>
      <vt:variant>
        <vt:i4>0</vt:i4>
      </vt:variant>
      <vt:variant>
        <vt:i4>5</vt:i4>
      </vt:variant>
      <vt:variant>
        <vt:lpwstr>https://www.itu.int/en/ITU-T/NoW/Documents/Terms of Reference.pdf</vt:lpwstr>
      </vt:variant>
      <vt:variant>
        <vt:lpwstr/>
      </vt:variant>
      <vt:variant>
        <vt:i4>1114125</vt:i4>
      </vt:variant>
      <vt:variant>
        <vt:i4>15</vt:i4>
      </vt:variant>
      <vt:variant>
        <vt:i4>0</vt:i4>
      </vt:variant>
      <vt:variant>
        <vt:i4>5</vt:i4>
      </vt:variant>
      <vt:variant>
        <vt:lpwstr>https://www.itu.int/wtsa/2024/now/about/</vt:lpwstr>
      </vt:variant>
      <vt:variant>
        <vt:lpwstr/>
      </vt:variant>
      <vt:variant>
        <vt:i4>3145828</vt:i4>
      </vt:variant>
      <vt:variant>
        <vt:i4>12</vt:i4>
      </vt:variant>
      <vt:variant>
        <vt:i4>0</vt:i4>
      </vt:variant>
      <vt:variant>
        <vt:i4>5</vt:i4>
      </vt:variant>
      <vt:variant>
        <vt:lpwstr>https://www.itu.int/md/T22-TSB-CIR-0176/en</vt:lpwstr>
      </vt:variant>
      <vt:variant>
        <vt:lpwstr/>
      </vt:variant>
      <vt:variant>
        <vt:i4>3473520</vt:i4>
      </vt:variant>
      <vt:variant>
        <vt:i4>9</vt:i4>
      </vt:variant>
      <vt:variant>
        <vt:i4>0</vt:i4>
      </vt:variant>
      <vt:variant>
        <vt:i4>5</vt:i4>
      </vt:variant>
      <vt:variant>
        <vt:lpwstr>https://www.itu.int/en/action/gender-equality/Documents/S22-PP-Res70-E.pdf</vt:lpwstr>
      </vt:variant>
      <vt:variant>
        <vt:lpwstr/>
      </vt:variant>
      <vt:variant>
        <vt:i4>3801123</vt:i4>
      </vt:variant>
      <vt:variant>
        <vt:i4>6</vt:i4>
      </vt:variant>
      <vt:variant>
        <vt:i4>0</vt:i4>
      </vt:variant>
      <vt:variant>
        <vt:i4>5</vt:i4>
      </vt:variant>
      <vt:variant>
        <vt:lpwstr>https://www.itu.int/en/ITU-T/NoW/Pages/default.aspx</vt:lpwstr>
      </vt:variant>
      <vt:variant>
        <vt:lpwstr/>
      </vt:variant>
      <vt:variant>
        <vt:i4>524344</vt:i4>
      </vt:variant>
      <vt:variant>
        <vt:i4>3</vt:i4>
      </vt:variant>
      <vt:variant>
        <vt:i4>0</vt:i4>
      </vt:variant>
      <vt:variant>
        <vt:i4>5</vt:i4>
      </vt:variant>
      <vt:variant>
        <vt:lpwstr>https://www.itu.int/dms_pub/itu-t/opb/res/T-RES-T.55-2022-PDF-E.pdf</vt:lpwstr>
      </vt:variant>
      <vt:variant>
        <vt:lpwstr/>
      </vt:variant>
      <vt:variant>
        <vt:i4>720954</vt:i4>
      </vt:variant>
      <vt:variant>
        <vt:i4>0</vt:i4>
      </vt:variant>
      <vt:variant>
        <vt:i4>0</vt:i4>
      </vt:variant>
      <vt:variant>
        <vt:i4>5</vt:i4>
      </vt:variant>
      <vt:variant>
        <vt:lpwstr>mailto:email@itu.int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ITU Secretariat</dc:creator>
  <cp:keywords/>
  <dc:description/>
  <cp:lastModifiedBy>Braud, Olivia</cp:lastModifiedBy>
  <cp:revision>6</cp:revision>
  <cp:lastPrinted>2026-03-11T08:09:00Z</cp:lastPrinted>
  <dcterms:created xsi:type="dcterms:W3CDTF">2026-03-09T10:27:00Z</dcterms:created>
  <dcterms:modified xsi:type="dcterms:W3CDTF">2026-03-11T08:09:00Z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
  </property>
  <property fmtid="{D5CDD505-2E9C-101B-9397-08002B2CF9AE}" pid="3" name="Docdate">
    <vt:lpwstr/>
  </property>
  <property fmtid="{D5CDD505-2E9C-101B-9397-08002B2CF9AE}" pid="4" name="Docorlang">
    <vt:lpwstr/>
  </property>
  <property fmtid="{D5CDD505-2E9C-101B-9397-08002B2CF9AE}" pid="5" name="ContentTypeId">
    <vt:lpwstr>0x010100A2BFF85A5DFC334A92FC6C579D94C737</vt:lpwstr>
  </property>
  <property fmtid="{D5CDD505-2E9C-101B-9397-08002B2CF9AE}" pid="6" name="MediaServiceImageTags">
    <vt:lpwstr/>
  </property>
  <property fmtid="{D5CDD505-2E9C-101B-9397-08002B2CF9AE}" pid="7" name="TranslatedWith">
    <vt:lpwstr>Mercury</vt:lpwstr>
  </property>
  <property fmtid="{D5CDD505-2E9C-101B-9397-08002B2CF9AE}" pid="8" name="GeneratedBy">
    <vt:lpwstr>ksenia.loskutova</vt:lpwstr>
  </property>
  <property fmtid="{D5CDD505-2E9C-101B-9397-08002B2CF9AE}" pid="9" name="GeneratedDate">
    <vt:lpwstr>03/07/2024 20:30:14</vt:lpwstr>
  </property>
  <property fmtid="{D5CDD505-2E9C-101B-9397-08002B2CF9AE}" pid="10" name="OriginalDocID">
    <vt:lpwstr>131fd097-274f-4fab-98d1-ecd4f0032f54</vt:lpwstr>
  </property>
</Properties>
</file>