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40"/>
        <w:tblW w:w="9810" w:type="dxa"/>
        <w:tblCellMar>
          <w:left w:w="0" w:type="dxa"/>
          <w:right w:w="0" w:type="dxa"/>
        </w:tblCellMar>
        <w:tblLook w:val="0000" w:firstRow="0" w:lastRow="0" w:firstColumn="0" w:lastColumn="0" w:noHBand="0" w:noVBand="0"/>
      </w:tblPr>
      <w:tblGrid>
        <w:gridCol w:w="1279"/>
        <w:gridCol w:w="3491"/>
        <w:gridCol w:w="5040"/>
      </w:tblGrid>
      <w:tr w:rsidR="00EF6A23" w:rsidRPr="007B504C" w14:paraId="3FDAE1F3" w14:textId="77777777" w:rsidTr="00EA61D1">
        <w:trPr>
          <w:cantSplit/>
        </w:trPr>
        <w:tc>
          <w:tcPr>
            <w:tcW w:w="0" w:type="auto"/>
            <w:vAlign w:val="center"/>
          </w:tcPr>
          <w:p w14:paraId="3DE42CAA" w14:textId="77777777" w:rsidR="00EF6A23" w:rsidRPr="007B504C" w:rsidRDefault="00EF6A23" w:rsidP="00EA61D1">
            <w:pPr>
              <w:tabs>
                <w:tab w:val="right" w:pos="8732"/>
              </w:tabs>
              <w:spacing w:before="0"/>
              <w:rPr>
                <w:b/>
                <w:bCs/>
                <w:iCs/>
                <w:color w:val="FFFFFF"/>
                <w:sz w:val="30"/>
                <w:szCs w:val="30"/>
              </w:rPr>
            </w:pPr>
            <w:r w:rsidRPr="007B504C">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531" w:type="dxa"/>
            <w:gridSpan w:val="2"/>
            <w:vAlign w:val="center"/>
          </w:tcPr>
          <w:p w14:paraId="75924CEF" w14:textId="77777777" w:rsidR="00EF6A23" w:rsidRPr="007B504C" w:rsidRDefault="00EF6A23" w:rsidP="00EA61D1">
            <w:pPr>
              <w:spacing w:before="0"/>
              <w:rPr>
                <w:rFonts w:cs="Times New Roman Bold"/>
                <w:b/>
                <w:bCs/>
                <w:iCs/>
                <w:smallCaps/>
                <w:sz w:val="34"/>
                <w:szCs w:val="34"/>
              </w:rPr>
            </w:pPr>
            <w:r w:rsidRPr="007B504C">
              <w:rPr>
                <w:rFonts w:cs="Times New Roman Bold"/>
                <w:b/>
                <w:bCs/>
                <w:iCs/>
                <w:smallCaps/>
                <w:sz w:val="34"/>
                <w:szCs w:val="34"/>
              </w:rPr>
              <w:t>Union internationale des télécommunications</w:t>
            </w:r>
          </w:p>
          <w:p w14:paraId="089E66D0" w14:textId="77777777" w:rsidR="00EF6A23" w:rsidRPr="007B504C" w:rsidRDefault="00EF6A23" w:rsidP="00EA61D1">
            <w:pPr>
              <w:spacing w:before="0"/>
              <w:rPr>
                <w:color w:val="FFFFFF"/>
                <w:sz w:val="26"/>
                <w:szCs w:val="26"/>
              </w:rPr>
            </w:pPr>
            <w:r w:rsidRPr="007B504C">
              <w:rPr>
                <w:rFonts w:cs="Times New Roman Bold"/>
                <w:b/>
                <w:bCs/>
                <w:iCs/>
                <w:smallCaps/>
                <w:sz w:val="28"/>
                <w:szCs w:val="28"/>
              </w:rPr>
              <w:t>B</w:t>
            </w:r>
            <w:r w:rsidRPr="007B504C">
              <w:rPr>
                <w:b/>
                <w:bCs/>
                <w:iCs/>
                <w:smallCaps/>
                <w:sz w:val="28"/>
                <w:szCs w:val="28"/>
              </w:rPr>
              <w:t>ureau de la Normalisation des Télécommunications</w:t>
            </w:r>
          </w:p>
        </w:tc>
      </w:tr>
      <w:tr w:rsidR="00036F4F" w:rsidRPr="00EA61D1" w14:paraId="18B25741" w14:textId="77777777" w:rsidTr="00EA61D1">
        <w:trPr>
          <w:cantSplit/>
        </w:trPr>
        <w:tc>
          <w:tcPr>
            <w:tcW w:w="0" w:type="auto"/>
          </w:tcPr>
          <w:p w14:paraId="4B1AFD72" w14:textId="77777777" w:rsidR="00036F4F" w:rsidRPr="00EA61D1" w:rsidRDefault="00036F4F" w:rsidP="00EA61D1">
            <w:pPr>
              <w:tabs>
                <w:tab w:val="left" w:pos="4111"/>
              </w:tabs>
              <w:spacing w:before="10"/>
              <w:ind w:left="57"/>
              <w:rPr>
                <w:sz w:val="22"/>
                <w:szCs w:val="22"/>
              </w:rPr>
            </w:pPr>
          </w:p>
        </w:tc>
        <w:tc>
          <w:tcPr>
            <w:tcW w:w="3491" w:type="dxa"/>
          </w:tcPr>
          <w:p w14:paraId="6579D3E8" w14:textId="77777777" w:rsidR="00036F4F" w:rsidRPr="00EA61D1" w:rsidRDefault="00036F4F" w:rsidP="00EA61D1">
            <w:pPr>
              <w:tabs>
                <w:tab w:val="left" w:pos="4111"/>
              </w:tabs>
              <w:spacing w:before="10"/>
              <w:ind w:left="57"/>
              <w:rPr>
                <w:b/>
                <w:sz w:val="22"/>
                <w:szCs w:val="22"/>
              </w:rPr>
            </w:pPr>
          </w:p>
        </w:tc>
        <w:tc>
          <w:tcPr>
            <w:tcW w:w="5040" w:type="dxa"/>
          </w:tcPr>
          <w:p w14:paraId="0DC34ECA" w14:textId="782B3E6D" w:rsidR="00036F4F" w:rsidRPr="00EA61D1" w:rsidRDefault="00036F4F" w:rsidP="00EA61D1">
            <w:pPr>
              <w:tabs>
                <w:tab w:val="clear" w:pos="794"/>
                <w:tab w:val="clear" w:pos="1191"/>
                <w:tab w:val="clear" w:pos="1588"/>
                <w:tab w:val="clear" w:pos="1985"/>
                <w:tab w:val="left" w:pos="284"/>
              </w:tabs>
              <w:spacing w:after="120"/>
              <w:ind w:left="284" w:hanging="227"/>
              <w:rPr>
                <w:sz w:val="22"/>
                <w:szCs w:val="22"/>
              </w:rPr>
            </w:pPr>
            <w:r w:rsidRPr="00EA61D1">
              <w:rPr>
                <w:sz w:val="22"/>
                <w:szCs w:val="22"/>
              </w:rPr>
              <w:t>Genève, le</w:t>
            </w:r>
            <w:r w:rsidR="004419E9" w:rsidRPr="00EA61D1">
              <w:rPr>
                <w:sz w:val="22"/>
                <w:szCs w:val="22"/>
              </w:rPr>
              <w:t xml:space="preserve"> </w:t>
            </w:r>
            <w:r w:rsidR="00C924FB" w:rsidRPr="00EA61D1">
              <w:rPr>
                <w:color w:val="000000"/>
                <w:sz w:val="22"/>
                <w:szCs w:val="22"/>
              </w:rPr>
              <w:t>1</w:t>
            </w:r>
            <w:r w:rsidR="005732A8" w:rsidRPr="00EA61D1">
              <w:rPr>
                <w:color w:val="000000"/>
                <w:sz w:val="22"/>
                <w:szCs w:val="22"/>
              </w:rPr>
              <w:t>3</w:t>
            </w:r>
            <w:r w:rsidR="00C924FB" w:rsidRPr="00EA61D1">
              <w:rPr>
                <w:color w:val="000000"/>
                <w:sz w:val="22"/>
                <w:szCs w:val="22"/>
              </w:rPr>
              <w:t xml:space="preserve"> février 2026</w:t>
            </w:r>
          </w:p>
        </w:tc>
      </w:tr>
      <w:tr w:rsidR="00C924FB" w:rsidRPr="00EA61D1" w14:paraId="16CDDFEF" w14:textId="77777777" w:rsidTr="00EA61D1">
        <w:trPr>
          <w:cantSplit/>
          <w:trHeight w:val="340"/>
        </w:trPr>
        <w:tc>
          <w:tcPr>
            <w:tcW w:w="0" w:type="auto"/>
          </w:tcPr>
          <w:p w14:paraId="3EFF375D" w14:textId="58556577" w:rsidR="00C924FB" w:rsidRPr="00EA61D1" w:rsidRDefault="00C924FB" w:rsidP="00EA61D1">
            <w:pPr>
              <w:tabs>
                <w:tab w:val="left" w:pos="4111"/>
              </w:tabs>
              <w:spacing w:before="10"/>
              <w:ind w:left="57"/>
              <w:rPr>
                <w:b/>
                <w:bCs/>
                <w:sz w:val="22"/>
                <w:szCs w:val="22"/>
              </w:rPr>
            </w:pPr>
            <w:proofErr w:type="gramStart"/>
            <w:r w:rsidRPr="00EA61D1">
              <w:rPr>
                <w:b/>
                <w:bCs/>
                <w:sz w:val="22"/>
                <w:szCs w:val="22"/>
              </w:rPr>
              <w:t>Réf.:</w:t>
            </w:r>
            <w:proofErr w:type="gramEnd"/>
          </w:p>
        </w:tc>
        <w:tc>
          <w:tcPr>
            <w:tcW w:w="3491" w:type="dxa"/>
          </w:tcPr>
          <w:p w14:paraId="5FFBBC9B" w14:textId="37203B6A" w:rsidR="00C924FB" w:rsidRPr="00EA61D1" w:rsidRDefault="00C924FB" w:rsidP="00EA61D1">
            <w:pPr>
              <w:tabs>
                <w:tab w:val="left" w:pos="4111"/>
              </w:tabs>
              <w:spacing w:before="10"/>
              <w:ind w:left="57"/>
              <w:rPr>
                <w:b/>
                <w:sz w:val="22"/>
                <w:szCs w:val="22"/>
              </w:rPr>
            </w:pPr>
            <w:r w:rsidRPr="00EA61D1">
              <w:rPr>
                <w:b/>
                <w:sz w:val="22"/>
                <w:szCs w:val="22"/>
              </w:rPr>
              <w:t>Circulaire TSB 1</w:t>
            </w:r>
            <w:r w:rsidR="005732A8" w:rsidRPr="00EA61D1">
              <w:rPr>
                <w:b/>
                <w:sz w:val="22"/>
                <w:szCs w:val="22"/>
              </w:rPr>
              <w:t>04</w:t>
            </w:r>
          </w:p>
          <w:p w14:paraId="577F6DA2" w14:textId="5770138F" w:rsidR="00C924FB" w:rsidRPr="00EA61D1" w:rsidRDefault="00C924FB" w:rsidP="00EA61D1">
            <w:pPr>
              <w:tabs>
                <w:tab w:val="left" w:pos="4111"/>
              </w:tabs>
              <w:spacing w:before="10"/>
              <w:ind w:left="57"/>
              <w:rPr>
                <w:b/>
                <w:bCs/>
                <w:sz w:val="22"/>
                <w:szCs w:val="22"/>
              </w:rPr>
            </w:pPr>
            <w:r w:rsidRPr="00EA61D1">
              <w:rPr>
                <w:color w:val="000000"/>
                <w:sz w:val="22"/>
                <w:szCs w:val="22"/>
              </w:rPr>
              <w:t xml:space="preserve">CE </w:t>
            </w:r>
            <w:r w:rsidR="005732A8" w:rsidRPr="00EA61D1">
              <w:rPr>
                <w:color w:val="000000"/>
                <w:sz w:val="22"/>
                <w:szCs w:val="22"/>
              </w:rPr>
              <w:t>17</w:t>
            </w:r>
            <w:r w:rsidRPr="00EA61D1">
              <w:rPr>
                <w:color w:val="000000"/>
                <w:sz w:val="22"/>
                <w:szCs w:val="22"/>
              </w:rPr>
              <w:t>/</w:t>
            </w:r>
            <w:r w:rsidR="005732A8" w:rsidRPr="00EA61D1">
              <w:rPr>
                <w:color w:val="000000"/>
                <w:sz w:val="22"/>
                <w:szCs w:val="22"/>
              </w:rPr>
              <w:t>XY</w:t>
            </w:r>
          </w:p>
        </w:tc>
        <w:tc>
          <w:tcPr>
            <w:tcW w:w="5040" w:type="dxa"/>
            <w:vMerge w:val="restart"/>
          </w:tcPr>
          <w:p w14:paraId="35271D8E" w14:textId="71EEE78C" w:rsidR="00C924FB" w:rsidRPr="00EA61D1" w:rsidRDefault="00C924FB" w:rsidP="00EA61D1">
            <w:pPr>
              <w:tabs>
                <w:tab w:val="clear" w:pos="794"/>
                <w:tab w:val="clear" w:pos="1191"/>
                <w:tab w:val="clear" w:pos="1588"/>
                <w:tab w:val="clear" w:pos="1985"/>
              </w:tabs>
              <w:spacing w:before="0" w:after="40"/>
              <w:ind w:left="490" w:hanging="432"/>
              <w:rPr>
                <w:sz w:val="22"/>
                <w:szCs w:val="22"/>
              </w:rPr>
            </w:pPr>
            <w:bookmarkStart w:id="0" w:name="Addressee_F"/>
            <w:bookmarkEnd w:id="0"/>
            <w:r w:rsidRPr="00EA61D1">
              <w:rPr>
                <w:sz w:val="22"/>
                <w:szCs w:val="22"/>
              </w:rPr>
              <w:t>–</w:t>
            </w:r>
            <w:r w:rsidRPr="00EA61D1">
              <w:rPr>
                <w:sz w:val="22"/>
                <w:szCs w:val="22"/>
              </w:rPr>
              <w:tab/>
              <w:t xml:space="preserve">Aux administrations des États Membres de </w:t>
            </w:r>
            <w:proofErr w:type="gramStart"/>
            <w:r w:rsidRPr="00EA61D1">
              <w:rPr>
                <w:sz w:val="22"/>
                <w:szCs w:val="22"/>
              </w:rPr>
              <w:t>l'Union;</w:t>
            </w:r>
            <w:proofErr w:type="gramEnd"/>
          </w:p>
          <w:p w14:paraId="6CBD0F54" w14:textId="77777777" w:rsidR="00C924FB" w:rsidRPr="00EA61D1" w:rsidRDefault="00C924FB" w:rsidP="00EA61D1">
            <w:pPr>
              <w:tabs>
                <w:tab w:val="clear" w:pos="794"/>
                <w:tab w:val="clear" w:pos="1191"/>
                <w:tab w:val="clear" w:pos="1588"/>
                <w:tab w:val="clear" w:pos="1985"/>
              </w:tabs>
              <w:spacing w:before="0" w:after="40"/>
              <w:ind w:left="490" w:hanging="432"/>
              <w:rPr>
                <w:sz w:val="22"/>
                <w:szCs w:val="22"/>
              </w:rPr>
            </w:pPr>
            <w:r w:rsidRPr="00EA61D1">
              <w:rPr>
                <w:sz w:val="22"/>
                <w:szCs w:val="22"/>
              </w:rPr>
              <w:t>–</w:t>
            </w:r>
            <w:r w:rsidRPr="00EA61D1">
              <w:rPr>
                <w:sz w:val="22"/>
                <w:szCs w:val="22"/>
              </w:rPr>
              <w:tab/>
            </w:r>
            <w:r w:rsidRPr="00EA61D1">
              <w:rPr>
                <w:color w:val="000000"/>
                <w:sz w:val="22"/>
                <w:szCs w:val="22"/>
              </w:rPr>
              <w:t>À l'État de Palestine</w:t>
            </w:r>
            <w:r w:rsidRPr="00EA61D1">
              <w:rPr>
                <w:color w:val="000000"/>
                <w:sz w:val="22"/>
                <w:szCs w:val="22"/>
              </w:rPr>
              <w:br/>
              <w:t>(Résolution 99 (Rév. Dubaï, 2018))</w:t>
            </w:r>
          </w:p>
          <w:p w14:paraId="2C02060C" w14:textId="77777777" w:rsidR="00C924FB" w:rsidRPr="00EA61D1" w:rsidRDefault="00C924FB" w:rsidP="00EA61D1">
            <w:pPr>
              <w:tabs>
                <w:tab w:val="clear" w:pos="794"/>
                <w:tab w:val="clear" w:pos="1191"/>
                <w:tab w:val="clear" w:pos="1588"/>
                <w:tab w:val="clear" w:pos="1985"/>
              </w:tabs>
              <w:spacing w:before="0" w:after="40"/>
              <w:ind w:left="490" w:hanging="432"/>
              <w:rPr>
                <w:b/>
                <w:bCs/>
                <w:sz w:val="22"/>
                <w:szCs w:val="22"/>
              </w:rPr>
            </w:pPr>
            <w:proofErr w:type="gramStart"/>
            <w:r w:rsidRPr="00EA61D1">
              <w:rPr>
                <w:b/>
                <w:bCs/>
                <w:sz w:val="22"/>
                <w:szCs w:val="22"/>
              </w:rPr>
              <w:t>Copie:</w:t>
            </w:r>
            <w:proofErr w:type="gramEnd"/>
          </w:p>
          <w:p w14:paraId="46FD41E7" w14:textId="76E00B08" w:rsidR="00C924FB" w:rsidRPr="00EA61D1" w:rsidRDefault="00C924FB" w:rsidP="00EA61D1">
            <w:pPr>
              <w:tabs>
                <w:tab w:val="clear" w:pos="794"/>
                <w:tab w:val="clear" w:pos="1191"/>
                <w:tab w:val="clear" w:pos="1588"/>
                <w:tab w:val="clear" w:pos="1985"/>
              </w:tabs>
              <w:spacing w:before="0" w:after="40"/>
              <w:ind w:left="490" w:hanging="432"/>
              <w:rPr>
                <w:sz w:val="22"/>
                <w:szCs w:val="22"/>
              </w:rPr>
            </w:pPr>
            <w:r w:rsidRPr="00EA61D1">
              <w:rPr>
                <w:sz w:val="22"/>
                <w:szCs w:val="22"/>
              </w:rPr>
              <w:t>–</w:t>
            </w:r>
            <w:r w:rsidRPr="00EA61D1">
              <w:rPr>
                <w:sz w:val="22"/>
                <w:szCs w:val="22"/>
              </w:rPr>
              <w:tab/>
              <w:t>Aux Membres du Secteur de l'UIT-</w:t>
            </w:r>
            <w:proofErr w:type="gramStart"/>
            <w:r w:rsidRPr="00EA61D1">
              <w:rPr>
                <w:sz w:val="22"/>
                <w:szCs w:val="22"/>
              </w:rPr>
              <w:t>T;</w:t>
            </w:r>
            <w:proofErr w:type="gramEnd"/>
          </w:p>
          <w:p w14:paraId="21E06C26" w14:textId="7096CAB9" w:rsidR="00C924FB" w:rsidRPr="00EA61D1" w:rsidRDefault="00C924FB" w:rsidP="00EA61D1">
            <w:pPr>
              <w:tabs>
                <w:tab w:val="clear" w:pos="794"/>
                <w:tab w:val="clear" w:pos="1191"/>
                <w:tab w:val="clear" w:pos="1588"/>
                <w:tab w:val="clear" w:pos="1985"/>
              </w:tabs>
              <w:spacing w:before="0" w:after="40"/>
              <w:ind w:left="490" w:hanging="432"/>
              <w:rPr>
                <w:sz w:val="22"/>
                <w:szCs w:val="22"/>
              </w:rPr>
            </w:pPr>
            <w:r w:rsidRPr="00EA61D1">
              <w:rPr>
                <w:sz w:val="22"/>
                <w:szCs w:val="22"/>
              </w:rPr>
              <w:t>–</w:t>
            </w:r>
            <w:r w:rsidRPr="00EA61D1">
              <w:rPr>
                <w:sz w:val="22"/>
                <w:szCs w:val="22"/>
              </w:rPr>
              <w:tab/>
              <w:t xml:space="preserve">Aux Associés de la Commission d'études </w:t>
            </w:r>
            <w:r w:rsidR="005732A8" w:rsidRPr="00EA61D1">
              <w:rPr>
                <w:sz w:val="22"/>
                <w:szCs w:val="22"/>
              </w:rPr>
              <w:t>17 de l'UIT-</w:t>
            </w:r>
            <w:proofErr w:type="gramStart"/>
            <w:r w:rsidR="005732A8" w:rsidRPr="00EA61D1">
              <w:rPr>
                <w:sz w:val="22"/>
                <w:szCs w:val="22"/>
              </w:rPr>
              <w:t>T</w:t>
            </w:r>
            <w:r w:rsidRPr="00EA61D1">
              <w:rPr>
                <w:sz w:val="22"/>
                <w:szCs w:val="22"/>
              </w:rPr>
              <w:t>;</w:t>
            </w:r>
            <w:proofErr w:type="gramEnd"/>
          </w:p>
          <w:p w14:paraId="39E8965D" w14:textId="19FD946A" w:rsidR="00C924FB" w:rsidRPr="00EA61D1" w:rsidRDefault="00C924FB" w:rsidP="00EA61D1">
            <w:pPr>
              <w:tabs>
                <w:tab w:val="clear" w:pos="794"/>
                <w:tab w:val="clear" w:pos="1191"/>
                <w:tab w:val="clear" w:pos="1588"/>
                <w:tab w:val="clear" w:pos="1985"/>
              </w:tabs>
              <w:spacing w:before="0" w:after="40"/>
              <w:ind w:left="490" w:hanging="432"/>
              <w:rPr>
                <w:sz w:val="22"/>
                <w:szCs w:val="22"/>
              </w:rPr>
            </w:pPr>
            <w:r w:rsidRPr="00EA61D1">
              <w:rPr>
                <w:sz w:val="22"/>
                <w:szCs w:val="22"/>
              </w:rPr>
              <w:t>–</w:t>
            </w:r>
            <w:r w:rsidRPr="00EA61D1">
              <w:rPr>
                <w:sz w:val="22"/>
                <w:szCs w:val="22"/>
              </w:rPr>
              <w:tab/>
              <w:t xml:space="preserve">Aux établissements universitaires participant aux travaux de </w:t>
            </w:r>
            <w:proofErr w:type="gramStart"/>
            <w:r w:rsidRPr="00EA61D1">
              <w:rPr>
                <w:sz w:val="22"/>
                <w:szCs w:val="22"/>
              </w:rPr>
              <w:t>l'UIT;</w:t>
            </w:r>
            <w:proofErr w:type="gramEnd"/>
          </w:p>
          <w:p w14:paraId="64AED000" w14:textId="728AB7EC" w:rsidR="00C924FB" w:rsidRPr="00EA61D1" w:rsidRDefault="00C924FB" w:rsidP="00EA61D1">
            <w:pPr>
              <w:tabs>
                <w:tab w:val="clear" w:pos="794"/>
                <w:tab w:val="clear" w:pos="1191"/>
                <w:tab w:val="clear" w:pos="1588"/>
                <w:tab w:val="clear" w:pos="1985"/>
              </w:tabs>
              <w:spacing w:before="0" w:after="40"/>
              <w:ind w:left="490" w:hanging="432"/>
              <w:rPr>
                <w:sz w:val="22"/>
                <w:szCs w:val="22"/>
              </w:rPr>
            </w:pPr>
            <w:r w:rsidRPr="00EA61D1">
              <w:rPr>
                <w:sz w:val="22"/>
                <w:szCs w:val="22"/>
              </w:rPr>
              <w:t>–</w:t>
            </w:r>
            <w:r w:rsidRPr="00EA61D1">
              <w:rPr>
                <w:sz w:val="22"/>
                <w:szCs w:val="22"/>
              </w:rPr>
              <w:tab/>
              <w:t xml:space="preserve">Au Président et aux Vice-Présidents de la Commissions d'études </w:t>
            </w:r>
            <w:proofErr w:type="gramStart"/>
            <w:r w:rsidR="005732A8" w:rsidRPr="00EA61D1">
              <w:rPr>
                <w:sz w:val="22"/>
                <w:szCs w:val="22"/>
              </w:rPr>
              <w:t>17</w:t>
            </w:r>
            <w:r w:rsidRPr="00EA61D1">
              <w:rPr>
                <w:sz w:val="22"/>
                <w:szCs w:val="22"/>
              </w:rPr>
              <w:t>;</w:t>
            </w:r>
            <w:proofErr w:type="gramEnd"/>
          </w:p>
          <w:p w14:paraId="216E8172" w14:textId="77777777" w:rsidR="00C924FB" w:rsidRPr="00EA61D1" w:rsidRDefault="00C924FB" w:rsidP="00EA61D1">
            <w:pPr>
              <w:tabs>
                <w:tab w:val="clear" w:pos="794"/>
                <w:tab w:val="clear" w:pos="1191"/>
                <w:tab w:val="clear" w:pos="1588"/>
                <w:tab w:val="clear" w:pos="1985"/>
              </w:tabs>
              <w:spacing w:before="0" w:after="40"/>
              <w:ind w:left="490" w:hanging="432"/>
              <w:rPr>
                <w:sz w:val="22"/>
                <w:szCs w:val="22"/>
              </w:rPr>
            </w:pPr>
            <w:r w:rsidRPr="00EA61D1">
              <w:rPr>
                <w:sz w:val="22"/>
                <w:szCs w:val="22"/>
              </w:rPr>
              <w:t>–</w:t>
            </w:r>
            <w:r w:rsidRPr="00EA61D1">
              <w:rPr>
                <w:sz w:val="22"/>
                <w:szCs w:val="22"/>
              </w:rPr>
              <w:tab/>
              <w:t xml:space="preserve">Au Directeur du Bureau de développement des </w:t>
            </w:r>
            <w:proofErr w:type="gramStart"/>
            <w:r w:rsidRPr="00EA61D1">
              <w:rPr>
                <w:sz w:val="22"/>
                <w:szCs w:val="22"/>
              </w:rPr>
              <w:t>télécommunications;</w:t>
            </w:r>
            <w:proofErr w:type="gramEnd"/>
          </w:p>
          <w:p w14:paraId="461460AE" w14:textId="03470873" w:rsidR="00C924FB" w:rsidRPr="00EA61D1" w:rsidRDefault="00C924FB" w:rsidP="00EA61D1">
            <w:pPr>
              <w:tabs>
                <w:tab w:val="clear" w:pos="794"/>
                <w:tab w:val="clear" w:pos="1191"/>
                <w:tab w:val="clear" w:pos="1588"/>
                <w:tab w:val="clear" w:pos="1985"/>
              </w:tabs>
              <w:spacing w:before="0" w:after="40"/>
              <w:ind w:left="490" w:hanging="432"/>
              <w:rPr>
                <w:sz w:val="22"/>
                <w:szCs w:val="22"/>
              </w:rPr>
            </w:pPr>
            <w:r w:rsidRPr="00EA61D1">
              <w:rPr>
                <w:sz w:val="22"/>
                <w:szCs w:val="22"/>
              </w:rPr>
              <w:t>–</w:t>
            </w:r>
            <w:r w:rsidRPr="00EA61D1">
              <w:rPr>
                <w:sz w:val="22"/>
                <w:szCs w:val="22"/>
              </w:rPr>
              <w:tab/>
              <w:t>Au Directeur du Bureau des radiocommunications</w:t>
            </w:r>
          </w:p>
        </w:tc>
      </w:tr>
      <w:tr w:rsidR="00C924FB" w:rsidRPr="00EA61D1" w14:paraId="06A3F0E7" w14:textId="77777777" w:rsidTr="00EA61D1">
        <w:trPr>
          <w:cantSplit/>
          <w:trHeight w:val="340"/>
        </w:trPr>
        <w:tc>
          <w:tcPr>
            <w:tcW w:w="0" w:type="auto"/>
          </w:tcPr>
          <w:p w14:paraId="5CF43A7B" w14:textId="1AE299F1" w:rsidR="00C924FB" w:rsidRPr="00EA61D1" w:rsidRDefault="00C924FB" w:rsidP="00EA61D1">
            <w:pPr>
              <w:tabs>
                <w:tab w:val="left" w:pos="4111"/>
              </w:tabs>
              <w:spacing w:before="10"/>
              <w:ind w:left="57"/>
              <w:rPr>
                <w:sz w:val="22"/>
                <w:szCs w:val="22"/>
              </w:rPr>
            </w:pPr>
            <w:proofErr w:type="gramStart"/>
            <w:r w:rsidRPr="00EA61D1">
              <w:rPr>
                <w:sz w:val="22"/>
                <w:szCs w:val="22"/>
              </w:rPr>
              <w:t>Tél.:</w:t>
            </w:r>
            <w:proofErr w:type="gramEnd"/>
          </w:p>
        </w:tc>
        <w:tc>
          <w:tcPr>
            <w:tcW w:w="3491" w:type="dxa"/>
          </w:tcPr>
          <w:p w14:paraId="2074781F" w14:textId="18748B82" w:rsidR="00C924FB" w:rsidRPr="00EA61D1" w:rsidRDefault="00C924FB" w:rsidP="00EA61D1">
            <w:pPr>
              <w:tabs>
                <w:tab w:val="left" w:pos="4111"/>
              </w:tabs>
              <w:spacing w:before="10"/>
              <w:ind w:left="57"/>
              <w:rPr>
                <w:b/>
                <w:sz w:val="22"/>
                <w:szCs w:val="22"/>
              </w:rPr>
            </w:pPr>
            <w:r w:rsidRPr="00EA61D1">
              <w:rPr>
                <w:sz w:val="22"/>
                <w:szCs w:val="22"/>
              </w:rPr>
              <w:t xml:space="preserve">+41 </w:t>
            </w:r>
            <w:r w:rsidRPr="00EA61D1">
              <w:rPr>
                <w:color w:val="000000"/>
                <w:sz w:val="22"/>
                <w:szCs w:val="22"/>
              </w:rPr>
              <w:t>22 730 6</w:t>
            </w:r>
            <w:r w:rsidR="005732A8" w:rsidRPr="00EA61D1">
              <w:rPr>
                <w:color w:val="000000"/>
                <w:sz w:val="22"/>
                <w:szCs w:val="22"/>
              </w:rPr>
              <w:t>206</w:t>
            </w:r>
          </w:p>
        </w:tc>
        <w:tc>
          <w:tcPr>
            <w:tcW w:w="5040" w:type="dxa"/>
            <w:vMerge/>
          </w:tcPr>
          <w:p w14:paraId="2F310545" w14:textId="67636F98" w:rsidR="00C924FB" w:rsidRPr="00EA61D1" w:rsidRDefault="00C924FB" w:rsidP="00EA61D1">
            <w:pPr>
              <w:tabs>
                <w:tab w:val="left" w:pos="4111"/>
              </w:tabs>
              <w:spacing w:before="0"/>
              <w:ind w:left="426" w:hanging="426"/>
              <w:rPr>
                <w:sz w:val="22"/>
                <w:szCs w:val="22"/>
              </w:rPr>
            </w:pPr>
          </w:p>
        </w:tc>
      </w:tr>
      <w:tr w:rsidR="00C924FB" w:rsidRPr="00EA61D1" w14:paraId="724FD23E" w14:textId="77777777" w:rsidTr="00EA61D1">
        <w:trPr>
          <w:cantSplit/>
        </w:trPr>
        <w:tc>
          <w:tcPr>
            <w:tcW w:w="0" w:type="auto"/>
          </w:tcPr>
          <w:p w14:paraId="73149CCD" w14:textId="66965AF6" w:rsidR="00C924FB" w:rsidRPr="00EA61D1" w:rsidRDefault="00C924FB" w:rsidP="00EA61D1">
            <w:pPr>
              <w:tabs>
                <w:tab w:val="left" w:pos="4111"/>
              </w:tabs>
              <w:spacing w:before="10"/>
              <w:ind w:left="57"/>
              <w:rPr>
                <w:sz w:val="22"/>
                <w:szCs w:val="22"/>
              </w:rPr>
            </w:pPr>
            <w:proofErr w:type="gramStart"/>
            <w:r w:rsidRPr="00EA61D1">
              <w:rPr>
                <w:sz w:val="22"/>
                <w:szCs w:val="22"/>
              </w:rPr>
              <w:t>Télécopie:</w:t>
            </w:r>
            <w:proofErr w:type="gramEnd"/>
          </w:p>
        </w:tc>
        <w:tc>
          <w:tcPr>
            <w:tcW w:w="3491" w:type="dxa"/>
          </w:tcPr>
          <w:p w14:paraId="78D06186" w14:textId="312C707A" w:rsidR="00C924FB" w:rsidRPr="00EA61D1" w:rsidRDefault="00C924FB" w:rsidP="00EA61D1">
            <w:pPr>
              <w:tabs>
                <w:tab w:val="left" w:pos="4111"/>
              </w:tabs>
              <w:spacing w:before="0"/>
              <w:ind w:left="57"/>
              <w:rPr>
                <w:sz w:val="22"/>
                <w:szCs w:val="22"/>
              </w:rPr>
            </w:pPr>
            <w:r w:rsidRPr="00EA61D1">
              <w:rPr>
                <w:sz w:val="22"/>
                <w:szCs w:val="22"/>
              </w:rPr>
              <w:t>+41 22 730 5853</w:t>
            </w:r>
          </w:p>
        </w:tc>
        <w:tc>
          <w:tcPr>
            <w:tcW w:w="5040" w:type="dxa"/>
            <w:vMerge/>
          </w:tcPr>
          <w:p w14:paraId="6D3A5806" w14:textId="7F53E6BE" w:rsidR="00C924FB" w:rsidRPr="00EA61D1" w:rsidRDefault="00C924FB" w:rsidP="00EA61D1">
            <w:pPr>
              <w:tabs>
                <w:tab w:val="left" w:pos="4111"/>
              </w:tabs>
              <w:spacing w:before="0"/>
              <w:ind w:left="426" w:hanging="426"/>
              <w:rPr>
                <w:b/>
                <w:sz w:val="22"/>
                <w:szCs w:val="22"/>
              </w:rPr>
            </w:pPr>
          </w:p>
        </w:tc>
      </w:tr>
      <w:tr w:rsidR="00C924FB" w:rsidRPr="00EA61D1" w14:paraId="030F9AE5" w14:textId="77777777" w:rsidTr="00EA61D1">
        <w:trPr>
          <w:cantSplit/>
          <w:trHeight w:val="74"/>
        </w:trPr>
        <w:tc>
          <w:tcPr>
            <w:tcW w:w="0" w:type="auto"/>
          </w:tcPr>
          <w:p w14:paraId="7B417C4C" w14:textId="692197A2" w:rsidR="00C924FB" w:rsidRPr="00EA61D1" w:rsidRDefault="00C924FB" w:rsidP="00EA61D1">
            <w:pPr>
              <w:tabs>
                <w:tab w:val="left" w:pos="4111"/>
              </w:tabs>
              <w:spacing w:before="10"/>
              <w:ind w:left="57"/>
              <w:rPr>
                <w:sz w:val="22"/>
                <w:szCs w:val="22"/>
              </w:rPr>
            </w:pPr>
            <w:proofErr w:type="gramStart"/>
            <w:r w:rsidRPr="00EA61D1">
              <w:rPr>
                <w:sz w:val="22"/>
                <w:szCs w:val="22"/>
              </w:rPr>
              <w:t>Courriel:</w:t>
            </w:r>
            <w:proofErr w:type="gramEnd"/>
          </w:p>
        </w:tc>
        <w:tc>
          <w:tcPr>
            <w:tcW w:w="3491" w:type="dxa"/>
          </w:tcPr>
          <w:p w14:paraId="1A4A5F7B" w14:textId="594D0F27" w:rsidR="00C924FB" w:rsidRPr="00EA61D1" w:rsidRDefault="005732A8" w:rsidP="00EA61D1">
            <w:pPr>
              <w:tabs>
                <w:tab w:val="left" w:pos="4111"/>
              </w:tabs>
              <w:spacing w:before="0"/>
              <w:ind w:left="57"/>
              <w:rPr>
                <w:sz w:val="22"/>
                <w:szCs w:val="22"/>
              </w:rPr>
            </w:pPr>
            <w:hyperlink r:id="rId9" w:history="1">
              <w:r w:rsidRPr="00EA61D1">
                <w:rPr>
                  <w:rStyle w:val="Hyperlink"/>
                  <w:sz w:val="22"/>
                  <w:szCs w:val="22"/>
                </w:rPr>
                <w:t>tsbsg17@itu.int</w:t>
              </w:r>
            </w:hyperlink>
          </w:p>
        </w:tc>
        <w:tc>
          <w:tcPr>
            <w:tcW w:w="5040" w:type="dxa"/>
            <w:vMerge/>
          </w:tcPr>
          <w:p w14:paraId="323DAC81" w14:textId="5B2041E8" w:rsidR="00C924FB" w:rsidRPr="00EA61D1" w:rsidRDefault="00C924FB" w:rsidP="00EA61D1">
            <w:pPr>
              <w:tabs>
                <w:tab w:val="left" w:pos="4111"/>
              </w:tabs>
              <w:spacing w:before="0"/>
              <w:ind w:left="426" w:hanging="426"/>
              <w:rPr>
                <w:b/>
                <w:sz w:val="22"/>
                <w:szCs w:val="22"/>
              </w:rPr>
            </w:pPr>
          </w:p>
        </w:tc>
      </w:tr>
      <w:tr w:rsidR="00C924FB" w:rsidRPr="00EA61D1" w14:paraId="640FB6B9" w14:textId="77777777" w:rsidTr="00EA61D1">
        <w:trPr>
          <w:cantSplit/>
        </w:trPr>
        <w:tc>
          <w:tcPr>
            <w:tcW w:w="0" w:type="auto"/>
          </w:tcPr>
          <w:p w14:paraId="15527369" w14:textId="5F5F3823" w:rsidR="00C924FB" w:rsidRPr="00EA61D1" w:rsidRDefault="00C924FB" w:rsidP="00EA61D1">
            <w:pPr>
              <w:tabs>
                <w:tab w:val="left" w:pos="4111"/>
              </w:tabs>
              <w:spacing w:before="10"/>
              <w:ind w:left="57"/>
              <w:rPr>
                <w:sz w:val="22"/>
                <w:szCs w:val="22"/>
              </w:rPr>
            </w:pPr>
          </w:p>
        </w:tc>
        <w:tc>
          <w:tcPr>
            <w:tcW w:w="3491" w:type="dxa"/>
          </w:tcPr>
          <w:p w14:paraId="172249CE" w14:textId="640643AD" w:rsidR="00C924FB" w:rsidRPr="00EA61D1" w:rsidRDefault="00C924FB" w:rsidP="00EA61D1">
            <w:pPr>
              <w:tabs>
                <w:tab w:val="left" w:pos="4111"/>
              </w:tabs>
              <w:spacing w:before="0"/>
              <w:ind w:left="57"/>
              <w:rPr>
                <w:sz w:val="22"/>
                <w:szCs w:val="22"/>
              </w:rPr>
            </w:pPr>
          </w:p>
        </w:tc>
        <w:tc>
          <w:tcPr>
            <w:tcW w:w="5040" w:type="dxa"/>
            <w:vMerge/>
          </w:tcPr>
          <w:p w14:paraId="19762254" w14:textId="2125CDF9" w:rsidR="00C924FB" w:rsidRPr="00EA61D1" w:rsidRDefault="00C924FB" w:rsidP="00EA61D1">
            <w:pPr>
              <w:tabs>
                <w:tab w:val="clear" w:pos="794"/>
                <w:tab w:val="left" w:pos="4111"/>
              </w:tabs>
              <w:spacing w:before="0"/>
              <w:ind w:left="426" w:hanging="426"/>
              <w:rPr>
                <w:sz w:val="22"/>
                <w:szCs w:val="22"/>
              </w:rPr>
            </w:pPr>
          </w:p>
        </w:tc>
      </w:tr>
      <w:tr w:rsidR="00C924FB" w:rsidRPr="00EA61D1" w14:paraId="5435C04A" w14:textId="77777777" w:rsidTr="00EA61D1">
        <w:trPr>
          <w:cantSplit/>
          <w:trHeight w:val="397"/>
        </w:trPr>
        <w:tc>
          <w:tcPr>
            <w:tcW w:w="0" w:type="auto"/>
          </w:tcPr>
          <w:p w14:paraId="2A0B9B4F" w14:textId="77777777" w:rsidR="00C924FB" w:rsidRPr="00EA61D1" w:rsidRDefault="00C924FB" w:rsidP="00EA61D1">
            <w:pPr>
              <w:tabs>
                <w:tab w:val="left" w:pos="4111"/>
              </w:tabs>
              <w:ind w:left="57"/>
              <w:rPr>
                <w:b/>
                <w:bCs/>
                <w:sz w:val="22"/>
                <w:szCs w:val="22"/>
              </w:rPr>
            </w:pPr>
            <w:proofErr w:type="gramStart"/>
            <w:r w:rsidRPr="00EA61D1">
              <w:rPr>
                <w:b/>
                <w:bCs/>
                <w:sz w:val="22"/>
                <w:szCs w:val="22"/>
              </w:rPr>
              <w:t>Objet:</w:t>
            </w:r>
            <w:proofErr w:type="gramEnd"/>
          </w:p>
        </w:tc>
        <w:tc>
          <w:tcPr>
            <w:tcW w:w="8531" w:type="dxa"/>
            <w:gridSpan w:val="2"/>
          </w:tcPr>
          <w:p w14:paraId="1A51EE75" w14:textId="47BA121E" w:rsidR="00C924FB" w:rsidRPr="00EA61D1" w:rsidRDefault="005732A8" w:rsidP="00EA61D1">
            <w:pPr>
              <w:tabs>
                <w:tab w:val="left" w:pos="4111"/>
              </w:tabs>
              <w:spacing w:after="120"/>
              <w:ind w:left="57"/>
              <w:rPr>
                <w:b/>
                <w:bCs/>
                <w:sz w:val="22"/>
                <w:szCs w:val="22"/>
              </w:rPr>
            </w:pPr>
            <w:r w:rsidRPr="00EA61D1">
              <w:rPr>
                <w:b/>
                <w:bCs/>
                <w:sz w:val="22"/>
                <w:szCs w:val="22"/>
              </w:rPr>
              <w:t>Consultation des États Membres au sujet du texte déterminé du projet de Recommandation révisée UIT-T X.1280 et des projets de nouvelles Recommandations X.1286 (anciennement X.accsadlt), X.1821 (anciennement X.5Gsec-asra), X.1350 (anciennement X.sr-iiot), X.2105 (anciennement X.st-ssc), X.2210 (anciennement X.ig-dw), X.1910 (anciennement X.tc-ifd), X.1651 (anciennement X.soar-cc), X.1607 (anciennement X.asm-cc), X.1418 (anciennement X.sg-dcs) et X.1417 (anciennement X.sr-dpts), qu'il est proposé d'approuver à la réunion de la Commission d'études 17 de l'UIT-T (Genève, 1er-10 juin 2026)</w:t>
            </w:r>
          </w:p>
        </w:tc>
      </w:tr>
    </w:tbl>
    <w:p w14:paraId="2D1EC328" w14:textId="77777777" w:rsidR="00517A03" w:rsidRPr="00EA61D1" w:rsidRDefault="00517A03" w:rsidP="00EA61D1">
      <w:pPr>
        <w:pStyle w:val="Normalaftertitle"/>
        <w:spacing w:before="120" w:after="120"/>
        <w:rPr>
          <w:sz w:val="22"/>
          <w:szCs w:val="22"/>
        </w:rPr>
      </w:pPr>
      <w:bookmarkStart w:id="1" w:name="StartTyping_F"/>
      <w:bookmarkEnd w:id="1"/>
      <w:r w:rsidRPr="00EA61D1">
        <w:rPr>
          <w:sz w:val="22"/>
          <w:szCs w:val="22"/>
        </w:rPr>
        <w:t>Madame, Monsieur,</w:t>
      </w:r>
    </w:p>
    <w:p w14:paraId="1E3FBE1B" w14:textId="26887B6A" w:rsidR="00A26EBE" w:rsidRPr="00EA61D1" w:rsidRDefault="00A26EBE" w:rsidP="00EA61D1">
      <w:pPr>
        <w:spacing w:before="0" w:after="120"/>
        <w:rPr>
          <w:sz w:val="22"/>
          <w:szCs w:val="22"/>
        </w:rPr>
      </w:pPr>
      <w:r w:rsidRPr="00EA61D1">
        <w:rPr>
          <w:sz w:val="22"/>
          <w:szCs w:val="22"/>
        </w:rPr>
        <w:t>1</w:t>
      </w:r>
      <w:r w:rsidRPr="00EA61D1">
        <w:rPr>
          <w:sz w:val="22"/>
          <w:szCs w:val="22"/>
        </w:rPr>
        <w:tab/>
        <w:t xml:space="preserve">La Commission d'études 17 de l'UIT-T (Sécurité) a l'intention d'appliquer la procédure d'approbation traditionnelle énoncée à la section 9 de la </w:t>
      </w:r>
      <w:hyperlink r:id="rId10" w:history="1">
        <w:r w:rsidRPr="00EA61D1">
          <w:rPr>
            <w:rStyle w:val="Hyperlink"/>
            <w:sz w:val="22"/>
            <w:szCs w:val="22"/>
          </w:rPr>
          <w:t>Résolution 1 (Rév. Genève, 2022) de l'AMNT</w:t>
        </w:r>
      </w:hyperlink>
      <w:r w:rsidRPr="00EA61D1">
        <w:rPr>
          <w:sz w:val="22"/>
          <w:szCs w:val="22"/>
        </w:rPr>
        <w:t xml:space="preserve"> pour l'approbation des projets de Recommandation mentionnés ci-dessus à sa prochaine réunion, qui se tiendra à Genève du 1er au 10 juin 2026. Le projet d'ordre du jour et tous les renseignements utiles concernant la réunion de la Commission d'études 17 de l'UIT-T pourront être consultés dans la </w:t>
      </w:r>
      <w:hyperlink r:id="rId11" w:history="1">
        <w:r w:rsidRPr="00EA61D1">
          <w:rPr>
            <w:rStyle w:val="Hyperlink"/>
            <w:sz w:val="22"/>
            <w:szCs w:val="22"/>
          </w:rPr>
          <w:t>Lettre collective 8/17</w:t>
        </w:r>
      </w:hyperlink>
      <w:r w:rsidRPr="00EA61D1">
        <w:rPr>
          <w:sz w:val="22"/>
          <w:szCs w:val="22"/>
        </w:rPr>
        <w:t>.</w:t>
      </w:r>
    </w:p>
    <w:p w14:paraId="0E6CDEC4" w14:textId="5CF35D09" w:rsidR="00A26EBE" w:rsidRPr="00EA61D1" w:rsidRDefault="00A26EBE" w:rsidP="00EA61D1">
      <w:pPr>
        <w:spacing w:before="0" w:after="120"/>
        <w:rPr>
          <w:sz w:val="22"/>
          <w:szCs w:val="22"/>
        </w:rPr>
      </w:pPr>
      <w:r w:rsidRPr="00EA61D1">
        <w:rPr>
          <w:sz w:val="22"/>
          <w:szCs w:val="22"/>
        </w:rPr>
        <w:t>2</w:t>
      </w:r>
      <w:r w:rsidRPr="00EA61D1">
        <w:rPr>
          <w:sz w:val="22"/>
          <w:szCs w:val="22"/>
        </w:rPr>
        <w:tab/>
        <w:t>Vous trouverez dans l'</w:t>
      </w:r>
      <w:r w:rsidRPr="00EA61D1">
        <w:rPr>
          <w:b/>
          <w:bCs/>
          <w:sz w:val="22"/>
          <w:szCs w:val="22"/>
        </w:rPr>
        <w:t>Annexe 1</w:t>
      </w:r>
      <w:r w:rsidRPr="00EA61D1">
        <w:rPr>
          <w:sz w:val="22"/>
          <w:szCs w:val="22"/>
        </w:rPr>
        <w:t xml:space="preserve"> le titre, le résumé et l'emplacement des projets de Recommandation UIT-T qu'il est proposé d'approuver.</w:t>
      </w:r>
    </w:p>
    <w:p w14:paraId="01AABE3A" w14:textId="77777777" w:rsidR="00A26EBE" w:rsidRPr="00EA61D1" w:rsidRDefault="00A26EBE" w:rsidP="00EA61D1">
      <w:pPr>
        <w:pStyle w:val="Note"/>
        <w:spacing w:before="0" w:after="120"/>
        <w:rPr>
          <w:sz w:val="22"/>
          <w:szCs w:val="22"/>
        </w:rPr>
      </w:pPr>
      <w:r w:rsidRPr="00EA61D1">
        <w:rPr>
          <w:sz w:val="22"/>
          <w:szCs w:val="22"/>
        </w:rPr>
        <w:t>NOTE 1 DU TSB – Aucun document de justification UIT-T A.5 n'a été soumis pour aucun de ces projets de texte déterminé.</w:t>
      </w:r>
    </w:p>
    <w:p w14:paraId="0E507351" w14:textId="00936E43" w:rsidR="00A26EBE" w:rsidRPr="00EA61D1" w:rsidRDefault="00A26EBE" w:rsidP="00EA61D1">
      <w:pPr>
        <w:pStyle w:val="Note"/>
        <w:spacing w:before="0" w:after="120"/>
        <w:rPr>
          <w:sz w:val="22"/>
          <w:szCs w:val="22"/>
        </w:rPr>
      </w:pPr>
      <w:r w:rsidRPr="00EA61D1">
        <w:rPr>
          <w:sz w:val="22"/>
          <w:szCs w:val="22"/>
        </w:rPr>
        <w:t xml:space="preserve">NOTE 2 DU TSB – À la date de la présente circulaire, le TSB n'avait reçu aucune déclaration concernant les droits de propriété intellectuelle relative à ces projets de texte déterminé. Pour obtenir des renseignements actualisés, les membres sont invités à consulter la base de données relative aux droits de propriété intellectuelle à l'adresse </w:t>
      </w:r>
      <w:hyperlink r:id="rId12" w:history="1">
        <w:r w:rsidRPr="00EA61D1">
          <w:rPr>
            <w:rStyle w:val="Hyperlink"/>
            <w:sz w:val="22"/>
            <w:szCs w:val="22"/>
          </w:rPr>
          <w:t>www.itu.int/ipr</w:t>
        </w:r>
      </w:hyperlink>
      <w:r w:rsidRPr="00EA61D1">
        <w:rPr>
          <w:sz w:val="22"/>
          <w:szCs w:val="22"/>
        </w:rPr>
        <w:t>.</w:t>
      </w:r>
    </w:p>
    <w:p w14:paraId="3F649F67" w14:textId="0DC3D6CF" w:rsidR="00A26EBE" w:rsidRPr="00EA61D1" w:rsidRDefault="00A26EBE" w:rsidP="00EA61D1">
      <w:pPr>
        <w:spacing w:before="0" w:after="120"/>
        <w:rPr>
          <w:sz w:val="22"/>
          <w:szCs w:val="22"/>
        </w:rPr>
      </w:pPr>
      <w:r w:rsidRPr="00EA61D1">
        <w:rPr>
          <w:sz w:val="22"/>
          <w:szCs w:val="22"/>
        </w:rPr>
        <w:t>3</w:t>
      </w:r>
      <w:r w:rsidRPr="00EA61D1">
        <w:rPr>
          <w:sz w:val="22"/>
          <w:szCs w:val="22"/>
        </w:rPr>
        <w:tab/>
        <w:t>La présente circulaire a pour objet d'engager le processus de consultation formelle des États Membres de l'UIT, qui devront indiquer si ces textes peuvent être examinés en vue de leur approbation à la prochaine réunion, conformément au paragraphe 9.4 de la Résolution 1. Les États Membres sont priés de remplir le formulaire de l'</w:t>
      </w:r>
      <w:r w:rsidRPr="00EA61D1">
        <w:rPr>
          <w:b/>
          <w:bCs/>
          <w:sz w:val="22"/>
          <w:szCs w:val="22"/>
        </w:rPr>
        <w:t>Annexe 2</w:t>
      </w:r>
      <w:r w:rsidRPr="00EA61D1">
        <w:rPr>
          <w:sz w:val="22"/>
          <w:szCs w:val="22"/>
        </w:rPr>
        <w:t xml:space="preserve"> et de le renvoyer d'ici au </w:t>
      </w:r>
      <w:r w:rsidRPr="00EA61D1">
        <w:rPr>
          <w:b/>
          <w:bCs/>
          <w:sz w:val="22"/>
          <w:szCs w:val="22"/>
        </w:rPr>
        <w:t>20 mai 2026</w:t>
      </w:r>
      <w:r w:rsidRPr="00EA61D1">
        <w:rPr>
          <w:sz w:val="22"/>
          <w:szCs w:val="22"/>
        </w:rPr>
        <w:t xml:space="preserve"> à </w:t>
      </w:r>
      <w:r w:rsidRPr="00EA61D1">
        <w:rPr>
          <w:b/>
          <w:bCs/>
          <w:sz w:val="22"/>
          <w:szCs w:val="22"/>
        </w:rPr>
        <w:t>23 h 59</w:t>
      </w:r>
      <w:r w:rsidRPr="00EA61D1">
        <w:rPr>
          <w:sz w:val="22"/>
          <w:szCs w:val="22"/>
        </w:rPr>
        <w:t xml:space="preserve"> (UTC).</w:t>
      </w:r>
    </w:p>
    <w:p w14:paraId="12440D02" w14:textId="77777777" w:rsidR="00A26EBE" w:rsidRPr="00EA61D1" w:rsidRDefault="00A26EBE" w:rsidP="00EA61D1">
      <w:pPr>
        <w:spacing w:before="0" w:after="120"/>
        <w:rPr>
          <w:sz w:val="22"/>
          <w:szCs w:val="22"/>
        </w:rPr>
      </w:pPr>
      <w:r w:rsidRPr="00EA61D1">
        <w:rPr>
          <w:sz w:val="22"/>
          <w:szCs w:val="22"/>
        </w:rPr>
        <w:t>4</w:t>
      </w:r>
      <w:r w:rsidRPr="00EA61D1">
        <w:rPr>
          <w:sz w:val="22"/>
          <w:szCs w:val="22"/>
        </w:rPr>
        <w:tab/>
        <w:t xml:space="preserve">Si au moins 70% des réponses des États Membres sont en faveur de l'examen, aux fins d'approbation, de ces textes, une séance plénière sera consacrée à l'application de la procédure d'approbation. Les États Membres qui n'autorisent pas la commission d'études à procéder ainsi doivent </w:t>
      </w:r>
      <w:r w:rsidRPr="00EA61D1">
        <w:rPr>
          <w:sz w:val="22"/>
          <w:szCs w:val="22"/>
        </w:rPr>
        <w:lastRenderedPageBreak/>
        <w:t xml:space="preserve">informer le Directeur du TSB des motifs de cette décision et lui faire part des éventuelles modifications qui permettraient la poursuite des travaux. </w:t>
      </w:r>
    </w:p>
    <w:p w14:paraId="46F2C3C2" w14:textId="661D817E" w:rsidR="00307FB4" w:rsidRPr="00EA61D1" w:rsidRDefault="00A26EBE" w:rsidP="00A26EBE">
      <w:pPr>
        <w:rPr>
          <w:sz w:val="22"/>
          <w:szCs w:val="22"/>
        </w:rPr>
      </w:pPr>
      <w:r w:rsidRPr="00EA61D1">
        <w:rPr>
          <w:sz w:val="22"/>
          <w:szCs w:val="22"/>
        </w:rPr>
        <w:t>Veuillez agréer, Madame, Monsieur, l'assurance de ma considération distinguée.</w:t>
      </w:r>
    </w:p>
    <w:p w14:paraId="558FB742" w14:textId="6AEB9B0A" w:rsidR="002937DB" w:rsidRPr="00EA61D1" w:rsidRDefault="00C72F40" w:rsidP="00EA61D1">
      <w:pPr>
        <w:spacing w:before="720"/>
        <w:rPr>
          <w:bCs/>
          <w:sz w:val="22"/>
          <w:szCs w:val="22"/>
        </w:rPr>
      </w:pPr>
      <w:r>
        <w:rPr>
          <w:bCs/>
          <w:noProof/>
          <w:sz w:val="22"/>
          <w:szCs w:val="22"/>
        </w:rPr>
        <w:drawing>
          <wp:anchor distT="0" distB="0" distL="114300" distR="114300" simplePos="0" relativeHeight="251658240" behindDoc="1" locked="0" layoutInCell="1" allowOverlap="1" wp14:anchorId="6BA7BB20" wp14:editId="4AF7C601">
            <wp:simplePos x="0" y="0"/>
            <wp:positionH relativeFrom="margin">
              <wp:align>left</wp:align>
            </wp:positionH>
            <wp:positionV relativeFrom="paragraph">
              <wp:posOffset>53975</wp:posOffset>
            </wp:positionV>
            <wp:extent cx="692186" cy="330217"/>
            <wp:effectExtent l="0" t="0" r="0" b="0"/>
            <wp:wrapNone/>
            <wp:docPr id="46651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51492" name="Picture 46651492"/>
                    <pic:cNvPicPr/>
                  </pic:nvPicPr>
                  <pic:blipFill>
                    <a:blip r:embed="rId13">
                      <a:extLst>
                        <a:ext uri="{28A0092B-C50C-407E-A947-70E740481C1C}">
                          <a14:useLocalDpi xmlns:a14="http://schemas.microsoft.com/office/drawing/2010/main" val="0"/>
                        </a:ext>
                      </a:extLst>
                    </a:blip>
                    <a:stretch>
                      <a:fillRect/>
                    </a:stretch>
                  </pic:blipFill>
                  <pic:spPr>
                    <a:xfrm>
                      <a:off x="0" y="0"/>
                      <a:ext cx="692186" cy="330217"/>
                    </a:xfrm>
                    <a:prstGeom prst="rect">
                      <a:avLst/>
                    </a:prstGeom>
                  </pic:spPr>
                </pic:pic>
              </a:graphicData>
            </a:graphic>
          </wp:anchor>
        </w:drawing>
      </w:r>
      <w:r w:rsidR="00307FB4" w:rsidRPr="00EA61D1">
        <w:rPr>
          <w:bCs/>
          <w:sz w:val="22"/>
          <w:szCs w:val="22"/>
        </w:rPr>
        <w:t>Seizo Onoe</w:t>
      </w:r>
      <w:r w:rsidR="00B60868" w:rsidRPr="00EA61D1">
        <w:rPr>
          <w:bCs/>
          <w:sz w:val="22"/>
          <w:szCs w:val="22"/>
        </w:rPr>
        <w:br/>
      </w:r>
      <w:r w:rsidR="00307FB4" w:rsidRPr="00EA61D1">
        <w:rPr>
          <w:bCs/>
          <w:sz w:val="22"/>
          <w:szCs w:val="22"/>
        </w:rPr>
        <w:t>Directeur du Bureau de la normalisation</w:t>
      </w:r>
      <w:r w:rsidR="00B60868" w:rsidRPr="00EA61D1">
        <w:rPr>
          <w:bCs/>
          <w:sz w:val="22"/>
          <w:szCs w:val="22"/>
        </w:rPr>
        <w:br/>
      </w:r>
      <w:r w:rsidR="00307FB4" w:rsidRPr="00EA61D1">
        <w:rPr>
          <w:bCs/>
          <w:sz w:val="22"/>
          <w:szCs w:val="22"/>
        </w:rPr>
        <w:t>des télécommunications</w:t>
      </w:r>
    </w:p>
    <w:p w14:paraId="18904B8A" w14:textId="030248E4" w:rsidR="00C924FB" w:rsidRPr="00EA61D1" w:rsidRDefault="00C924FB" w:rsidP="00EA61D1">
      <w:pPr>
        <w:spacing w:before="900"/>
        <w:rPr>
          <w:bCs/>
          <w:sz w:val="22"/>
          <w:szCs w:val="22"/>
        </w:rPr>
      </w:pPr>
      <w:proofErr w:type="gramStart"/>
      <w:r w:rsidRPr="00EA61D1">
        <w:rPr>
          <w:b/>
          <w:sz w:val="22"/>
          <w:szCs w:val="22"/>
        </w:rPr>
        <w:t>Annexe:</w:t>
      </w:r>
      <w:proofErr w:type="gramEnd"/>
      <w:r w:rsidR="00EA61D1">
        <w:rPr>
          <w:b/>
          <w:sz w:val="22"/>
          <w:szCs w:val="22"/>
        </w:rPr>
        <w:tab/>
      </w:r>
      <w:r w:rsidR="00A26EBE" w:rsidRPr="00EA61D1">
        <w:rPr>
          <w:bCs/>
          <w:sz w:val="22"/>
          <w:szCs w:val="22"/>
        </w:rPr>
        <w:t>2</w:t>
      </w:r>
    </w:p>
    <w:p w14:paraId="601A1E45" w14:textId="77777777" w:rsidR="002937DB" w:rsidRPr="00EA61D1" w:rsidRDefault="002937DB">
      <w:pPr>
        <w:tabs>
          <w:tab w:val="clear" w:pos="794"/>
          <w:tab w:val="clear" w:pos="1191"/>
          <w:tab w:val="clear" w:pos="1588"/>
          <w:tab w:val="clear" w:pos="1985"/>
        </w:tabs>
        <w:overflowPunct/>
        <w:autoSpaceDE/>
        <w:autoSpaceDN/>
        <w:adjustRightInd/>
        <w:spacing w:before="0"/>
        <w:textAlignment w:val="auto"/>
        <w:rPr>
          <w:bCs/>
          <w:sz w:val="22"/>
          <w:szCs w:val="22"/>
        </w:rPr>
      </w:pPr>
      <w:r w:rsidRPr="00EA61D1">
        <w:rPr>
          <w:bCs/>
          <w:sz w:val="22"/>
          <w:szCs w:val="22"/>
        </w:rPr>
        <w:br w:type="page"/>
      </w:r>
    </w:p>
    <w:p w14:paraId="53349740" w14:textId="77777777" w:rsidR="00A26EBE" w:rsidRPr="007B504C" w:rsidRDefault="00A26EBE" w:rsidP="00A26EBE">
      <w:pPr>
        <w:pStyle w:val="Annextitle0"/>
        <w:rPr>
          <w:sz w:val="24"/>
          <w:szCs w:val="18"/>
          <w:lang w:val="fr-FR"/>
        </w:rPr>
      </w:pPr>
      <w:r w:rsidRPr="007B504C">
        <w:rPr>
          <w:sz w:val="24"/>
          <w:szCs w:val="18"/>
          <w:lang w:val="fr-FR"/>
        </w:rPr>
        <w:lastRenderedPageBreak/>
        <w:t>Annexe 1</w:t>
      </w:r>
    </w:p>
    <w:p w14:paraId="239B4A85" w14:textId="7E3E6A47" w:rsidR="00A26EBE" w:rsidRPr="007B504C" w:rsidRDefault="00A26EBE" w:rsidP="00A26EBE">
      <w:pPr>
        <w:pStyle w:val="Annextitle0"/>
        <w:rPr>
          <w:lang w:val="fr-FR"/>
        </w:rPr>
      </w:pPr>
      <w:r w:rsidRPr="007B504C">
        <w:rPr>
          <w:sz w:val="24"/>
          <w:szCs w:val="18"/>
          <w:lang w:val="fr-FR"/>
        </w:rPr>
        <w:t>Résumé et emplacement du texte déterminé du projet de Recommandation révisée</w:t>
      </w:r>
      <w:r w:rsidR="00EF7D71" w:rsidRPr="007B504C">
        <w:rPr>
          <w:sz w:val="24"/>
          <w:szCs w:val="18"/>
          <w:lang w:val="fr-FR"/>
        </w:rPr>
        <w:br/>
      </w:r>
      <w:r w:rsidRPr="007B504C">
        <w:rPr>
          <w:sz w:val="24"/>
          <w:szCs w:val="18"/>
          <w:lang w:val="fr-FR"/>
        </w:rPr>
        <w:t>UIT-T X.1280 et des projets de nouvelles Recommandations X.1286 (anciennement</w:t>
      </w:r>
      <w:r w:rsidR="00EF7D71" w:rsidRPr="007B504C">
        <w:rPr>
          <w:sz w:val="24"/>
          <w:szCs w:val="18"/>
          <w:lang w:val="fr-FR"/>
        </w:rPr>
        <w:br/>
      </w:r>
      <w:r w:rsidRPr="007B504C">
        <w:rPr>
          <w:sz w:val="24"/>
          <w:szCs w:val="18"/>
          <w:lang w:val="fr-FR"/>
        </w:rPr>
        <w:t>X.accsadlt), X.1821 (anciennement X.5Gsec-asra), X.1350 (anciennement X.sr-iiot),</w:t>
      </w:r>
      <w:r w:rsidR="00EF7D71" w:rsidRPr="007B504C">
        <w:rPr>
          <w:sz w:val="24"/>
          <w:szCs w:val="18"/>
          <w:lang w:val="fr-FR"/>
        </w:rPr>
        <w:br/>
      </w:r>
      <w:r w:rsidRPr="007B504C">
        <w:rPr>
          <w:sz w:val="24"/>
          <w:szCs w:val="18"/>
          <w:lang w:val="fr-FR"/>
        </w:rPr>
        <w:t>X.2105 (anciennement X.st-ssc), X.2210 (anciennement X.ig-dw), X.1910</w:t>
      </w:r>
      <w:r w:rsidR="00EF7D71" w:rsidRPr="007B504C">
        <w:rPr>
          <w:sz w:val="24"/>
          <w:szCs w:val="18"/>
          <w:lang w:val="fr-FR"/>
        </w:rPr>
        <w:br/>
      </w:r>
      <w:r w:rsidRPr="007B504C">
        <w:rPr>
          <w:sz w:val="24"/>
          <w:szCs w:val="18"/>
          <w:lang w:val="fr-FR"/>
        </w:rPr>
        <w:t>(anciennement X.tc-ifd), X.1651 (anciennement X.soar-cc), X.1607</w:t>
      </w:r>
      <w:r w:rsidR="00EF7D71" w:rsidRPr="007B504C">
        <w:rPr>
          <w:sz w:val="24"/>
          <w:szCs w:val="18"/>
          <w:lang w:val="fr-FR"/>
        </w:rPr>
        <w:br/>
      </w:r>
      <w:r w:rsidRPr="007B504C">
        <w:rPr>
          <w:sz w:val="24"/>
          <w:szCs w:val="18"/>
          <w:lang w:val="fr-FR"/>
        </w:rPr>
        <w:t>(anciennement X.asm-cc), X.1418 (anciennement X.sg-dcs)</w:t>
      </w:r>
      <w:r w:rsidR="00EF7D71" w:rsidRPr="007B504C">
        <w:rPr>
          <w:sz w:val="24"/>
          <w:szCs w:val="18"/>
          <w:lang w:val="fr-FR"/>
        </w:rPr>
        <w:br/>
      </w:r>
      <w:r w:rsidRPr="007B504C">
        <w:rPr>
          <w:sz w:val="24"/>
          <w:szCs w:val="18"/>
          <w:lang w:val="fr-FR"/>
        </w:rPr>
        <w:t>et X.1417 (anciennement X.sr-dpts)</w:t>
      </w:r>
    </w:p>
    <w:p w14:paraId="178682BF" w14:textId="4ED87B14" w:rsidR="00A26EBE" w:rsidRPr="007B504C" w:rsidRDefault="00A26EBE" w:rsidP="00A26EBE">
      <w:pPr>
        <w:pStyle w:val="Heading1"/>
        <w:rPr>
          <w:rFonts w:eastAsiaTheme="minorEastAsia"/>
        </w:rPr>
      </w:pPr>
      <w:r w:rsidRPr="007B504C">
        <w:rPr>
          <w:rFonts w:eastAsiaTheme="minorEastAsia"/>
        </w:rPr>
        <w:t>1</w:t>
      </w:r>
      <w:r w:rsidRPr="007B504C">
        <w:rPr>
          <w:rFonts w:eastAsiaTheme="minorEastAsia"/>
        </w:rPr>
        <w:tab/>
        <w:t xml:space="preserve">Projet de Recommandation révisée UIT-T X.1280 (Document </w:t>
      </w:r>
      <w:hyperlink r:id="rId14" w:history="1">
        <w:r w:rsidRPr="007B504C">
          <w:rPr>
            <w:rStyle w:val="Hyperlink"/>
            <w:rFonts w:eastAsiaTheme="minorEastAsia"/>
          </w:rPr>
          <w:t>SG17-R</w:t>
        </w:r>
        <w:r w:rsidR="00D05EE0">
          <w:rPr>
            <w:rStyle w:val="Hyperlink"/>
            <w:rFonts w:eastAsiaTheme="minorEastAsia"/>
          </w:rPr>
          <w:t>2</w:t>
        </w:r>
        <w:r w:rsidRPr="007B504C">
          <w:rPr>
            <w:rStyle w:val="Hyperlink"/>
            <w:rFonts w:eastAsiaTheme="minorEastAsia"/>
          </w:rPr>
          <w:t>5</w:t>
        </w:r>
      </w:hyperlink>
      <w:r w:rsidRPr="007B504C">
        <w:rPr>
          <w:rFonts w:eastAsiaTheme="minorEastAsia"/>
        </w:rPr>
        <w:t>)</w:t>
      </w:r>
    </w:p>
    <w:p w14:paraId="1E52963B" w14:textId="77777777" w:rsidR="00A26EBE" w:rsidRPr="007B504C" w:rsidRDefault="00A26EBE" w:rsidP="00EF7D71">
      <w:pPr>
        <w:rPr>
          <w:rFonts w:eastAsiaTheme="minorEastAsia"/>
        </w:rPr>
      </w:pPr>
      <w:r w:rsidRPr="007B504C">
        <w:rPr>
          <w:rFonts w:eastAsiaTheme="minorEastAsia"/>
        </w:rPr>
        <w:t>Cadre pour l'authentification mutuelle hors bande à l'aide de dispositifs mobiles</w:t>
      </w:r>
    </w:p>
    <w:p w14:paraId="615A1BCA" w14:textId="77777777" w:rsidR="00A26EBE" w:rsidRPr="007B504C" w:rsidRDefault="00A26EBE" w:rsidP="00EF7D71">
      <w:pPr>
        <w:pStyle w:val="headingb"/>
        <w:rPr>
          <w:rFonts w:eastAsiaTheme="minorEastAsia"/>
        </w:rPr>
      </w:pPr>
      <w:r w:rsidRPr="007B504C">
        <w:rPr>
          <w:rFonts w:eastAsiaTheme="minorEastAsia"/>
        </w:rPr>
        <w:t>Résumé</w:t>
      </w:r>
    </w:p>
    <w:p w14:paraId="58E903BA" w14:textId="77777777" w:rsidR="00A26EBE" w:rsidRPr="007B504C" w:rsidRDefault="00A26EBE" w:rsidP="00A26EBE">
      <w:pPr>
        <w:rPr>
          <w:rFonts w:eastAsiaTheme="minorEastAsia"/>
        </w:rPr>
      </w:pPr>
      <w:r w:rsidRPr="007B504C">
        <w:rPr>
          <w:rFonts w:eastAsiaTheme="minorEastAsia"/>
        </w:rPr>
        <w:t>Dans les normes technologiques d'authentification, la résistance à l'usurpation d'identité du vérificateur est considérée comme une exigence du plus haut niveau d'assurance d'authentification. Cependant, les technologies d'authentification existantes se concentrent sur l'authentification de l'utilisateur et il n'est pas possible de vérifier explicitement les fournisseurs de services.</w:t>
      </w:r>
    </w:p>
    <w:p w14:paraId="7E40CD42" w14:textId="77777777" w:rsidR="00A26EBE" w:rsidRPr="007B504C" w:rsidRDefault="00A26EBE" w:rsidP="00A26EBE">
      <w:pPr>
        <w:rPr>
          <w:rFonts w:eastAsiaTheme="minorEastAsia"/>
        </w:rPr>
      </w:pPr>
      <w:r w:rsidRPr="007B504C">
        <w:rPr>
          <w:rFonts w:eastAsiaTheme="minorEastAsia"/>
        </w:rPr>
        <w:t>La Recommandation UIT-T X.1280 fournit un cadre pour l'authentification mutuelle hors bande à l'aide de dispositifs mobiles, qui résout la vulnérabilité liée à l'usurpation d'identité du vérificateur et la limitation de la dépendance à l'égard du terminal de l'utilisateur des authentificateurs existants. Il permet à un utilisateur de fournir des informations d'authentification après avoir vérifié le fournisseur de services de manière explicite et indépendante dans le processus d'authentification de l'utilisateur sur tous les terminaux de l'utilisateur.</w:t>
      </w:r>
    </w:p>
    <w:p w14:paraId="170F6340" w14:textId="7C9C2992" w:rsidR="00A26EBE" w:rsidRPr="007B504C" w:rsidRDefault="00A26EBE" w:rsidP="00EF7D71">
      <w:pPr>
        <w:pStyle w:val="Heading1"/>
        <w:rPr>
          <w:rFonts w:eastAsiaTheme="minorEastAsia"/>
        </w:rPr>
      </w:pPr>
      <w:r w:rsidRPr="007B504C">
        <w:rPr>
          <w:rFonts w:eastAsiaTheme="minorEastAsia"/>
        </w:rPr>
        <w:t>2</w:t>
      </w:r>
      <w:r w:rsidRPr="007B504C">
        <w:rPr>
          <w:rFonts w:eastAsiaTheme="minorEastAsia"/>
        </w:rPr>
        <w:tab/>
        <w:t>Projet de Recommandation UIT-T X.1286 (anciennement X.accsadlt) (Document</w:t>
      </w:r>
      <w:r w:rsidR="00EF7D71" w:rsidRPr="007B504C">
        <w:rPr>
          <w:rFonts w:eastAsiaTheme="minorEastAsia"/>
        </w:rPr>
        <w:t> </w:t>
      </w:r>
      <w:hyperlink r:id="rId15" w:history="1">
        <w:r w:rsidRPr="007B504C">
          <w:rPr>
            <w:rStyle w:val="Hyperlink"/>
            <w:rFonts w:eastAsiaTheme="minorEastAsia"/>
          </w:rPr>
          <w:t>SG17</w:t>
        </w:r>
        <w:r w:rsidR="00EF7D71" w:rsidRPr="007B504C">
          <w:rPr>
            <w:rStyle w:val="Hyperlink"/>
            <w:rFonts w:eastAsiaTheme="minorEastAsia"/>
          </w:rPr>
          <w:noBreakHyphen/>
        </w:r>
        <w:r w:rsidRPr="007B504C">
          <w:rPr>
            <w:rStyle w:val="Hyperlink"/>
            <w:rFonts w:eastAsiaTheme="minorEastAsia"/>
          </w:rPr>
          <w:t>R26</w:t>
        </w:r>
      </w:hyperlink>
      <w:r w:rsidRPr="007B504C">
        <w:rPr>
          <w:rFonts w:eastAsiaTheme="minorEastAsia"/>
        </w:rPr>
        <w:t>)</w:t>
      </w:r>
    </w:p>
    <w:p w14:paraId="445F54E8" w14:textId="77777777" w:rsidR="00A26EBE" w:rsidRPr="007B504C" w:rsidRDefault="00A26EBE" w:rsidP="00A26EBE">
      <w:pPr>
        <w:rPr>
          <w:rFonts w:eastAsiaTheme="minorEastAsia"/>
        </w:rPr>
      </w:pPr>
      <w:r w:rsidRPr="007B504C">
        <w:rPr>
          <w:rFonts w:eastAsiaTheme="minorEastAsia"/>
        </w:rPr>
        <w:t>Plate-forme de contrôle d'accès utilisant une méthode d'authentification fondée sur la technologie des registres distribués (DLT)</w:t>
      </w:r>
    </w:p>
    <w:p w14:paraId="18492D23" w14:textId="77777777" w:rsidR="00A26EBE" w:rsidRPr="007B504C" w:rsidRDefault="00A26EBE" w:rsidP="00EF7D71">
      <w:pPr>
        <w:pStyle w:val="headingb"/>
        <w:rPr>
          <w:rFonts w:eastAsiaTheme="minorEastAsia"/>
        </w:rPr>
      </w:pPr>
      <w:r w:rsidRPr="007B504C">
        <w:rPr>
          <w:rFonts w:eastAsiaTheme="minorEastAsia"/>
        </w:rPr>
        <w:t>Résumé</w:t>
      </w:r>
    </w:p>
    <w:p w14:paraId="4A555DEC" w14:textId="77777777" w:rsidR="00A26EBE" w:rsidRPr="007B504C" w:rsidRDefault="00A26EBE" w:rsidP="00A26EBE">
      <w:pPr>
        <w:rPr>
          <w:rFonts w:eastAsiaTheme="minorEastAsia"/>
        </w:rPr>
      </w:pPr>
      <w:r w:rsidRPr="007B504C">
        <w:rPr>
          <w:rFonts w:eastAsiaTheme="minorEastAsia"/>
        </w:rPr>
        <w:t>Cette Recommandation définit les exigences pour une plate-forme de contrôle d'accès utilisant l'authentification fondée sur la technologie des registres distribués (DLT), qui est un cadre permettant de procéder de manière sécurisée, rapide et pratique à l'authentification et à la vérification de l'identité réparties des utilisateurs et des dispositifs afin d'accéder à des services numériques. Les systèmes d'authentification fondée sur DLT permettent de disposer de services sécurisés d'identification, de validation et de vérification de l'identité, conçus pour répondre aux exigences d'une organisation en matière de contrôle d'accès.</w:t>
      </w:r>
    </w:p>
    <w:p w14:paraId="48010824" w14:textId="5A3AED9F" w:rsidR="00A26EBE" w:rsidRPr="007B504C" w:rsidRDefault="00A26EBE" w:rsidP="00A05D61">
      <w:pPr>
        <w:rPr>
          <w:rFonts w:eastAsiaTheme="minorEastAsia"/>
        </w:rPr>
      </w:pPr>
      <w:r w:rsidRPr="007B504C">
        <w:rPr>
          <w:rFonts w:eastAsiaTheme="minorEastAsia"/>
        </w:rPr>
        <w:t>Une plate-forme de contrôle d'accès utilisant l'authentification fondée sur DLT protège les justificatifs des utilisateurs contre les activités frauduleuses grâce à une authentification et une vérification de l'identité au moyen de la technologie DLT. Cette technologie prend également en charge un service de vérification de l'identité sans mot de passe avec des méthodes d'authentification multifactorielle (MFA) afin de protéger les comptes des utilisateurs contre les prises de contrôle (ATO), les transactions frauduleuses, les accès non autorisés, les piratages, l'utilisation frauduleuse de justificatifs et les rançongiciels.</w:t>
      </w:r>
    </w:p>
    <w:p w14:paraId="6AA22C03" w14:textId="7D5F1ED1" w:rsidR="00A26EBE" w:rsidRPr="007B504C" w:rsidRDefault="00A26EBE" w:rsidP="00A26EBE">
      <w:pPr>
        <w:rPr>
          <w:rFonts w:eastAsiaTheme="minorEastAsia"/>
        </w:rPr>
      </w:pPr>
      <w:r w:rsidRPr="007B504C">
        <w:rPr>
          <w:rFonts w:eastAsiaTheme="minorEastAsia"/>
        </w:rPr>
        <w:lastRenderedPageBreak/>
        <w:t>Cette Recommandation pourrait aider les chercheurs, les concepteurs, les développeurs et les organisations s'intéressant aux systèmes DLT à concevoir, mettre en œuvre et exploiter une plate</w:t>
      </w:r>
      <w:r w:rsidR="00EF7D71" w:rsidRPr="007B504C">
        <w:rPr>
          <w:rFonts w:eastAsiaTheme="minorEastAsia"/>
        </w:rPr>
        <w:noBreakHyphen/>
      </w:r>
      <w:r w:rsidRPr="007B504C">
        <w:rPr>
          <w:rFonts w:eastAsiaTheme="minorEastAsia"/>
        </w:rPr>
        <w:t>forme de contrôle d'accès utilisant l'authentification fondée sur DLT.</w:t>
      </w:r>
    </w:p>
    <w:p w14:paraId="6A7F4E3F" w14:textId="26F3996F" w:rsidR="00A26EBE" w:rsidRPr="007B504C" w:rsidRDefault="00A26EBE" w:rsidP="00EF7D71">
      <w:pPr>
        <w:pStyle w:val="Heading1"/>
        <w:rPr>
          <w:rFonts w:eastAsiaTheme="minorEastAsia"/>
        </w:rPr>
      </w:pPr>
      <w:r w:rsidRPr="007B504C">
        <w:rPr>
          <w:rFonts w:eastAsiaTheme="minorEastAsia"/>
        </w:rPr>
        <w:t>3</w:t>
      </w:r>
      <w:r w:rsidRPr="007B504C">
        <w:rPr>
          <w:rFonts w:eastAsiaTheme="minorEastAsia"/>
        </w:rPr>
        <w:tab/>
        <w:t>Projet de Recommandation UIT-T X.1821 (anciennement X.5Gsec-asra) (Document</w:t>
      </w:r>
      <w:r w:rsidR="00EF7D71" w:rsidRPr="007B504C">
        <w:rPr>
          <w:rFonts w:eastAsiaTheme="minorEastAsia"/>
        </w:rPr>
        <w:t> </w:t>
      </w:r>
      <w:hyperlink r:id="rId16" w:history="1">
        <w:r w:rsidRPr="007B504C">
          <w:rPr>
            <w:rStyle w:val="Hyperlink"/>
            <w:rFonts w:eastAsiaTheme="minorEastAsia"/>
          </w:rPr>
          <w:t>SG17</w:t>
        </w:r>
        <w:r w:rsidR="00EF7D71" w:rsidRPr="007B504C">
          <w:rPr>
            <w:rStyle w:val="Hyperlink"/>
            <w:rFonts w:eastAsiaTheme="minorEastAsia"/>
          </w:rPr>
          <w:noBreakHyphen/>
        </w:r>
        <w:r w:rsidRPr="007B504C">
          <w:rPr>
            <w:rStyle w:val="Hyperlink"/>
            <w:rFonts w:eastAsiaTheme="minorEastAsia"/>
          </w:rPr>
          <w:t>R27</w:t>
        </w:r>
      </w:hyperlink>
      <w:r w:rsidRPr="007B504C">
        <w:rPr>
          <w:rFonts w:eastAsiaTheme="minorEastAsia"/>
        </w:rPr>
        <w:t>)</w:t>
      </w:r>
    </w:p>
    <w:p w14:paraId="30E9BAF4" w14:textId="77777777" w:rsidR="00A26EBE" w:rsidRPr="007B504C" w:rsidRDefault="00A26EBE" w:rsidP="00A26EBE">
      <w:pPr>
        <w:rPr>
          <w:rFonts w:eastAsiaTheme="minorEastAsia"/>
        </w:rPr>
      </w:pPr>
      <w:r w:rsidRPr="007B504C">
        <w:rPr>
          <w:rFonts w:eastAsiaTheme="minorEastAsia"/>
        </w:rPr>
        <w:t>Lignes directrices et exigences techniques pour l'analyse des risques de sécurité des actifs des réseaux IMT-2020/5G</w:t>
      </w:r>
    </w:p>
    <w:p w14:paraId="11B5E3FB" w14:textId="77777777" w:rsidR="00A26EBE" w:rsidRPr="007B504C" w:rsidRDefault="00A26EBE" w:rsidP="00EF7D71">
      <w:pPr>
        <w:pStyle w:val="headingb"/>
        <w:rPr>
          <w:rFonts w:eastAsiaTheme="minorEastAsia"/>
        </w:rPr>
      </w:pPr>
      <w:r w:rsidRPr="007B504C">
        <w:rPr>
          <w:rFonts w:eastAsiaTheme="minorEastAsia"/>
        </w:rPr>
        <w:t>Résumé</w:t>
      </w:r>
    </w:p>
    <w:p w14:paraId="09F7D6A6" w14:textId="6A51F8E2" w:rsidR="00A26EBE" w:rsidRPr="007B504C" w:rsidRDefault="00A26EBE" w:rsidP="00A26EBE">
      <w:pPr>
        <w:rPr>
          <w:rFonts w:eastAsiaTheme="minorEastAsia"/>
        </w:rPr>
      </w:pPr>
      <w:r w:rsidRPr="007B504C">
        <w:rPr>
          <w:rFonts w:eastAsiaTheme="minorEastAsia"/>
        </w:rPr>
        <w:t>Cette Recommandation rend compte de la nécessité de mener une analyse des risques de sécurité pour les actifs de réseau IMT-2020/5G pendant la phase d'exploitation et de maintenance et met en évidence les lacunes dans les pratiques actuelles. Sur la base de cette analyse, cette Recommandation définit les exigences techniques et les lignes directrices pour l'analyse des risques de sécurité des actifs des réseaux IMT-2020/5G, à savoir la détection des vulnérabilités, la vérification de base de la sécurité et l'analyse des événements de sécurité concernant les actifs.</w:t>
      </w:r>
    </w:p>
    <w:p w14:paraId="03F25635" w14:textId="6D21B384" w:rsidR="00A26EBE" w:rsidRPr="007B504C" w:rsidRDefault="00A26EBE" w:rsidP="00EF7D71">
      <w:pPr>
        <w:pStyle w:val="Heading1"/>
        <w:rPr>
          <w:rFonts w:eastAsiaTheme="minorEastAsia"/>
        </w:rPr>
      </w:pPr>
      <w:r w:rsidRPr="007B504C">
        <w:rPr>
          <w:rFonts w:eastAsiaTheme="minorEastAsia"/>
        </w:rPr>
        <w:t>4</w:t>
      </w:r>
      <w:r w:rsidRPr="007B504C">
        <w:rPr>
          <w:rFonts w:eastAsiaTheme="minorEastAsia"/>
        </w:rPr>
        <w:tab/>
        <w:t xml:space="preserve">Projet de Recommandation UIT-T X.1350 (anciennement X.sr-iiot) (Document </w:t>
      </w:r>
      <w:hyperlink r:id="rId17" w:history="1">
        <w:r w:rsidRPr="007B504C">
          <w:rPr>
            <w:rStyle w:val="Hyperlink"/>
            <w:rFonts w:eastAsiaTheme="minorEastAsia"/>
          </w:rPr>
          <w:t>SG17-R28</w:t>
        </w:r>
      </w:hyperlink>
      <w:r w:rsidRPr="007B504C">
        <w:rPr>
          <w:rFonts w:eastAsiaTheme="minorEastAsia"/>
        </w:rPr>
        <w:t>)</w:t>
      </w:r>
    </w:p>
    <w:p w14:paraId="02E1CFB4" w14:textId="77777777" w:rsidR="00A26EBE" w:rsidRPr="007B504C" w:rsidRDefault="00A26EBE" w:rsidP="00A26EBE">
      <w:pPr>
        <w:rPr>
          <w:rFonts w:eastAsiaTheme="minorEastAsia"/>
        </w:rPr>
      </w:pPr>
      <w:r w:rsidRPr="007B504C">
        <w:rPr>
          <w:rFonts w:eastAsiaTheme="minorEastAsia"/>
        </w:rPr>
        <w:t>Exigences de sécurité applicables à l'Internet des objets industriel dans le cadre de la fabrication intelligente</w:t>
      </w:r>
    </w:p>
    <w:p w14:paraId="2BE9D275" w14:textId="77777777" w:rsidR="00A26EBE" w:rsidRPr="007B504C" w:rsidRDefault="00A26EBE" w:rsidP="00EF7D71">
      <w:pPr>
        <w:pStyle w:val="headingb"/>
        <w:rPr>
          <w:rFonts w:eastAsiaTheme="minorEastAsia"/>
        </w:rPr>
      </w:pPr>
      <w:r w:rsidRPr="007B504C">
        <w:rPr>
          <w:rFonts w:eastAsiaTheme="minorEastAsia"/>
        </w:rPr>
        <w:t>Résumé</w:t>
      </w:r>
    </w:p>
    <w:p w14:paraId="09B46EF1" w14:textId="5B84CD8B" w:rsidR="00A26EBE" w:rsidRPr="007B504C" w:rsidRDefault="00A26EBE" w:rsidP="00EF7D71">
      <w:pPr>
        <w:rPr>
          <w:rFonts w:eastAsiaTheme="minorEastAsia"/>
        </w:rPr>
      </w:pPr>
      <w:r w:rsidRPr="007B504C">
        <w:rPr>
          <w:rFonts w:eastAsiaTheme="minorEastAsia"/>
        </w:rPr>
        <w:t>Cette Recommandation recense les menaces potentielles pour la sécurité et définit les exigences de sécurité correspondantes qui peuvent s'appliquer à la dimension liée à l'intelligence de la fabrication intelligente basée sur l'Internet des objets industriel (IIoT) décrite dans la Recommandation [UIT-T Y.4003].</w:t>
      </w:r>
      <w:r w:rsidR="00EF7D71" w:rsidRPr="007B504C">
        <w:rPr>
          <w:rFonts w:eastAsiaTheme="minorEastAsia"/>
        </w:rPr>
        <w:t xml:space="preserve"> </w:t>
      </w:r>
      <w:r w:rsidRPr="007B504C">
        <w:rPr>
          <w:rFonts w:eastAsiaTheme="minorEastAsia"/>
        </w:rPr>
        <w:t>Plus précisément, cette Recommandation répertorie les menaces potentielles pour la sécurité pouvant apparaître à chaque couche de la dimension liée à l'intelligence, qui constitue l'une des trois dimensions (à savoir, cycle de vie du produit, hiérarchie du système et intelligence) de la fabrication intelligente basée sur l'IIoT.</w:t>
      </w:r>
      <w:r w:rsidR="00EF7D71" w:rsidRPr="007B504C">
        <w:rPr>
          <w:rFonts w:eastAsiaTheme="minorEastAsia"/>
        </w:rPr>
        <w:t xml:space="preserve"> </w:t>
      </w:r>
      <w:r w:rsidRPr="007B504C">
        <w:rPr>
          <w:rFonts w:eastAsiaTheme="minorEastAsia"/>
        </w:rPr>
        <w:t>Les exigences de sécurité définies en réponse aux menaces recensées pour la sécurité doivent ainsi permettre de sécuriser la dimension liée à l'intelligence de la fabrication intelligente basée sur l'IIoT.</w:t>
      </w:r>
    </w:p>
    <w:p w14:paraId="6A10CA52" w14:textId="2B2BF83B" w:rsidR="00A26EBE" w:rsidRPr="007B504C" w:rsidRDefault="00A26EBE" w:rsidP="00EF7D71">
      <w:pPr>
        <w:pStyle w:val="Heading1"/>
        <w:rPr>
          <w:rFonts w:eastAsiaTheme="minorEastAsia"/>
        </w:rPr>
      </w:pPr>
      <w:r w:rsidRPr="007B504C">
        <w:rPr>
          <w:rFonts w:eastAsiaTheme="minorEastAsia"/>
        </w:rPr>
        <w:t>5</w:t>
      </w:r>
      <w:r w:rsidRPr="007B504C">
        <w:rPr>
          <w:rFonts w:eastAsiaTheme="minorEastAsia"/>
        </w:rPr>
        <w:tab/>
        <w:t xml:space="preserve">Projet de Recommandation UIT-T X.2105 (anciennement X.st-ssc) (Document </w:t>
      </w:r>
      <w:hyperlink r:id="rId18" w:history="1">
        <w:r w:rsidRPr="007B504C">
          <w:rPr>
            <w:rStyle w:val="Hyperlink"/>
            <w:rFonts w:eastAsiaTheme="minorEastAsia"/>
          </w:rPr>
          <w:t>SG17-R29</w:t>
        </w:r>
      </w:hyperlink>
      <w:r w:rsidRPr="007B504C">
        <w:rPr>
          <w:rFonts w:eastAsiaTheme="minorEastAsia"/>
        </w:rPr>
        <w:t>)</w:t>
      </w:r>
    </w:p>
    <w:p w14:paraId="212EA387" w14:textId="77777777" w:rsidR="00A26EBE" w:rsidRPr="007B504C" w:rsidRDefault="00A26EBE" w:rsidP="00A26EBE">
      <w:pPr>
        <w:rPr>
          <w:rFonts w:eastAsiaTheme="minorEastAsia"/>
        </w:rPr>
      </w:pPr>
      <w:r w:rsidRPr="007B504C">
        <w:rPr>
          <w:rFonts w:eastAsiaTheme="minorEastAsia"/>
        </w:rPr>
        <w:t>Menaces pour la sécurité de la chaîne d'approvisionnement des logiciels</w:t>
      </w:r>
    </w:p>
    <w:p w14:paraId="15442F90" w14:textId="77777777" w:rsidR="00A26EBE" w:rsidRPr="007B504C" w:rsidRDefault="00A26EBE" w:rsidP="00EF7D71">
      <w:pPr>
        <w:pStyle w:val="headingb"/>
        <w:rPr>
          <w:rFonts w:eastAsiaTheme="minorEastAsia"/>
        </w:rPr>
      </w:pPr>
      <w:r w:rsidRPr="007B504C">
        <w:rPr>
          <w:rFonts w:eastAsiaTheme="minorEastAsia"/>
        </w:rPr>
        <w:t>Résumé</w:t>
      </w:r>
    </w:p>
    <w:p w14:paraId="73E15FA8" w14:textId="199AA2FE" w:rsidR="00A26EBE" w:rsidRPr="007B504C" w:rsidRDefault="00A26EBE" w:rsidP="00A05D61">
      <w:pPr>
        <w:rPr>
          <w:rFonts w:eastAsiaTheme="minorEastAsia"/>
        </w:rPr>
      </w:pPr>
      <w:r w:rsidRPr="007B504C">
        <w:rPr>
          <w:rFonts w:eastAsiaTheme="minorEastAsia"/>
        </w:rPr>
        <w:t>Ces dernières années, le nombre de cyberattaques résultant de vulnérabilités dans la chaîne d'approvisionnement des logiciels a considérablement augmenté. Ces attaques peuvent avoir des conséquences dévastatrices et coûteuses à long terme pour les organisations touchées, leurs chaînes d'approvisionnement et leurs clients. Pour faire face à ces menaces, il est nécessaire d'identifier les menaces de sécurité dans le cycle de vie de la chaîne d'approvisionnement des logiciels. Il est également nécessaire de recenser toutes les parties prenantes concernées. L'identification de ces menaces peut servir de base pour mettre en place des contrôles dans le cycle de vie de la chaîne d'approvisionnement des logiciels.</w:t>
      </w:r>
    </w:p>
    <w:p w14:paraId="281FA0A6" w14:textId="77777777" w:rsidR="00A26EBE" w:rsidRPr="007B504C" w:rsidRDefault="00A26EBE" w:rsidP="00A05D61">
      <w:pPr>
        <w:keepLines/>
        <w:rPr>
          <w:rFonts w:eastAsiaTheme="minorEastAsia"/>
        </w:rPr>
      </w:pPr>
      <w:r w:rsidRPr="007B504C">
        <w:rPr>
          <w:rFonts w:eastAsiaTheme="minorEastAsia"/>
        </w:rPr>
        <w:lastRenderedPageBreak/>
        <w:t>Cette Recommandation définit les menaces de sécurité de haut niveau et les contrôles visant à garantir la sécurité de la chaîne d'approvisionnement des logiciels, ainsi que les menaces de sécurité de portée limitée qui pèsent sur celle-ci, concernant aussi bien les logiciels à code source ouvert (OSS) que les logiciels à code source fermé. En outre, elle vise à exposer des principes fondamentaux et des exemples d'attaques visant les chaînes d'approvisionnement, à identifier les parties prenantes intervenant dans le développement, la conception et la distribution des logiciels et à présenter une taxonomie des menaces de sécurité pesant sur les processus du cycle de vie des logiciels. Elle vise également à établir un index des menaces de sécurité par catégorie, afin que chaque menace puisse être mentionnée en référence dans d'autres parties de cette Recommandation ainsi que dans d'autres Recommandations.</w:t>
      </w:r>
    </w:p>
    <w:p w14:paraId="6062DA71" w14:textId="333F1336" w:rsidR="00A26EBE" w:rsidRPr="007B504C" w:rsidRDefault="00A26EBE" w:rsidP="00EF7D71">
      <w:pPr>
        <w:pStyle w:val="Heading1"/>
        <w:rPr>
          <w:rFonts w:eastAsiaTheme="minorEastAsia"/>
        </w:rPr>
      </w:pPr>
      <w:r w:rsidRPr="007B504C">
        <w:rPr>
          <w:rFonts w:eastAsiaTheme="minorEastAsia"/>
        </w:rPr>
        <w:t>6</w:t>
      </w:r>
      <w:r w:rsidRPr="007B504C">
        <w:rPr>
          <w:rFonts w:eastAsiaTheme="minorEastAsia"/>
        </w:rPr>
        <w:tab/>
        <w:t xml:space="preserve">Projet de Recommandation UIT-T X.2210 (anciennement X.ig-dw) (Document </w:t>
      </w:r>
      <w:hyperlink r:id="rId19" w:history="1">
        <w:r w:rsidRPr="007B504C">
          <w:rPr>
            <w:rStyle w:val="Hyperlink"/>
            <w:rFonts w:eastAsiaTheme="minorEastAsia"/>
          </w:rPr>
          <w:t>SG17-R30</w:t>
        </w:r>
      </w:hyperlink>
      <w:r w:rsidRPr="007B504C">
        <w:rPr>
          <w:rFonts w:eastAsiaTheme="minorEastAsia"/>
        </w:rPr>
        <w:t>)</w:t>
      </w:r>
    </w:p>
    <w:p w14:paraId="4B630E98" w14:textId="77777777" w:rsidR="00A26EBE" w:rsidRPr="007B504C" w:rsidRDefault="00A26EBE" w:rsidP="00A26EBE">
      <w:pPr>
        <w:rPr>
          <w:rFonts w:eastAsiaTheme="minorEastAsia"/>
        </w:rPr>
      </w:pPr>
      <w:r w:rsidRPr="007B504C">
        <w:rPr>
          <w:rFonts w:eastAsiaTheme="minorEastAsia"/>
        </w:rPr>
        <w:t>Lignes directrices relatives à la mise en œuvre du filigranage numérique</w:t>
      </w:r>
    </w:p>
    <w:p w14:paraId="3233CC7D" w14:textId="77777777" w:rsidR="00A26EBE" w:rsidRPr="007B504C" w:rsidRDefault="00A26EBE" w:rsidP="00EF7D71">
      <w:pPr>
        <w:pStyle w:val="headingb"/>
        <w:rPr>
          <w:rFonts w:eastAsiaTheme="minorEastAsia"/>
        </w:rPr>
      </w:pPr>
      <w:r w:rsidRPr="007B504C">
        <w:rPr>
          <w:rFonts w:eastAsiaTheme="minorEastAsia"/>
        </w:rPr>
        <w:t>Résumé</w:t>
      </w:r>
    </w:p>
    <w:p w14:paraId="0838A723" w14:textId="77777777" w:rsidR="00A26EBE" w:rsidRPr="007B504C" w:rsidRDefault="00A26EBE" w:rsidP="00A26EBE">
      <w:pPr>
        <w:rPr>
          <w:rFonts w:eastAsiaTheme="minorEastAsia"/>
        </w:rPr>
      </w:pPr>
      <w:r w:rsidRPr="007B504C">
        <w:rPr>
          <w:rFonts w:eastAsiaTheme="minorEastAsia"/>
        </w:rPr>
        <w:t>Dans l'économie numérique en constante évolution, la technologie de filigranage numérique devient un domaine essentiel si l'on veut répondre aux préoccupations croissantes que sont le piratage de contenu numérique, la vérification de l'authenticité et la gestion fiable des actifs de données. Cette technologie, en particulier sa forme invisible, joue un rôle central dans la protection des droits d'auteur numériques et dans l'attestation de l'authenticité de divers supports numériques, comme les images, les vidéos, les éléments audio, les documents, les pages web, les base de données et les nouveaux contenus créés par l'intelligence artificielle générative. Toutefois, cette technologie est également associée à des défis considérables. Sous l'effet des nouvelles formes d'attaques et de perturbations, par exemple avec les outils sophistiqués d'édition d'images et de vidéos, les plates-formes de distribution de contenu à grande échelle et les fuites d'informations, il est de plus en plus difficile de protéger l'extraction et l'intégrité des filigranes. De plus, l'apparition de contenus numériques d'un genre nouveau, comme ceux créés par l'intelligence artificielle (IA) générative, et les services interactifs en temps réel, entraînent de nouvelles demandes d'applications nécessitant des techniques de filigranage plus performantes pour répondre aux besoins en termes de grandes capacités et de fonctionnement en temps réel tout en garantissant une sécurité robuste et la fiabilité.</w:t>
      </w:r>
    </w:p>
    <w:p w14:paraId="0070A763" w14:textId="77777777" w:rsidR="00A26EBE" w:rsidRPr="007B504C" w:rsidRDefault="00A26EBE" w:rsidP="00A26EBE">
      <w:pPr>
        <w:rPr>
          <w:rFonts w:eastAsiaTheme="minorEastAsia"/>
        </w:rPr>
      </w:pPr>
      <w:r w:rsidRPr="007B504C">
        <w:rPr>
          <w:rFonts w:eastAsiaTheme="minorEastAsia"/>
        </w:rPr>
        <w:t>Compte tenu de ces défis et de la nécessité de disposer d'une approche de mise en œuvre harmonisée pour les différents types de supports de filigrane, cette Recommandation a vocation à donner des orientations aux organisations concernant le déploiement efficace des technologies de filigranage numérique en se concentrant sur leur possibilité d'utilisation, leur fiabilité et la confiance qui leur est associée.</w:t>
      </w:r>
    </w:p>
    <w:p w14:paraId="7CD220E2" w14:textId="77777777" w:rsidR="00A26EBE" w:rsidRPr="007B504C" w:rsidRDefault="00A26EBE" w:rsidP="00A26EBE">
      <w:pPr>
        <w:rPr>
          <w:rFonts w:eastAsiaTheme="minorEastAsia"/>
        </w:rPr>
      </w:pPr>
      <w:r w:rsidRPr="007B504C">
        <w:rPr>
          <w:rFonts w:eastAsiaTheme="minorEastAsia"/>
        </w:rPr>
        <w:t>Cette Recommandation couvre des scénarios d'application types, à savoir la surveillance des fuites de données, la protection de l'intégrité des données dans des services tels que les services de streaming vidéo en direct et la distribution de contenu à grande échelle. Elle fournit des lignes directrices pour définir les objectifs de mise en œuvre, choisir les algorithmes de filigranage avec une approche méthodologique détaillée et encapsuler les services de filigranage, et offre ainsi un cadre complet et pratique de mise en œuvre du filigranage numérique, répondant aux besoins existants et futurs en matière de protection de contenu numérique et de prise en charge de services numériques de confiance dans l'environnement numérique d'aujourd'hui.</w:t>
      </w:r>
    </w:p>
    <w:p w14:paraId="2444667B" w14:textId="7700DA7A" w:rsidR="00A26EBE" w:rsidRPr="007B504C" w:rsidRDefault="00A26EBE" w:rsidP="00EF7D71">
      <w:pPr>
        <w:pStyle w:val="Heading1"/>
        <w:rPr>
          <w:rFonts w:eastAsiaTheme="minorEastAsia"/>
        </w:rPr>
      </w:pPr>
      <w:r w:rsidRPr="007B504C">
        <w:rPr>
          <w:rFonts w:eastAsiaTheme="minorEastAsia"/>
        </w:rPr>
        <w:lastRenderedPageBreak/>
        <w:t>7</w:t>
      </w:r>
      <w:r w:rsidRPr="007B504C">
        <w:rPr>
          <w:rFonts w:eastAsiaTheme="minorEastAsia"/>
        </w:rPr>
        <w:tab/>
        <w:t xml:space="preserve">Projet de Recommandation UIT-T X.1910 (anciennement X.tc-ifd) (Document </w:t>
      </w:r>
      <w:hyperlink r:id="rId20" w:history="1">
        <w:r w:rsidRPr="007B504C">
          <w:rPr>
            <w:rStyle w:val="Hyperlink"/>
            <w:rFonts w:eastAsiaTheme="minorEastAsia"/>
          </w:rPr>
          <w:t>SG17-R31</w:t>
        </w:r>
      </w:hyperlink>
      <w:r w:rsidRPr="007B504C">
        <w:rPr>
          <w:rFonts w:eastAsiaTheme="minorEastAsia"/>
        </w:rPr>
        <w:t>)</w:t>
      </w:r>
    </w:p>
    <w:p w14:paraId="6F1C3CBF" w14:textId="77777777" w:rsidR="00A26EBE" w:rsidRPr="007B504C" w:rsidRDefault="00A26EBE" w:rsidP="00A26EBE">
      <w:pPr>
        <w:rPr>
          <w:rFonts w:eastAsiaTheme="minorEastAsia"/>
        </w:rPr>
      </w:pPr>
      <w:r w:rsidRPr="007B504C">
        <w:rPr>
          <w:rFonts w:eastAsiaTheme="minorEastAsia"/>
        </w:rPr>
        <w:t>Capacités techniques de détection interactive des risques de tromperie</w:t>
      </w:r>
    </w:p>
    <w:p w14:paraId="295350D7" w14:textId="77777777" w:rsidR="00A26EBE" w:rsidRPr="007B504C" w:rsidRDefault="00A26EBE" w:rsidP="00EF7D71">
      <w:pPr>
        <w:pStyle w:val="headingb"/>
        <w:rPr>
          <w:rFonts w:eastAsiaTheme="minorEastAsia"/>
        </w:rPr>
      </w:pPr>
      <w:r w:rsidRPr="007B504C">
        <w:rPr>
          <w:rFonts w:eastAsiaTheme="minorEastAsia"/>
        </w:rPr>
        <w:t>Résumé</w:t>
      </w:r>
    </w:p>
    <w:p w14:paraId="7C511FD8" w14:textId="76CA7AE5" w:rsidR="00A26EBE" w:rsidRPr="007B504C" w:rsidRDefault="00A26EBE" w:rsidP="00A26EBE">
      <w:pPr>
        <w:rPr>
          <w:rFonts w:eastAsiaTheme="minorEastAsia"/>
        </w:rPr>
      </w:pPr>
      <w:r w:rsidRPr="007B504C">
        <w:rPr>
          <w:rFonts w:eastAsiaTheme="minorEastAsia"/>
        </w:rPr>
        <w:t>La détection des risques de tromperie est une capacité très importante pour certains systèmes TIC, notamment pour les systèmes de paiement, de location ou d'octroi de crédits. Les mécanismes classiques de détection des risques de tromperie pour ces systèmes reposent sur la collecte d'informations sur les services et la mise en correspondance règle/schéma, par exemple. Avec l'évolution des technologies des mégadonnées et de l'IA, il est de plus en plus fréquent que les systèmes dorsaux soient dotés d'une capacité de prise de décision automatique pour la détection des risques de tromperie. Toutefois, les décisions en matière d'identification des risques de tromperie prises uniquement par les systèmes dorsaux posent des difficultés, telles que la nécessité de disposer de données adéquates, la recherche d'un juste équilibre entre l'exactitude et le taux de rappel et la création d'une interaction conviviale avec l'utilisateur en cas d'interruption du service due à la détection d'un risque de tromperie et aux mesures prises en conséquence. La détection interactive des risques de tromperie, dans le cadre de laquelle, lors du lancement et de l'exécution d'un service, l'utilisateur est invité à échanger avec les systèmes des services TIC, afin de fournir des informations permettant d'identifier et de réduire les risques de tromperie, offre les avantages ci-après.</w:t>
      </w:r>
    </w:p>
    <w:p w14:paraId="4F3F9635" w14:textId="77777777" w:rsidR="00A26EBE" w:rsidRPr="007B504C" w:rsidRDefault="00A26EBE" w:rsidP="00A26EBE">
      <w:pPr>
        <w:rPr>
          <w:rFonts w:eastAsiaTheme="minorEastAsia"/>
        </w:rPr>
      </w:pPr>
      <w:r w:rsidRPr="007B504C">
        <w:rPr>
          <w:rFonts w:eastAsiaTheme="minorEastAsia"/>
        </w:rPr>
        <w:t>Tout d'abord, la détection interactive des risques de tromperie aidera à rassembler les informations nécessaires pendant la fourniture du service afin de renforcer la détection et la décision d'analyse des risques de tromperie, ce qui peut améliorer l'exactitude et réduire le taux de rappel.</w:t>
      </w:r>
    </w:p>
    <w:p w14:paraId="55724918" w14:textId="77777777" w:rsidR="00A26EBE" w:rsidRPr="007B504C" w:rsidRDefault="00A26EBE" w:rsidP="00A26EBE">
      <w:pPr>
        <w:rPr>
          <w:rFonts w:eastAsiaTheme="minorEastAsia"/>
        </w:rPr>
      </w:pPr>
      <w:r w:rsidRPr="007B504C">
        <w:rPr>
          <w:rFonts w:eastAsiaTheme="minorEastAsia"/>
        </w:rPr>
        <w:t>Deuxième avantage, en cas de suspicion d'un risque de tromperie, une interaction avec l'utilisateur aidera à faire comprendre à l'utilisateur en question ce qui s'est passé et pourra potentiellement contribuer à le sensibiliser aux risques de tromperie lors des transactions ultérieures.</w:t>
      </w:r>
    </w:p>
    <w:p w14:paraId="1C6AEF65" w14:textId="50D997B4" w:rsidR="00A26EBE" w:rsidRPr="007B504C" w:rsidRDefault="00A26EBE" w:rsidP="00A26EBE">
      <w:pPr>
        <w:rPr>
          <w:rFonts w:eastAsiaTheme="minorEastAsia"/>
        </w:rPr>
      </w:pPr>
      <w:r w:rsidRPr="007B504C">
        <w:rPr>
          <w:rFonts w:eastAsiaTheme="minorEastAsia"/>
        </w:rPr>
        <w:t>Compte tenu de ces facteurs, cette Recommandation décrit les capacités techniques de détection interactive des risques de tromperie, avec lesquelles le système de détection des risques de tromperie coopérera avec l'aide d'un moteur d'interaction afin de mieux identifier les risques de tromperie lorsque les informations identifiées sont insuffisantes pour décider du niveau de risque. Conformément aux règles, au corpus et à d'autres éléments, le moteur d'interaction contacte l'utilisateur moyennant un appel téléphonique, l'envoi d'un SMS, une interaction en ligne ou par d'autres moyens afin d'obtenir davantage d'informations destinées au système de détection des risques de tromperie et ainsi diminuer le niveau de risque.</w:t>
      </w:r>
    </w:p>
    <w:p w14:paraId="4D6EA8B8" w14:textId="77777777" w:rsidR="00A26EBE" w:rsidRPr="007B504C" w:rsidRDefault="00A26EBE" w:rsidP="00A26EBE">
      <w:pPr>
        <w:rPr>
          <w:rFonts w:eastAsiaTheme="minorEastAsia"/>
        </w:rPr>
      </w:pPr>
      <w:r w:rsidRPr="007B504C">
        <w:rPr>
          <w:rFonts w:eastAsiaTheme="minorEastAsia"/>
        </w:rPr>
        <w:t>Cette Recommandation spécifie les capacités techniques de détection interactive des risques de tromperie, avec l'identification de ces capacités, les composantes fonctionnelles nécessaires pour prendre en charge les capacités identifiées et les procédures pour permettre l'interaction entre les différentes composantes fonctionnelles.</w:t>
      </w:r>
    </w:p>
    <w:p w14:paraId="4D0AA34B" w14:textId="1389BDC8" w:rsidR="00A26EBE" w:rsidRPr="007B504C" w:rsidRDefault="00A26EBE" w:rsidP="00EF7D71">
      <w:pPr>
        <w:pStyle w:val="Heading1"/>
        <w:rPr>
          <w:rFonts w:eastAsiaTheme="minorEastAsia"/>
        </w:rPr>
      </w:pPr>
      <w:r w:rsidRPr="007B504C">
        <w:rPr>
          <w:rFonts w:eastAsiaTheme="minorEastAsia"/>
        </w:rPr>
        <w:t>8</w:t>
      </w:r>
      <w:r w:rsidRPr="007B504C">
        <w:rPr>
          <w:rFonts w:eastAsiaTheme="minorEastAsia"/>
        </w:rPr>
        <w:tab/>
        <w:t xml:space="preserve">Projet de Recommandation UIT-T X.1651 (anciennement X.soar-cc) (Document </w:t>
      </w:r>
      <w:hyperlink r:id="rId21" w:history="1">
        <w:r w:rsidRPr="007B504C">
          <w:rPr>
            <w:rStyle w:val="Hyperlink"/>
            <w:rFonts w:eastAsiaTheme="minorEastAsia"/>
          </w:rPr>
          <w:t>SG17-32</w:t>
        </w:r>
      </w:hyperlink>
      <w:r w:rsidRPr="007B504C">
        <w:rPr>
          <w:rFonts w:eastAsiaTheme="minorEastAsia"/>
        </w:rPr>
        <w:t>)</w:t>
      </w:r>
    </w:p>
    <w:p w14:paraId="2C27403A" w14:textId="77777777" w:rsidR="00A26EBE" w:rsidRPr="007B504C" w:rsidRDefault="00A26EBE" w:rsidP="00A26EBE">
      <w:pPr>
        <w:rPr>
          <w:rFonts w:eastAsiaTheme="minorEastAsia"/>
        </w:rPr>
      </w:pPr>
      <w:r w:rsidRPr="007B504C">
        <w:rPr>
          <w:rFonts w:eastAsiaTheme="minorEastAsia"/>
        </w:rPr>
        <w:t>Cadre applicable à l'orchestration, à l'automatisation et à la réponse aux incidents de sécurité pour l'informatique en nuage</w:t>
      </w:r>
    </w:p>
    <w:p w14:paraId="78D7AB96" w14:textId="77777777" w:rsidR="00A26EBE" w:rsidRPr="007B504C" w:rsidRDefault="00A26EBE" w:rsidP="00EF7D71">
      <w:pPr>
        <w:pStyle w:val="headingb"/>
        <w:rPr>
          <w:rFonts w:eastAsiaTheme="minorEastAsia"/>
        </w:rPr>
      </w:pPr>
      <w:r w:rsidRPr="007B504C">
        <w:rPr>
          <w:rFonts w:eastAsiaTheme="minorEastAsia"/>
        </w:rPr>
        <w:t>Résumé</w:t>
      </w:r>
    </w:p>
    <w:p w14:paraId="04DE9461" w14:textId="77777777" w:rsidR="00A26EBE" w:rsidRPr="007B504C" w:rsidRDefault="00A26EBE" w:rsidP="00A26EBE">
      <w:pPr>
        <w:rPr>
          <w:rFonts w:eastAsiaTheme="minorEastAsia"/>
        </w:rPr>
      </w:pPr>
      <w:r w:rsidRPr="007B504C">
        <w:rPr>
          <w:rFonts w:eastAsiaTheme="minorEastAsia"/>
        </w:rPr>
        <w:t xml:space="preserve">Aujourd'hui, alors que les stratégies de sécurité des réseaux ne cessent d'évoluer, l'architecture de sécurité pour les fournisseurs de services en nuage (CSP) ou les clients de services en nuage (CSC) est passée d'une simple combinaison de prévention et de rétablissement à une nouvelle étape </w:t>
      </w:r>
      <w:r w:rsidRPr="007B504C">
        <w:rPr>
          <w:rFonts w:eastAsiaTheme="minorEastAsia"/>
        </w:rPr>
        <w:lastRenderedPageBreak/>
        <w:t>intégrant la détection, la prévention et la réponse. Les grandes entreprises et organisations attachent une plus grande importance à l'orchestration, l'automatisation et la réponse aux incidents de sécurité (SOAR). L'architecture SOAR est considérée comme la technologie clé pour améliorer l'élasticité du réseau et l'efficacité des opérations de sécurité pour l'informatique en nuage, comme suit:</w:t>
      </w:r>
    </w:p>
    <w:p w14:paraId="105A4566" w14:textId="77777777" w:rsidR="00A26EBE" w:rsidRPr="007B504C" w:rsidRDefault="00A26EBE" w:rsidP="00EF7D71">
      <w:pPr>
        <w:pStyle w:val="enumlev1"/>
        <w:rPr>
          <w:rFonts w:eastAsiaTheme="minorEastAsia"/>
        </w:rPr>
      </w:pPr>
      <w:r w:rsidRPr="007B504C">
        <w:rPr>
          <w:rFonts w:eastAsiaTheme="minorEastAsia"/>
        </w:rPr>
        <w:t>1)</w:t>
      </w:r>
      <w:r w:rsidRPr="007B504C">
        <w:rPr>
          <w:rFonts w:eastAsiaTheme="minorEastAsia"/>
        </w:rPr>
        <w:tab/>
        <w:t>En tirant parti de l'intelligence artificielle (IA), il est possible de mettre en place une fonctionnalité d'opérations de sécurité dans le nuage qui comprend l'analyse des menaces et la réponse automatique, ce qui pourrait améliorer considérablement l'efficacité des opérations de sécurité.</w:t>
      </w:r>
    </w:p>
    <w:p w14:paraId="72250DAD" w14:textId="5D21647C" w:rsidR="00A26EBE" w:rsidRPr="007B504C" w:rsidRDefault="00A26EBE" w:rsidP="00EF7D71">
      <w:pPr>
        <w:pStyle w:val="enumlev1"/>
        <w:rPr>
          <w:rFonts w:eastAsiaTheme="minorEastAsia"/>
        </w:rPr>
      </w:pPr>
      <w:r w:rsidRPr="007B504C">
        <w:rPr>
          <w:rFonts w:eastAsiaTheme="minorEastAsia"/>
        </w:rPr>
        <w:t>2)</w:t>
      </w:r>
      <w:r w:rsidRPr="007B504C">
        <w:rPr>
          <w:rFonts w:eastAsiaTheme="minorEastAsia"/>
        </w:rPr>
        <w:tab/>
        <w:t>Dans le domaine de l'informatique en nuage, l'architecture SOAR présente naturellement un avantage en termes de coûts.</w:t>
      </w:r>
    </w:p>
    <w:p w14:paraId="128AABD3" w14:textId="26426B76" w:rsidR="00A26EBE" w:rsidRPr="007B504C" w:rsidRDefault="00A26EBE" w:rsidP="00EF7D71">
      <w:pPr>
        <w:pStyle w:val="enumlev1"/>
        <w:rPr>
          <w:rFonts w:eastAsiaTheme="minorEastAsia"/>
        </w:rPr>
      </w:pPr>
      <w:r w:rsidRPr="007B504C">
        <w:rPr>
          <w:rFonts w:eastAsiaTheme="minorEastAsia"/>
        </w:rPr>
        <w:t>3)</w:t>
      </w:r>
      <w:r w:rsidRPr="007B504C">
        <w:rPr>
          <w:rFonts w:eastAsiaTheme="minorEastAsia"/>
        </w:rPr>
        <w:tab/>
        <w:t>Compte tenu du développement de la technologie native de l'informatique en nuage, il existe de nouvelles approches pour mettre en œuvre la réponse aux incidents dans l'informatique en nuage.</w:t>
      </w:r>
    </w:p>
    <w:p w14:paraId="6CEE686F" w14:textId="01D6D1B1" w:rsidR="00A26EBE" w:rsidRPr="007B504C" w:rsidRDefault="00A26EBE" w:rsidP="00A26EBE">
      <w:pPr>
        <w:rPr>
          <w:rFonts w:eastAsiaTheme="minorEastAsia"/>
        </w:rPr>
      </w:pPr>
      <w:r w:rsidRPr="007B504C">
        <w:rPr>
          <w:rFonts w:eastAsiaTheme="minorEastAsia"/>
        </w:rPr>
        <w:t>Cette Recommandation donne un aperçu de l'architecture SOAR pour l'informatique en nuage, y</w:t>
      </w:r>
      <w:r w:rsidR="00EF7D71" w:rsidRPr="007B504C">
        <w:rPr>
          <w:rFonts w:eastAsiaTheme="minorEastAsia"/>
        </w:rPr>
        <w:t> </w:t>
      </w:r>
      <w:r w:rsidRPr="007B504C">
        <w:rPr>
          <w:rFonts w:eastAsiaTheme="minorEastAsia"/>
        </w:rPr>
        <w:t>compris la définition et le contexte émergent de l'architecture SOAR, et analyse les avantages qu'offre l'architecture SOAR face aux menaces qui se posent pour la sécurité de l'informatique en nuage, en particulier dans les interventions en cas d'incident. Elle définit également un cadre de sécurité SOAR pour l'informatique en nuage afin d'améliorer l'efficacité des opérations de sécurité pour les fournisseurs CSP et les clients CSC.</w:t>
      </w:r>
    </w:p>
    <w:p w14:paraId="11295FAA" w14:textId="0121E6EF" w:rsidR="00A26EBE" w:rsidRPr="007B504C" w:rsidRDefault="00A26EBE" w:rsidP="00EF7D71">
      <w:pPr>
        <w:pStyle w:val="Heading1"/>
        <w:rPr>
          <w:rFonts w:eastAsiaTheme="minorEastAsia"/>
        </w:rPr>
      </w:pPr>
      <w:r w:rsidRPr="007B504C">
        <w:rPr>
          <w:rFonts w:eastAsiaTheme="minorEastAsia"/>
        </w:rPr>
        <w:t>9</w:t>
      </w:r>
      <w:r w:rsidRPr="007B504C">
        <w:rPr>
          <w:rFonts w:eastAsiaTheme="minorEastAsia"/>
        </w:rPr>
        <w:tab/>
        <w:t>Projet de Recommandation UIT-T X. 1607 (anciennement X.asm-cc) (Document</w:t>
      </w:r>
      <w:r w:rsidR="00EF7D71" w:rsidRPr="007B504C">
        <w:rPr>
          <w:rFonts w:eastAsiaTheme="minorEastAsia"/>
        </w:rPr>
        <w:t> </w:t>
      </w:r>
      <w:hyperlink r:id="rId22" w:history="1">
        <w:r w:rsidRPr="007B504C">
          <w:rPr>
            <w:rStyle w:val="Hyperlink"/>
            <w:rFonts w:eastAsiaTheme="minorEastAsia"/>
          </w:rPr>
          <w:t>SG17</w:t>
        </w:r>
        <w:r w:rsidR="00EF7D71" w:rsidRPr="007B504C">
          <w:rPr>
            <w:rStyle w:val="Hyperlink"/>
            <w:rFonts w:eastAsiaTheme="minorEastAsia"/>
          </w:rPr>
          <w:noBreakHyphen/>
        </w:r>
        <w:r w:rsidRPr="007B504C">
          <w:rPr>
            <w:rStyle w:val="Hyperlink"/>
            <w:rFonts w:eastAsiaTheme="minorEastAsia"/>
          </w:rPr>
          <w:t>R33</w:t>
        </w:r>
      </w:hyperlink>
      <w:r w:rsidRPr="007B504C">
        <w:rPr>
          <w:rFonts w:eastAsiaTheme="minorEastAsia"/>
        </w:rPr>
        <w:t>)</w:t>
      </w:r>
    </w:p>
    <w:p w14:paraId="7B47C19D" w14:textId="77777777" w:rsidR="00A26EBE" w:rsidRPr="007B504C" w:rsidRDefault="00A26EBE" w:rsidP="00A26EBE">
      <w:pPr>
        <w:rPr>
          <w:rFonts w:eastAsiaTheme="minorEastAsia"/>
        </w:rPr>
      </w:pPr>
      <w:r w:rsidRPr="007B504C">
        <w:rPr>
          <w:rFonts w:eastAsiaTheme="minorEastAsia"/>
        </w:rPr>
        <w:t>Exigences relatives à la gestion de la surface d'attaque pour l'informatique en nuage</w:t>
      </w:r>
    </w:p>
    <w:p w14:paraId="0ADBA178" w14:textId="77777777" w:rsidR="00A26EBE" w:rsidRPr="007B504C" w:rsidRDefault="00A26EBE" w:rsidP="00EF7D71">
      <w:pPr>
        <w:pStyle w:val="headingb"/>
        <w:rPr>
          <w:rFonts w:eastAsiaTheme="minorEastAsia"/>
        </w:rPr>
      </w:pPr>
      <w:r w:rsidRPr="007B504C">
        <w:rPr>
          <w:rFonts w:eastAsiaTheme="minorEastAsia"/>
        </w:rPr>
        <w:t>Résumé</w:t>
      </w:r>
    </w:p>
    <w:p w14:paraId="26CE2EC5" w14:textId="77777777" w:rsidR="00A26EBE" w:rsidRPr="007B504C" w:rsidRDefault="00A26EBE" w:rsidP="00A26EBE">
      <w:pPr>
        <w:rPr>
          <w:rFonts w:eastAsiaTheme="minorEastAsia"/>
        </w:rPr>
      </w:pPr>
      <w:r w:rsidRPr="007B504C">
        <w:rPr>
          <w:rFonts w:eastAsiaTheme="minorEastAsia"/>
        </w:rPr>
        <w:t>Cette Recommandation décrit en détail les exigences applicables à la gestion de la surface d'attaque (ASM) dans les environnements d'informatique en nuage. Les principaux éléments de la gestion ASM comprennent la découverte approfondie des cyberactifs, l'identification de la surface d'attaque, une analyse approfondie et une surveillance continue. Ces processus sont essentiels pour maintenir un dispositif de sécurité robuste dans les environnements en nuage.</w:t>
      </w:r>
    </w:p>
    <w:p w14:paraId="4EE4FB8E" w14:textId="13FB45B0" w:rsidR="00A26EBE" w:rsidRPr="007B504C" w:rsidRDefault="00A26EBE" w:rsidP="00A26EBE">
      <w:pPr>
        <w:rPr>
          <w:rFonts w:eastAsiaTheme="minorEastAsia"/>
        </w:rPr>
      </w:pPr>
      <w:r w:rsidRPr="007B504C">
        <w:rPr>
          <w:rFonts w:eastAsiaTheme="minorEastAsia"/>
        </w:rPr>
        <w:t>Pour une gestion efficace des surfaces d'attaque, la fonction ASM correspondante doit intégrer de manière transparente les renseignements sur les menaces et collaborer avec des outils tiers. En outre, elle devrait fournir des visualisations et des correspondances détaillés des actifs, des flux de données et du trafic réseau, afin de permettre aux organisations de recenser et d'atténuer les vulnérabilités potentielles de manière proactive. En évaluant, en configurant et en protégeant en permanence les surfaces d'attaque dans les environnements multi-nuages et hybrides, la fonction</w:t>
      </w:r>
      <w:r w:rsidR="007B504C" w:rsidRPr="007B504C">
        <w:rPr>
          <w:rFonts w:eastAsiaTheme="minorEastAsia"/>
        </w:rPr>
        <w:t> </w:t>
      </w:r>
      <w:r w:rsidRPr="007B504C">
        <w:rPr>
          <w:rFonts w:eastAsiaTheme="minorEastAsia"/>
        </w:rPr>
        <w:t>ASM permet de lutter efficacement contre les cybermenaces en constante évolution. Elle facilite en outre la hiérarchisation et la correction des risques, ce qui permet aux organisations de maintenir une infrastructure en nuage sûre et souple.</w:t>
      </w:r>
    </w:p>
    <w:p w14:paraId="4C336F40" w14:textId="17C76819" w:rsidR="00A26EBE" w:rsidRPr="007B504C" w:rsidRDefault="00A26EBE" w:rsidP="007B504C">
      <w:pPr>
        <w:pStyle w:val="Heading1"/>
        <w:rPr>
          <w:rFonts w:eastAsiaTheme="minorEastAsia"/>
        </w:rPr>
      </w:pPr>
      <w:r w:rsidRPr="007B504C">
        <w:rPr>
          <w:rFonts w:eastAsiaTheme="minorEastAsia"/>
        </w:rPr>
        <w:lastRenderedPageBreak/>
        <w:t>10</w:t>
      </w:r>
      <w:r w:rsidRPr="007B504C">
        <w:rPr>
          <w:rFonts w:eastAsiaTheme="minorEastAsia"/>
        </w:rPr>
        <w:tab/>
        <w:t xml:space="preserve">Projet de Recommandation UIT-T X.1418 (anciennement X.sg-dcs) (Document </w:t>
      </w:r>
      <w:hyperlink r:id="rId23" w:history="1">
        <w:r w:rsidRPr="007B504C">
          <w:rPr>
            <w:rStyle w:val="Hyperlink"/>
            <w:rFonts w:eastAsiaTheme="minorEastAsia"/>
          </w:rPr>
          <w:t>SG17-R34</w:t>
        </w:r>
      </w:hyperlink>
      <w:r w:rsidRPr="007B504C">
        <w:rPr>
          <w:rFonts w:eastAsiaTheme="minorEastAsia"/>
        </w:rPr>
        <w:t>)</w:t>
      </w:r>
    </w:p>
    <w:p w14:paraId="6C3FD0AD" w14:textId="77777777" w:rsidR="00A26EBE" w:rsidRPr="007B504C" w:rsidRDefault="00A26EBE" w:rsidP="007B504C">
      <w:pPr>
        <w:keepNext/>
        <w:keepLines/>
        <w:rPr>
          <w:rFonts w:eastAsiaTheme="minorEastAsia"/>
        </w:rPr>
      </w:pPr>
      <w:r w:rsidRPr="007B504C">
        <w:rPr>
          <w:rFonts w:eastAsiaTheme="minorEastAsia"/>
        </w:rPr>
        <w:t>Lignes directrices en matière de sécurité applicables aux services de collection numérique fondés sur la technologie DLT</w:t>
      </w:r>
    </w:p>
    <w:p w14:paraId="6735624C" w14:textId="77777777" w:rsidR="00A26EBE" w:rsidRPr="007B504C" w:rsidRDefault="00A26EBE" w:rsidP="00462827">
      <w:pPr>
        <w:pStyle w:val="headingb"/>
        <w:rPr>
          <w:rFonts w:eastAsiaTheme="minorEastAsia"/>
        </w:rPr>
      </w:pPr>
      <w:r w:rsidRPr="007B504C">
        <w:rPr>
          <w:rFonts w:eastAsiaTheme="minorEastAsia"/>
        </w:rPr>
        <w:t>Résumé</w:t>
      </w:r>
    </w:p>
    <w:p w14:paraId="0608FBB8" w14:textId="77777777" w:rsidR="00A26EBE" w:rsidRPr="007B504C" w:rsidRDefault="00A26EBE" w:rsidP="00A26EBE">
      <w:pPr>
        <w:rPr>
          <w:rFonts w:eastAsiaTheme="minorEastAsia"/>
        </w:rPr>
      </w:pPr>
      <w:r w:rsidRPr="007B504C">
        <w:rPr>
          <w:rFonts w:eastAsiaTheme="minorEastAsia"/>
        </w:rPr>
        <w:t>Une collection numérique fondée sur la technologie des registres distribués (DLT) est un certificat numérique unique enregistré sur un système DLT privé, qui est utilisé pour indiquer la propriété d'actifs tels que des œuvres d'art ou des objets de collection. Un système de services de collection numérique fondés sur la technologie DLT s'articule principalement autour de trois parties prenantes fondamentales, qui sont un utilisateur de collection numérique, un fournisseur de ressources de collection numérique et une plate-forme de services de collection numérique exploitant le système DLT privé. Ce système facilite toute une série d'activités liées aux collections numériques, notamment l'émission, la vente, l'achat, la vente aux enchères et les transactions.</w:t>
      </w:r>
    </w:p>
    <w:p w14:paraId="21AD69DC" w14:textId="77777777" w:rsidR="00A26EBE" w:rsidRPr="007B504C" w:rsidRDefault="00A26EBE" w:rsidP="00A26EBE">
      <w:pPr>
        <w:rPr>
          <w:rFonts w:eastAsiaTheme="minorEastAsia"/>
        </w:rPr>
      </w:pPr>
      <w:r w:rsidRPr="007B504C">
        <w:rPr>
          <w:rFonts w:eastAsiaTheme="minorEastAsia"/>
        </w:rPr>
        <w:t>Dans le système de service de collection numérique fondé sur la technologie DLT, les parties prenantes diffèrent dans chaque processus, ce qui entraîne la création et la demande de différents types de données. Chaque processus comporte des risques de sécurité avec de graves conséquences, notamment des pertes financières, une atteinte à la réputation, une instabilité du marché et l'exposition des informations personnelles. Pour contrer ces risques, cette Recommandation identifie les menaces potentielles pour la sécurité rencontrées lors de diverses activités liées aux collections numériques et spécifie les exigences de sécurité et les contrôles visant à les atténuer.</w:t>
      </w:r>
    </w:p>
    <w:p w14:paraId="14C2D040" w14:textId="16A77D6A" w:rsidR="00A26EBE" w:rsidRPr="007B504C" w:rsidRDefault="00A26EBE" w:rsidP="00462827">
      <w:pPr>
        <w:pStyle w:val="Heading1"/>
        <w:rPr>
          <w:rFonts w:eastAsiaTheme="minorEastAsia"/>
        </w:rPr>
      </w:pPr>
      <w:r w:rsidRPr="007B504C">
        <w:rPr>
          <w:rFonts w:eastAsiaTheme="minorEastAsia"/>
        </w:rPr>
        <w:t>11</w:t>
      </w:r>
      <w:r w:rsidRPr="007B504C">
        <w:rPr>
          <w:rFonts w:eastAsiaTheme="minorEastAsia"/>
        </w:rPr>
        <w:tab/>
        <w:t xml:space="preserve">Projet de Recommandation UIT-T X.1417 (anciennement X.sr-dpts) (Document </w:t>
      </w:r>
      <w:hyperlink r:id="rId24" w:history="1">
        <w:r w:rsidRPr="007B504C">
          <w:rPr>
            <w:rStyle w:val="Hyperlink"/>
            <w:rFonts w:eastAsiaTheme="minorEastAsia"/>
          </w:rPr>
          <w:t>SG17-R35</w:t>
        </w:r>
      </w:hyperlink>
      <w:r w:rsidRPr="007B504C">
        <w:rPr>
          <w:rFonts w:eastAsiaTheme="minorEastAsia"/>
        </w:rPr>
        <w:t>)</w:t>
      </w:r>
    </w:p>
    <w:p w14:paraId="10BBEAFD" w14:textId="77777777" w:rsidR="00A26EBE" w:rsidRPr="007B504C" w:rsidRDefault="00A26EBE" w:rsidP="00A26EBE">
      <w:pPr>
        <w:rPr>
          <w:rFonts w:eastAsiaTheme="minorEastAsia"/>
        </w:rPr>
      </w:pPr>
      <w:r w:rsidRPr="007B504C">
        <w:rPr>
          <w:rFonts w:eastAsiaTheme="minorEastAsia"/>
        </w:rPr>
        <w:t>Exigences de sécurité relatives aux données reposant sur la technologie des registres distribués (DLT) applicables aux systèmes de négociation d'électricité distribués fondés sur la technologie DLT avec permission</w:t>
      </w:r>
    </w:p>
    <w:p w14:paraId="1432A72E" w14:textId="77777777" w:rsidR="00A26EBE" w:rsidRPr="007B504C" w:rsidRDefault="00A26EBE" w:rsidP="00462827">
      <w:pPr>
        <w:pStyle w:val="headingb"/>
        <w:rPr>
          <w:rFonts w:eastAsiaTheme="minorEastAsia"/>
        </w:rPr>
      </w:pPr>
      <w:r w:rsidRPr="007B504C">
        <w:rPr>
          <w:rFonts w:eastAsiaTheme="minorEastAsia"/>
        </w:rPr>
        <w:t>Résumé</w:t>
      </w:r>
    </w:p>
    <w:p w14:paraId="76445D2F" w14:textId="77777777" w:rsidR="00A26EBE" w:rsidRPr="007B504C" w:rsidRDefault="00A26EBE" w:rsidP="00A26EBE">
      <w:pPr>
        <w:rPr>
          <w:rFonts w:eastAsiaTheme="minorEastAsia"/>
        </w:rPr>
      </w:pPr>
      <w:r w:rsidRPr="007B504C">
        <w:rPr>
          <w:rFonts w:eastAsiaTheme="minorEastAsia"/>
        </w:rPr>
        <w:t xml:space="preserve">Un système de négociation d'électricité distribué (DPT) fondé sur la technologie des registres distribués (DLT) avec permission est un système conçu pour le commerce d'énergie entre homologues dans un réseau intelligent. La technologie DLT avec permission a été appliquée aux systèmes de commercialisation de l'électricité pour résoudre les problèmes qui se posent dans les systèmes classiques de commercialisation de l'électricité. Cependant, des défis subsistent dans les systèmes DPT utilisant la technologie DLT avec permission. </w:t>
      </w:r>
    </w:p>
    <w:p w14:paraId="4ACAA321" w14:textId="214945B3" w:rsidR="008F6572" w:rsidRPr="007B504C" w:rsidRDefault="00A26EBE" w:rsidP="00A26EBE">
      <w:pPr>
        <w:rPr>
          <w:rFonts w:eastAsiaTheme="minorEastAsia"/>
        </w:rPr>
      </w:pPr>
      <w:r w:rsidRPr="007B504C">
        <w:rPr>
          <w:rFonts w:eastAsiaTheme="minorEastAsia"/>
        </w:rPr>
        <w:t>Cette Recommandation recense les menaces pour la sécurité des données traitées dans les systèmes DPT fondés sur la technologie DLT avec permission, en particulier les données sensibles relatives aux participants aux systèmes, telles que l'identifiant de l'utilisateur (ID), la composition des ressources énergétiques, l'état opérationnel et les calendriers de production/consommation d'énergie. Elle fournit également des exigences de sécurité pour atténuer ces menaces de sécurité et protéger les données sensibles contre les expositions externes. Cette Recommandation peut être utilisée pour la conception, le développement et l'exploitation de systèmes DPT utilisant la technologie DLT avec permission.</w:t>
      </w:r>
    </w:p>
    <w:p w14:paraId="1303A1C5" w14:textId="0D61CFD2" w:rsidR="00A26EBE" w:rsidRPr="007B504C" w:rsidRDefault="00A26EBE">
      <w:pPr>
        <w:tabs>
          <w:tab w:val="clear" w:pos="794"/>
          <w:tab w:val="clear" w:pos="1191"/>
          <w:tab w:val="clear" w:pos="1588"/>
          <w:tab w:val="clear" w:pos="1985"/>
        </w:tabs>
        <w:overflowPunct/>
        <w:autoSpaceDE/>
        <w:autoSpaceDN/>
        <w:adjustRightInd/>
        <w:spacing w:before="0"/>
        <w:textAlignment w:val="auto"/>
        <w:rPr>
          <w:rFonts w:eastAsiaTheme="minorEastAsia"/>
        </w:rPr>
      </w:pPr>
      <w:r w:rsidRPr="007B504C">
        <w:rPr>
          <w:rFonts w:eastAsiaTheme="minorEastAsia"/>
        </w:rPr>
        <w:br w:type="page"/>
      </w:r>
    </w:p>
    <w:p w14:paraId="5016CF22" w14:textId="77777777" w:rsidR="00A26EBE" w:rsidRPr="007B504C" w:rsidRDefault="00A26EBE" w:rsidP="00A26EBE">
      <w:pPr>
        <w:pStyle w:val="Annextitle0"/>
        <w:spacing w:before="120"/>
        <w:rPr>
          <w:rFonts w:cs="Calibri"/>
          <w:sz w:val="20"/>
          <w:lang w:val="fr-FR"/>
        </w:rPr>
      </w:pPr>
      <w:r w:rsidRPr="007B504C">
        <w:rPr>
          <w:bCs/>
          <w:sz w:val="24"/>
          <w:szCs w:val="18"/>
          <w:lang w:val="fr-FR"/>
        </w:rPr>
        <w:lastRenderedPageBreak/>
        <w:t>Annexe 2</w:t>
      </w:r>
    </w:p>
    <w:p w14:paraId="161524F8" w14:textId="49E12A3A" w:rsidR="00A26EBE" w:rsidRPr="007B504C" w:rsidRDefault="00A26EBE" w:rsidP="00A26EBE">
      <w:pPr>
        <w:pStyle w:val="Annextitle0"/>
        <w:rPr>
          <w:rFonts w:cs="Calibri"/>
          <w:sz w:val="24"/>
          <w:szCs w:val="24"/>
          <w:lang w:val="fr-FR"/>
        </w:rPr>
      </w:pPr>
      <w:r w:rsidRPr="007B504C">
        <w:rPr>
          <w:bCs/>
          <w:sz w:val="24"/>
          <w:szCs w:val="18"/>
          <w:lang w:val="fr-FR"/>
        </w:rPr>
        <w:t>Objet: Réponse des États Membres à la Circulaire TSB 104:</w:t>
      </w:r>
      <w:r w:rsidRPr="007B504C">
        <w:rPr>
          <w:bCs/>
          <w:sz w:val="24"/>
          <w:szCs w:val="18"/>
          <w:lang w:val="fr-FR"/>
        </w:rPr>
        <w:br/>
        <w:t>Consultation sur le texte déterminé de la Recommandation révisée UIT-T X.1280 et des projets de nouvelles Recommandations X.1286 (anciennement X.accsadlt),</w:t>
      </w:r>
      <w:r w:rsidR="00A05D61" w:rsidRPr="007B504C">
        <w:rPr>
          <w:bCs/>
          <w:sz w:val="24"/>
          <w:szCs w:val="18"/>
          <w:lang w:val="fr-FR"/>
        </w:rPr>
        <w:t xml:space="preserve"> </w:t>
      </w:r>
      <w:r w:rsidRPr="007B504C">
        <w:rPr>
          <w:bCs/>
          <w:sz w:val="24"/>
          <w:szCs w:val="18"/>
          <w:lang w:val="fr-FR"/>
        </w:rPr>
        <w:t>X.1821 (anciennement</w:t>
      </w:r>
      <w:r w:rsidR="00A05D61" w:rsidRPr="007B504C">
        <w:rPr>
          <w:bCs/>
          <w:sz w:val="24"/>
          <w:szCs w:val="18"/>
          <w:lang w:val="fr-FR"/>
        </w:rPr>
        <w:br/>
      </w:r>
      <w:r w:rsidRPr="007B504C">
        <w:rPr>
          <w:bCs/>
          <w:sz w:val="24"/>
          <w:szCs w:val="18"/>
          <w:lang w:val="fr-FR"/>
        </w:rPr>
        <w:t>X.5Gsec-asra), X.1350 (anciennement X.sr-iiot),</w:t>
      </w:r>
      <w:r w:rsidR="00A05D61" w:rsidRPr="007B504C">
        <w:rPr>
          <w:bCs/>
          <w:sz w:val="24"/>
          <w:szCs w:val="18"/>
          <w:lang w:val="fr-FR"/>
        </w:rPr>
        <w:t xml:space="preserve"> </w:t>
      </w:r>
      <w:r w:rsidRPr="007B504C">
        <w:rPr>
          <w:bCs/>
          <w:sz w:val="24"/>
          <w:szCs w:val="18"/>
          <w:lang w:val="fr-FR"/>
        </w:rPr>
        <w:t>X.2105</w:t>
      </w:r>
      <w:r w:rsidR="00462827" w:rsidRPr="007B504C">
        <w:rPr>
          <w:bCs/>
          <w:sz w:val="24"/>
          <w:szCs w:val="18"/>
          <w:lang w:val="fr-FR"/>
        </w:rPr>
        <w:t xml:space="preserve"> </w:t>
      </w:r>
      <w:r w:rsidRPr="007B504C">
        <w:rPr>
          <w:bCs/>
          <w:sz w:val="24"/>
          <w:szCs w:val="18"/>
          <w:lang w:val="fr-FR"/>
        </w:rPr>
        <w:t>(anciennement X.st-ssc),</w:t>
      </w:r>
      <w:r w:rsidR="00A05D61" w:rsidRPr="007B504C">
        <w:rPr>
          <w:bCs/>
          <w:sz w:val="24"/>
          <w:szCs w:val="18"/>
          <w:lang w:val="fr-FR"/>
        </w:rPr>
        <w:br/>
      </w:r>
      <w:r w:rsidRPr="007B504C">
        <w:rPr>
          <w:bCs/>
          <w:sz w:val="24"/>
          <w:szCs w:val="18"/>
          <w:lang w:val="fr-FR"/>
        </w:rPr>
        <w:t>X.2210 (anciennement X.ig-dw),</w:t>
      </w:r>
      <w:r w:rsidR="00A05D61" w:rsidRPr="007B504C">
        <w:rPr>
          <w:bCs/>
          <w:sz w:val="24"/>
          <w:szCs w:val="18"/>
          <w:lang w:val="fr-FR"/>
        </w:rPr>
        <w:t xml:space="preserve"> </w:t>
      </w:r>
      <w:r w:rsidRPr="007B504C">
        <w:rPr>
          <w:bCs/>
          <w:sz w:val="24"/>
          <w:szCs w:val="18"/>
          <w:lang w:val="fr-FR"/>
        </w:rPr>
        <w:t>X.1910</w:t>
      </w:r>
      <w:r w:rsidR="00462827" w:rsidRPr="007B504C">
        <w:rPr>
          <w:bCs/>
          <w:sz w:val="24"/>
          <w:szCs w:val="18"/>
          <w:lang w:val="fr-FR"/>
        </w:rPr>
        <w:t xml:space="preserve"> </w:t>
      </w:r>
      <w:r w:rsidRPr="007B504C">
        <w:rPr>
          <w:bCs/>
          <w:sz w:val="24"/>
          <w:szCs w:val="18"/>
          <w:lang w:val="fr-FR"/>
        </w:rPr>
        <w:t>(anciennement X.tc-ifd), X.1651</w:t>
      </w:r>
      <w:r w:rsidR="00A05D61" w:rsidRPr="007B504C">
        <w:rPr>
          <w:bCs/>
          <w:sz w:val="24"/>
          <w:szCs w:val="18"/>
          <w:lang w:val="fr-FR"/>
        </w:rPr>
        <w:br/>
      </w:r>
      <w:r w:rsidRPr="007B504C">
        <w:rPr>
          <w:bCs/>
          <w:sz w:val="24"/>
          <w:szCs w:val="18"/>
          <w:lang w:val="fr-FR"/>
        </w:rPr>
        <w:t>(anciennement X.soar-cc),</w:t>
      </w:r>
      <w:r w:rsidR="00A05D61" w:rsidRPr="007B504C">
        <w:rPr>
          <w:bCs/>
          <w:sz w:val="24"/>
          <w:szCs w:val="18"/>
          <w:lang w:val="fr-FR"/>
        </w:rPr>
        <w:t xml:space="preserve"> </w:t>
      </w:r>
      <w:r w:rsidRPr="007B504C">
        <w:rPr>
          <w:bCs/>
          <w:sz w:val="24"/>
          <w:szCs w:val="18"/>
          <w:lang w:val="fr-FR"/>
        </w:rPr>
        <w:t>X.1607</w:t>
      </w:r>
      <w:r w:rsidR="00462827" w:rsidRPr="007B504C">
        <w:rPr>
          <w:bCs/>
          <w:sz w:val="24"/>
          <w:szCs w:val="18"/>
          <w:lang w:val="fr-FR"/>
        </w:rPr>
        <w:t xml:space="preserve"> </w:t>
      </w:r>
      <w:r w:rsidRPr="007B504C">
        <w:rPr>
          <w:bCs/>
          <w:sz w:val="24"/>
          <w:szCs w:val="18"/>
          <w:lang w:val="fr-FR"/>
        </w:rPr>
        <w:t>(anciennement X.asm-cc), X.1418</w:t>
      </w:r>
      <w:r w:rsidR="00A05D61" w:rsidRPr="007B504C">
        <w:rPr>
          <w:bCs/>
          <w:sz w:val="24"/>
          <w:szCs w:val="18"/>
          <w:lang w:val="fr-FR"/>
        </w:rPr>
        <w:br/>
        <w:t>(</w:t>
      </w:r>
      <w:r w:rsidRPr="007B504C">
        <w:rPr>
          <w:bCs/>
          <w:sz w:val="24"/>
          <w:szCs w:val="18"/>
          <w:lang w:val="fr-FR"/>
        </w:rPr>
        <w:t>anciennement</w:t>
      </w:r>
      <w:r w:rsidR="00A05D61" w:rsidRPr="007B504C">
        <w:rPr>
          <w:bCs/>
          <w:sz w:val="24"/>
          <w:szCs w:val="18"/>
          <w:lang w:val="fr-FR"/>
        </w:rPr>
        <w:t xml:space="preserve"> </w:t>
      </w:r>
      <w:r w:rsidRPr="007B504C">
        <w:rPr>
          <w:bCs/>
          <w:sz w:val="24"/>
          <w:szCs w:val="18"/>
          <w:lang w:val="fr-FR"/>
        </w:rPr>
        <w:t>X.sg-dcs) et X.1417 (anciennement X.sr-dpts)</w:t>
      </w:r>
    </w:p>
    <w:tbl>
      <w:tblPr>
        <w:tblW w:w="9960" w:type="dxa"/>
        <w:tblInd w:w="-176" w:type="dxa"/>
        <w:tblLayout w:type="fixed"/>
        <w:tblLook w:val="04A0" w:firstRow="1" w:lastRow="0" w:firstColumn="1" w:lastColumn="0" w:noHBand="0" w:noVBand="1"/>
      </w:tblPr>
      <w:tblGrid>
        <w:gridCol w:w="1169"/>
        <w:gridCol w:w="4396"/>
        <w:gridCol w:w="1274"/>
        <w:gridCol w:w="3121"/>
      </w:tblGrid>
      <w:tr w:rsidR="00A26EBE" w:rsidRPr="007B504C" w14:paraId="0748AF12" w14:textId="77777777" w:rsidTr="00462827">
        <w:tc>
          <w:tcPr>
            <w:tcW w:w="1169" w:type="dxa"/>
            <w:hideMark/>
          </w:tcPr>
          <w:p w14:paraId="4437FADC" w14:textId="77777777" w:rsidR="00A26EBE" w:rsidRPr="007B504C" w:rsidRDefault="00A26EBE">
            <w:pPr>
              <w:jc w:val="right"/>
              <w:rPr>
                <w:rFonts w:cs="Calibri"/>
                <w:b/>
                <w:bCs/>
                <w:sz w:val="22"/>
                <w:szCs w:val="22"/>
              </w:rPr>
            </w:pPr>
            <w:r w:rsidRPr="007B504C">
              <w:rPr>
                <w:b/>
                <w:bCs/>
                <w:color w:val="000000"/>
                <w:sz w:val="22"/>
                <w:szCs w:val="22"/>
              </w:rPr>
              <w:t>À:</w:t>
            </w:r>
          </w:p>
        </w:tc>
        <w:tc>
          <w:tcPr>
            <w:tcW w:w="4396" w:type="dxa"/>
            <w:tcBorders>
              <w:top w:val="nil"/>
              <w:left w:val="nil"/>
              <w:bottom w:val="nil"/>
              <w:right w:val="single" w:sz="8" w:space="0" w:color="auto"/>
            </w:tcBorders>
            <w:hideMark/>
          </w:tcPr>
          <w:p w14:paraId="329FAFAD" w14:textId="049C4840" w:rsidR="00A26EBE" w:rsidRPr="007B504C" w:rsidRDefault="00A26EBE">
            <w:pPr>
              <w:rPr>
                <w:rFonts w:cs="Calibri"/>
                <w:sz w:val="22"/>
                <w:szCs w:val="22"/>
              </w:rPr>
            </w:pPr>
            <w:r w:rsidRPr="007B504C">
              <w:rPr>
                <w:color w:val="000000"/>
                <w:sz w:val="22"/>
                <w:szCs w:val="22"/>
              </w:rPr>
              <w:t>Directeur du Bureau de la normalisation des télécommunications</w:t>
            </w:r>
          </w:p>
          <w:p w14:paraId="33234CF3" w14:textId="77777777" w:rsidR="00A26EBE" w:rsidRPr="007B504C" w:rsidRDefault="00A26EBE">
            <w:pPr>
              <w:spacing w:before="0"/>
              <w:rPr>
                <w:rFonts w:cs="Calibri"/>
                <w:sz w:val="22"/>
                <w:szCs w:val="22"/>
              </w:rPr>
            </w:pPr>
            <w:r w:rsidRPr="007B504C">
              <w:rPr>
                <w:color w:val="000000"/>
                <w:sz w:val="22"/>
                <w:szCs w:val="22"/>
              </w:rPr>
              <w:t>Union internationale des télécommunications</w:t>
            </w:r>
          </w:p>
          <w:p w14:paraId="6C4BDC98" w14:textId="77777777" w:rsidR="00A26EBE" w:rsidRPr="007B504C" w:rsidRDefault="00A26EBE">
            <w:pPr>
              <w:spacing w:before="0"/>
              <w:rPr>
                <w:rFonts w:cs="Calibri"/>
                <w:sz w:val="22"/>
                <w:szCs w:val="22"/>
              </w:rPr>
            </w:pPr>
            <w:r w:rsidRPr="007B504C">
              <w:rPr>
                <w:color w:val="000000"/>
                <w:sz w:val="22"/>
                <w:szCs w:val="22"/>
              </w:rPr>
              <w:t>Place des Nations</w:t>
            </w:r>
          </w:p>
          <w:p w14:paraId="355A96A6" w14:textId="77777777" w:rsidR="00A26EBE" w:rsidRPr="007B504C" w:rsidRDefault="00A26EBE">
            <w:pPr>
              <w:spacing w:before="0"/>
              <w:rPr>
                <w:rFonts w:cs="Calibri"/>
                <w:sz w:val="22"/>
                <w:szCs w:val="22"/>
              </w:rPr>
            </w:pPr>
            <w:r w:rsidRPr="007B504C">
              <w:rPr>
                <w:color w:val="000000"/>
                <w:sz w:val="22"/>
                <w:szCs w:val="22"/>
              </w:rPr>
              <w:t>CH-1211 Genève 20, Suisse</w:t>
            </w:r>
          </w:p>
        </w:tc>
        <w:tc>
          <w:tcPr>
            <w:tcW w:w="1274" w:type="dxa"/>
            <w:tcBorders>
              <w:top w:val="nil"/>
              <w:left w:val="single" w:sz="8" w:space="0" w:color="auto"/>
              <w:bottom w:val="nil"/>
              <w:right w:val="nil"/>
            </w:tcBorders>
            <w:hideMark/>
          </w:tcPr>
          <w:p w14:paraId="6F5239A4" w14:textId="77777777" w:rsidR="00A26EBE" w:rsidRPr="007B504C" w:rsidRDefault="00A26EBE">
            <w:pPr>
              <w:jc w:val="right"/>
              <w:rPr>
                <w:rFonts w:cs="Calibri"/>
                <w:b/>
                <w:bCs/>
                <w:sz w:val="22"/>
                <w:szCs w:val="22"/>
              </w:rPr>
            </w:pPr>
            <w:r w:rsidRPr="007B504C">
              <w:rPr>
                <w:b/>
                <w:bCs/>
                <w:color w:val="000000"/>
                <w:sz w:val="22"/>
                <w:szCs w:val="22"/>
              </w:rPr>
              <w:t>De:</w:t>
            </w:r>
          </w:p>
        </w:tc>
        <w:tc>
          <w:tcPr>
            <w:tcW w:w="3121" w:type="dxa"/>
            <w:hideMark/>
          </w:tcPr>
          <w:p w14:paraId="407A3287" w14:textId="77777777" w:rsidR="00A26EBE" w:rsidRPr="007B504C" w:rsidRDefault="00A26EBE">
            <w:pPr>
              <w:rPr>
                <w:rFonts w:cs="Calibri"/>
                <w:sz w:val="22"/>
                <w:szCs w:val="22"/>
                <w:highlight w:val="green"/>
              </w:rPr>
            </w:pPr>
            <w:r w:rsidRPr="007B504C">
              <w:rPr>
                <w:color w:val="000000"/>
                <w:sz w:val="22"/>
                <w:szCs w:val="22"/>
                <w:highlight w:val="green"/>
              </w:rPr>
              <w:t>[Nom]</w:t>
            </w:r>
          </w:p>
          <w:p w14:paraId="2AF138E4" w14:textId="77777777" w:rsidR="00A26EBE" w:rsidRPr="007B504C" w:rsidRDefault="00A26EBE">
            <w:pPr>
              <w:spacing w:before="0"/>
              <w:rPr>
                <w:rFonts w:cs="Calibri"/>
                <w:sz w:val="22"/>
                <w:szCs w:val="22"/>
                <w:highlight w:val="green"/>
              </w:rPr>
            </w:pPr>
            <w:r w:rsidRPr="007B504C">
              <w:rPr>
                <w:color w:val="000000"/>
                <w:sz w:val="22"/>
                <w:szCs w:val="22"/>
                <w:highlight w:val="green"/>
              </w:rPr>
              <w:t>[Rôle/titre officiel]</w:t>
            </w:r>
          </w:p>
          <w:p w14:paraId="03204020" w14:textId="77777777" w:rsidR="00A26EBE" w:rsidRPr="007B504C" w:rsidRDefault="00A26EBE">
            <w:pPr>
              <w:spacing w:before="0"/>
              <w:rPr>
                <w:rFonts w:cs="Calibri"/>
                <w:sz w:val="22"/>
                <w:szCs w:val="22"/>
                <w:highlight w:val="green"/>
              </w:rPr>
            </w:pPr>
            <w:r w:rsidRPr="007B504C">
              <w:rPr>
                <w:color w:val="000000"/>
                <w:sz w:val="22"/>
                <w:szCs w:val="22"/>
                <w:highlight w:val="green"/>
              </w:rPr>
              <w:t>[Adresse]</w:t>
            </w:r>
          </w:p>
        </w:tc>
      </w:tr>
      <w:tr w:rsidR="00A26EBE" w:rsidRPr="007B504C" w14:paraId="24570A4E" w14:textId="77777777" w:rsidTr="00462827">
        <w:tc>
          <w:tcPr>
            <w:tcW w:w="1169" w:type="dxa"/>
            <w:hideMark/>
          </w:tcPr>
          <w:p w14:paraId="0A70F5CC" w14:textId="77777777" w:rsidR="00A26EBE" w:rsidRPr="007B504C" w:rsidRDefault="00A26EBE">
            <w:pPr>
              <w:spacing w:before="0"/>
              <w:jc w:val="right"/>
              <w:rPr>
                <w:rFonts w:cs="Calibri"/>
                <w:b/>
                <w:bCs/>
                <w:sz w:val="22"/>
                <w:szCs w:val="22"/>
              </w:rPr>
            </w:pPr>
            <w:r w:rsidRPr="007B504C">
              <w:rPr>
                <w:b/>
                <w:bCs/>
                <w:color w:val="000000"/>
                <w:sz w:val="22"/>
                <w:szCs w:val="22"/>
              </w:rPr>
              <w:t>Télécopie:</w:t>
            </w:r>
          </w:p>
        </w:tc>
        <w:tc>
          <w:tcPr>
            <w:tcW w:w="4396" w:type="dxa"/>
            <w:tcBorders>
              <w:top w:val="nil"/>
              <w:left w:val="nil"/>
              <w:bottom w:val="nil"/>
              <w:right w:val="single" w:sz="8" w:space="0" w:color="auto"/>
            </w:tcBorders>
            <w:hideMark/>
          </w:tcPr>
          <w:p w14:paraId="2A925CAE" w14:textId="77777777" w:rsidR="00A26EBE" w:rsidRPr="007B504C" w:rsidRDefault="00A26EBE">
            <w:pPr>
              <w:spacing w:before="0"/>
              <w:rPr>
                <w:rFonts w:cs="Calibri"/>
                <w:sz w:val="22"/>
                <w:szCs w:val="22"/>
              </w:rPr>
            </w:pPr>
            <w:r w:rsidRPr="007B504C">
              <w:rPr>
                <w:rFonts w:cs="Calibri"/>
                <w:sz w:val="22"/>
                <w:szCs w:val="22"/>
              </w:rPr>
              <w:t>+41 22 730 5853</w:t>
            </w:r>
          </w:p>
        </w:tc>
        <w:tc>
          <w:tcPr>
            <w:tcW w:w="1274" w:type="dxa"/>
            <w:tcBorders>
              <w:top w:val="nil"/>
              <w:left w:val="single" w:sz="8" w:space="0" w:color="auto"/>
              <w:bottom w:val="nil"/>
              <w:right w:val="nil"/>
            </w:tcBorders>
            <w:hideMark/>
          </w:tcPr>
          <w:p w14:paraId="4BFA5807" w14:textId="77777777" w:rsidR="00A26EBE" w:rsidRPr="007B504C" w:rsidRDefault="00A26EBE">
            <w:pPr>
              <w:spacing w:before="0"/>
              <w:jc w:val="right"/>
              <w:rPr>
                <w:rFonts w:cs="Calibri"/>
                <w:b/>
                <w:bCs/>
                <w:sz w:val="22"/>
                <w:szCs w:val="22"/>
              </w:rPr>
            </w:pPr>
            <w:r w:rsidRPr="007B504C">
              <w:rPr>
                <w:b/>
                <w:bCs/>
                <w:color w:val="000000"/>
                <w:sz w:val="22"/>
                <w:szCs w:val="22"/>
              </w:rPr>
              <w:t>Télécopie:</w:t>
            </w:r>
          </w:p>
        </w:tc>
        <w:tc>
          <w:tcPr>
            <w:tcW w:w="3121" w:type="dxa"/>
          </w:tcPr>
          <w:p w14:paraId="5E0FEF2A" w14:textId="77777777" w:rsidR="00A26EBE" w:rsidRPr="007B504C" w:rsidRDefault="00A26EBE">
            <w:pPr>
              <w:spacing w:before="0"/>
              <w:rPr>
                <w:rFonts w:cs="Calibri"/>
                <w:sz w:val="22"/>
                <w:szCs w:val="22"/>
                <w:highlight w:val="green"/>
              </w:rPr>
            </w:pPr>
          </w:p>
        </w:tc>
      </w:tr>
      <w:tr w:rsidR="00A26EBE" w:rsidRPr="007B504C" w14:paraId="1321826B" w14:textId="77777777" w:rsidTr="00462827">
        <w:tc>
          <w:tcPr>
            <w:tcW w:w="1169" w:type="dxa"/>
            <w:hideMark/>
          </w:tcPr>
          <w:p w14:paraId="3A332954" w14:textId="77777777" w:rsidR="00A26EBE" w:rsidRPr="007B504C" w:rsidRDefault="00A26EBE">
            <w:pPr>
              <w:spacing w:before="0"/>
              <w:jc w:val="right"/>
              <w:rPr>
                <w:rFonts w:cs="Calibri"/>
                <w:b/>
                <w:bCs/>
                <w:sz w:val="22"/>
                <w:szCs w:val="22"/>
              </w:rPr>
            </w:pPr>
            <w:r w:rsidRPr="007B504C">
              <w:rPr>
                <w:b/>
                <w:bCs/>
                <w:color w:val="000000"/>
                <w:sz w:val="22"/>
                <w:szCs w:val="22"/>
              </w:rPr>
              <w:t>Courriel:</w:t>
            </w:r>
          </w:p>
        </w:tc>
        <w:tc>
          <w:tcPr>
            <w:tcW w:w="4396" w:type="dxa"/>
            <w:tcBorders>
              <w:top w:val="nil"/>
              <w:left w:val="nil"/>
              <w:bottom w:val="nil"/>
              <w:right w:val="single" w:sz="8" w:space="0" w:color="auto"/>
            </w:tcBorders>
            <w:hideMark/>
          </w:tcPr>
          <w:p w14:paraId="57C550EF" w14:textId="0A887F66" w:rsidR="00A26EBE" w:rsidRPr="007B504C" w:rsidRDefault="00462827">
            <w:pPr>
              <w:spacing w:before="0"/>
              <w:rPr>
                <w:rStyle w:val="Hyperlink"/>
              </w:rPr>
            </w:pPr>
            <w:hyperlink r:id="rId25" w:history="1">
              <w:r w:rsidRPr="007B504C">
                <w:rPr>
                  <w:rStyle w:val="Hyperlink"/>
                  <w:sz w:val="22"/>
                  <w:szCs w:val="18"/>
                </w:rPr>
                <w:t>tsbdir@itu.int</w:t>
              </w:r>
            </w:hyperlink>
          </w:p>
        </w:tc>
        <w:tc>
          <w:tcPr>
            <w:tcW w:w="1274" w:type="dxa"/>
            <w:tcBorders>
              <w:top w:val="nil"/>
              <w:left w:val="single" w:sz="8" w:space="0" w:color="auto"/>
              <w:bottom w:val="nil"/>
              <w:right w:val="nil"/>
            </w:tcBorders>
            <w:hideMark/>
          </w:tcPr>
          <w:p w14:paraId="47BEBD5C" w14:textId="77777777" w:rsidR="00A26EBE" w:rsidRPr="007B504C" w:rsidRDefault="00A26EBE">
            <w:pPr>
              <w:spacing w:before="0"/>
              <w:jc w:val="right"/>
              <w:rPr>
                <w:rFonts w:cs="Calibri"/>
                <w:b/>
                <w:bCs/>
                <w:sz w:val="22"/>
                <w:szCs w:val="22"/>
              </w:rPr>
            </w:pPr>
            <w:r w:rsidRPr="007B504C">
              <w:rPr>
                <w:b/>
                <w:bCs/>
                <w:color w:val="000000"/>
                <w:sz w:val="22"/>
                <w:szCs w:val="22"/>
              </w:rPr>
              <w:t>Courriel:</w:t>
            </w:r>
          </w:p>
        </w:tc>
        <w:tc>
          <w:tcPr>
            <w:tcW w:w="3121" w:type="dxa"/>
          </w:tcPr>
          <w:p w14:paraId="7B7358C5" w14:textId="77777777" w:rsidR="00A26EBE" w:rsidRPr="007B504C" w:rsidRDefault="00A26EBE">
            <w:pPr>
              <w:spacing w:before="0"/>
              <w:rPr>
                <w:rFonts w:cs="Calibri"/>
                <w:sz w:val="22"/>
                <w:szCs w:val="22"/>
                <w:highlight w:val="green"/>
              </w:rPr>
            </w:pPr>
          </w:p>
        </w:tc>
      </w:tr>
      <w:tr w:rsidR="00A26EBE" w:rsidRPr="007B504C" w14:paraId="3C07FBD3" w14:textId="77777777" w:rsidTr="00462827">
        <w:tc>
          <w:tcPr>
            <w:tcW w:w="1169" w:type="dxa"/>
          </w:tcPr>
          <w:p w14:paraId="0794F84C" w14:textId="77777777" w:rsidR="00A26EBE" w:rsidRPr="007B504C" w:rsidRDefault="00A26EBE">
            <w:pPr>
              <w:spacing w:before="0"/>
              <w:jc w:val="right"/>
              <w:rPr>
                <w:rFonts w:cs="Calibri"/>
                <w:sz w:val="22"/>
                <w:szCs w:val="22"/>
              </w:rPr>
            </w:pPr>
          </w:p>
        </w:tc>
        <w:tc>
          <w:tcPr>
            <w:tcW w:w="4396" w:type="dxa"/>
            <w:tcBorders>
              <w:top w:val="nil"/>
              <w:left w:val="nil"/>
              <w:bottom w:val="nil"/>
              <w:right w:val="single" w:sz="8" w:space="0" w:color="auto"/>
            </w:tcBorders>
          </w:tcPr>
          <w:p w14:paraId="790642A3" w14:textId="77777777" w:rsidR="00A26EBE" w:rsidRPr="007B504C" w:rsidRDefault="00A26EBE">
            <w:pPr>
              <w:spacing w:before="0"/>
              <w:rPr>
                <w:rFonts w:cs="Calibri"/>
                <w:sz w:val="22"/>
                <w:szCs w:val="22"/>
              </w:rPr>
            </w:pPr>
          </w:p>
        </w:tc>
        <w:tc>
          <w:tcPr>
            <w:tcW w:w="1274" w:type="dxa"/>
            <w:tcBorders>
              <w:top w:val="nil"/>
              <w:left w:val="single" w:sz="8" w:space="0" w:color="auto"/>
              <w:bottom w:val="nil"/>
              <w:right w:val="nil"/>
            </w:tcBorders>
            <w:hideMark/>
          </w:tcPr>
          <w:p w14:paraId="00376EEA" w14:textId="77777777" w:rsidR="00A26EBE" w:rsidRPr="007B504C" w:rsidRDefault="00A26EBE">
            <w:pPr>
              <w:spacing w:before="0"/>
              <w:jc w:val="right"/>
              <w:rPr>
                <w:rFonts w:cs="Calibri"/>
                <w:b/>
                <w:bCs/>
                <w:sz w:val="22"/>
                <w:szCs w:val="22"/>
              </w:rPr>
            </w:pPr>
            <w:r w:rsidRPr="007B504C">
              <w:rPr>
                <w:b/>
                <w:bCs/>
                <w:color w:val="000000"/>
                <w:sz w:val="22"/>
                <w:szCs w:val="22"/>
              </w:rPr>
              <w:t>Date:</w:t>
            </w:r>
          </w:p>
        </w:tc>
        <w:tc>
          <w:tcPr>
            <w:tcW w:w="3121" w:type="dxa"/>
            <w:hideMark/>
          </w:tcPr>
          <w:p w14:paraId="69A6B8AF" w14:textId="77777777" w:rsidR="00A26EBE" w:rsidRPr="007B504C" w:rsidRDefault="00A26EBE">
            <w:pPr>
              <w:spacing w:before="0"/>
              <w:rPr>
                <w:rFonts w:cs="Calibri"/>
                <w:sz w:val="22"/>
                <w:szCs w:val="22"/>
                <w:highlight w:val="green"/>
              </w:rPr>
            </w:pPr>
            <w:r w:rsidRPr="007B504C">
              <w:rPr>
                <w:color w:val="000000"/>
                <w:sz w:val="22"/>
                <w:szCs w:val="22"/>
                <w:highlight w:val="green"/>
              </w:rPr>
              <w:t>[Lieu], [Date]</w:t>
            </w:r>
          </w:p>
        </w:tc>
      </w:tr>
    </w:tbl>
    <w:p w14:paraId="1954A53F" w14:textId="77777777" w:rsidR="00A26EBE" w:rsidRPr="007B504C" w:rsidRDefault="00A26EBE" w:rsidP="00462827">
      <w:pPr>
        <w:pStyle w:val="Normalaftertitle"/>
        <w:rPr>
          <w:rFonts w:ascii="Calibri" w:hAnsi="Calibri" w:cs="Calibri"/>
          <w:sz w:val="22"/>
          <w:szCs w:val="22"/>
          <w:lang w:eastAsia="en-GB"/>
        </w:rPr>
      </w:pPr>
      <w:r w:rsidRPr="007B504C">
        <w:t>Madame, Monsieur,</w:t>
      </w:r>
    </w:p>
    <w:p w14:paraId="5F542253" w14:textId="300159B6" w:rsidR="00A26EBE" w:rsidRPr="007B504C" w:rsidRDefault="00A26EBE" w:rsidP="00462827">
      <w:pPr>
        <w:spacing w:after="120"/>
        <w:rPr>
          <w:rFonts w:cs="Calibri"/>
          <w:sz w:val="22"/>
          <w:szCs w:val="22"/>
        </w:rPr>
      </w:pPr>
      <w:r w:rsidRPr="007B504C">
        <w:t xml:space="preserve">Dans le cadre de la consultation des États Membres au sujet des projets de texte déterminé dont il est question dans la </w:t>
      </w:r>
      <w:hyperlink r:id="rId26" w:history="1">
        <w:r w:rsidRPr="007B504C">
          <w:rPr>
            <w:rStyle w:val="Hyperlink"/>
            <w:b/>
            <w:bCs/>
          </w:rPr>
          <w:t>Circulaire TSB 104</w:t>
        </w:r>
      </w:hyperlink>
      <w:r w:rsidRPr="007B504C">
        <w:t>, je souhaite vous faire connaître par la présente le point de vue de mon Administration, qui figure dans le tableau ci-après.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876"/>
      </w:tblGrid>
      <w:tr w:rsidR="00A26EBE" w:rsidRPr="007B504C" w14:paraId="068DFA8F" w14:textId="77777777" w:rsidTr="00D17DD4">
        <w:trPr>
          <w:tblHeader/>
        </w:trPr>
        <w:tc>
          <w:tcPr>
            <w:tcW w:w="1843" w:type="dxa"/>
            <w:tcBorders>
              <w:top w:val="single" w:sz="4" w:space="0" w:color="auto"/>
              <w:left w:val="single" w:sz="4" w:space="0" w:color="auto"/>
              <w:bottom w:val="single" w:sz="4" w:space="0" w:color="auto"/>
              <w:right w:val="single" w:sz="4" w:space="0" w:color="auto"/>
            </w:tcBorders>
            <w:vAlign w:val="center"/>
          </w:tcPr>
          <w:p w14:paraId="52D095F5" w14:textId="77777777" w:rsidR="00A26EBE" w:rsidRPr="007B504C" w:rsidRDefault="00A26EBE" w:rsidP="00462827">
            <w:pPr>
              <w:pStyle w:val="TableHead"/>
            </w:pPr>
          </w:p>
        </w:tc>
        <w:tc>
          <w:tcPr>
            <w:tcW w:w="7876" w:type="dxa"/>
            <w:tcBorders>
              <w:top w:val="single" w:sz="4" w:space="0" w:color="auto"/>
              <w:left w:val="single" w:sz="4" w:space="0" w:color="auto"/>
              <w:bottom w:val="single" w:sz="4" w:space="0" w:color="auto"/>
              <w:right w:val="single" w:sz="4" w:space="0" w:color="auto"/>
            </w:tcBorders>
            <w:vAlign w:val="center"/>
            <w:hideMark/>
          </w:tcPr>
          <w:p w14:paraId="2715B358" w14:textId="77777777" w:rsidR="00A26EBE" w:rsidRPr="007B504C" w:rsidRDefault="00A26EBE" w:rsidP="00462827">
            <w:pPr>
              <w:pStyle w:val="TableHead"/>
            </w:pPr>
            <w:r w:rsidRPr="007B504C">
              <w:rPr>
                <w:color w:val="000000"/>
              </w:rPr>
              <w:t>Cochez l'une des deux cases</w:t>
            </w:r>
          </w:p>
        </w:tc>
      </w:tr>
      <w:tr w:rsidR="00A26EBE" w:rsidRPr="007B504C" w14:paraId="4047E96E" w14:textId="77777777" w:rsidTr="00D17DD4">
        <w:trPr>
          <w:trHeight w:val="748"/>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0FD1ED49" w14:textId="77777777" w:rsidR="00A26EBE" w:rsidRPr="007B504C" w:rsidRDefault="00A26EBE" w:rsidP="00462827">
            <w:pPr>
              <w:pStyle w:val="TableText"/>
              <w:jc w:val="center"/>
              <w:rPr>
                <w:b/>
              </w:rPr>
            </w:pPr>
            <w:r w:rsidRPr="007B504C">
              <w:rPr>
                <w:b/>
                <w:color w:val="000000"/>
              </w:rPr>
              <w:t>Projet de révision de la Recommandation X.1280</w:t>
            </w:r>
          </w:p>
        </w:tc>
        <w:tc>
          <w:tcPr>
            <w:tcW w:w="7876" w:type="dxa"/>
            <w:tcBorders>
              <w:top w:val="single" w:sz="4" w:space="0" w:color="auto"/>
              <w:left w:val="single" w:sz="4" w:space="0" w:color="auto"/>
              <w:bottom w:val="single" w:sz="4" w:space="0" w:color="auto"/>
              <w:right w:val="single" w:sz="4" w:space="0" w:color="auto"/>
            </w:tcBorders>
            <w:vAlign w:val="center"/>
            <w:hideMark/>
          </w:tcPr>
          <w:p w14:paraId="0388B8E1" w14:textId="6F04058D" w:rsidR="00A26EBE" w:rsidRPr="007B504C" w:rsidRDefault="00462827" w:rsidP="00A05D61">
            <w:pPr>
              <w:pStyle w:val="TableText"/>
              <w:tabs>
                <w:tab w:val="clear" w:pos="284"/>
                <w:tab w:val="clear" w:pos="567"/>
              </w:tabs>
              <w:ind w:left="604" w:hanging="604"/>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Pr="007B504C">
              <w:rPr>
                <w:szCs w:val="22"/>
              </w:rPr>
              <w:tab/>
            </w:r>
            <w:r w:rsidR="00A26EBE" w:rsidRPr="007B504C">
              <w:rPr>
                <w:b/>
                <w:bCs/>
                <w:color w:val="000000"/>
              </w:rPr>
              <w:t>Autorise</w:t>
            </w:r>
            <w:r w:rsidR="00A26EBE" w:rsidRPr="007B504C">
              <w:rPr>
                <w:color w:val="000000"/>
              </w:rPr>
              <w:t xml:space="preserve"> la Commission d'études 17 à procéder à l'examen de ce document en vue de son approbation (dans ce cas, sélectionnez l'une des deux options):</w:t>
            </w:r>
          </w:p>
          <w:p w14:paraId="2F293B6C" w14:textId="6E72EDA0" w:rsidR="00A26EBE" w:rsidRPr="007B504C" w:rsidRDefault="00D17DD4" w:rsidP="00D17DD4">
            <w:pPr>
              <w:pStyle w:val="TableText"/>
              <w:tabs>
                <w:tab w:val="clear" w:pos="284"/>
                <w:tab w:val="clear" w:pos="567"/>
              </w:tabs>
              <w:ind w:left="1024" w:hanging="425"/>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t>Pas de commentaire ou de proposition de modification.</w:t>
            </w:r>
          </w:p>
          <w:p w14:paraId="5BD9741A" w14:textId="4A12F595" w:rsidR="00A26EBE" w:rsidRPr="007B504C" w:rsidRDefault="00D17DD4" w:rsidP="00D17DD4">
            <w:pPr>
              <w:pStyle w:val="TableText"/>
              <w:tabs>
                <w:tab w:val="clear" w:pos="284"/>
                <w:tab w:val="clear" w:pos="567"/>
              </w:tabs>
              <w:ind w:left="1024" w:hanging="425"/>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t>Des commentaires ou propositions de modification sont joints à la présente.</w:t>
            </w:r>
          </w:p>
        </w:tc>
      </w:tr>
      <w:tr w:rsidR="00A26EBE" w:rsidRPr="007B504C" w14:paraId="10C264A8" w14:textId="77777777" w:rsidTr="00D17DD4">
        <w:trPr>
          <w:trHeight w:val="747"/>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1D2EE97" w14:textId="77777777" w:rsidR="00A26EBE" w:rsidRPr="007B504C" w:rsidRDefault="00A26EBE" w:rsidP="00462827">
            <w:pPr>
              <w:pStyle w:val="TableText"/>
              <w:jc w:val="center"/>
              <w:rPr>
                <w:b/>
                <w:lang w:eastAsia="en-GB"/>
              </w:rPr>
            </w:pPr>
          </w:p>
        </w:tc>
        <w:tc>
          <w:tcPr>
            <w:tcW w:w="7876" w:type="dxa"/>
            <w:tcBorders>
              <w:top w:val="single" w:sz="4" w:space="0" w:color="auto"/>
              <w:left w:val="single" w:sz="4" w:space="0" w:color="auto"/>
              <w:bottom w:val="single" w:sz="4" w:space="0" w:color="auto"/>
              <w:right w:val="single" w:sz="4" w:space="0" w:color="auto"/>
            </w:tcBorders>
            <w:vAlign w:val="center"/>
            <w:hideMark/>
          </w:tcPr>
          <w:p w14:paraId="3417D13A" w14:textId="46ADCD8E" w:rsidR="00A26EBE" w:rsidRPr="007B504C" w:rsidRDefault="00A05D61" w:rsidP="00A05D61">
            <w:pPr>
              <w:pStyle w:val="TableText"/>
              <w:tabs>
                <w:tab w:val="clear" w:pos="284"/>
                <w:tab w:val="clear" w:pos="567"/>
              </w:tabs>
              <w:ind w:left="604" w:hanging="604"/>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r>
            <w:r w:rsidR="00A26EBE" w:rsidRPr="007B504C">
              <w:rPr>
                <w:b/>
                <w:bCs/>
                <w:color w:val="000000"/>
              </w:rPr>
              <w:t>N'autorise pas</w:t>
            </w:r>
            <w:r w:rsidR="00A26EBE" w:rsidRPr="007B504C">
              <w:rPr>
                <w:color w:val="000000"/>
              </w:rPr>
              <w:t xml:space="preserve"> la Commission d'études 17 à procéder à l'examen de ce document en vue de son approbation (les motifs de cette décision et une description des éventuelles modifications qui permettraient la poursuite des travaux sont joints à la présente).</w:t>
            </w:r>
          </w:p>
        </w:tc>
      </w:tr>
      <w:tr w:rsidR="00A26EBE" w:rsidRPr="007B504C" w14:paraId="2C28E8C2" w14:textId="77777777" w:rsidTr="00D17DD4">
        <w:trPr>
          <w:trHeight w:val="748"/>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0C9C388E" w14:textId="77777777" w:rsidR="00A26EBE" w:rsidRPr="007B504C" w:rsidRDefault="00A26EBE" w:rsidP="00462827">
            <w:pPr>
              <w:pStyle w:val="TableText"/>
              <w:jc w:val="center"/>
              <w:rPr>
                <w:b/>
              </w:rPr>
            </w:pPr>
            <w:r w:rsidRPr="007B504C">
              <w:rPr>
                <w:b/>
                <w:color w:val="000000"/>
              </w:rPr>
              <w:t>Projet de nouvelle Recommandation X.1286 (anciennement X.accsadlt)</w:t>
            </w:r>
          </w:p>
        </w:tc>
        <w:tc>
          <w:tcPr>
            <w:tcW w:w="7876" w:type="dxa"/>
            <w:tcBorders>
              <w:top w:val="single" w:sz="4" w:space="0" w:color="auto"/>
              <w:left w:val="single" w:sz="4" w:space="0" w:color="auto"/>
              <w:bottom w:val="single" w:sz="4" w:space="0" w:color="auto"/>
              <w:right w:val="single" w:sz="4" w:space="0" w:color="auto"/>
            </w:tcBorders>
            <w:vAlign w:val="center"/>
            <w:hideMark/>
          </w:tcPr>
          <w:p w14:paraId="603269EA" w14:textId="14B3A4C5" w:rsidR="00A26EBE" w:rsidRPr="007B504C" w:rsidRDefault="00A05D61" w:rsidP="00A05D61">
            <w:pPr>
              <w:pStyle w:val="TableText"/>
              <w:tabs>
                <w:tab w:val="clear" w:pos="284"/>
                <w:tab w:val="clear" w:pos="567"/>
              </w:tabs>
              <w:ind w:left="604" w:hanging="604"/>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r>
            <w:r w:rsidR="00A26EBE" w:rsidRPr="007B504C">
              <w:rPr>
                <w:b/>
                <w:bCs/>
                <w:color w:val="000000"/>
              </w:rPr>
              <w:t>Autorise</w:t>
            </w:r>
            <w:r w:rsidR="00A26EBE" w:rsidRPr="007B504C">
              <w:rPr>
                <w:color w:val="000000"/>
              </w:rPr>
              <w:t xml:space="preserve"> la Commission d'études 17 à procéder à l'examen de ce document en vue de son approbation (dans ce cas, sélectionnez l'une des deux options):</w:t>
            </w:r>
          </w:p>
          <w:p w14:paraId="0916170B" w14:textId="4AC4C76C" w:rsidR="00A26EBE" w:rsidRPr="007B504C" w:rsidRDefault="00A05D61" w:rsidP="00A05D61">
            <w:pPr>
              <w:pStyle w:val="TableText"/>
              <w:tabs>
                <w:tab w:val="clear" w:pos="284"/>
                <w:tab w:val="clear" w:pos="567"/>
              </w:tabs>
              <w:ind w:left="1024" w:hanging="425"/>
              <w:rPr>
                <w:color w:val="000000"/>
              </w:rPr>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t>Pas de commentaire ou de proposition de modification.</w:t>
            </w:r>
          </w:p>
          <w:p w14:paraId="2F7EBD17" w14:textId="7A235A5D" w:rsidR="00A26EBE" w:rsidRPr="007B504C" w:rsidRDefault="00A05D61" w:rsidP="00A05D61">
            <w:pPr>
              <w:pStyle w:val="TableText"/>
              <w:tabs>
                <w:tab w:val="clear" w:pos="284"/>
                <w:tab w:val="clear" w:pos="567"/>
              </w:tabs>
              <w:ind w:left="1024" w:hanging="425"/>
            </w:pPr>
            <w:r w:rsidRPr="007B504C">
              <w:rPr>
                <w:color w:val="000000"/>
              </w:rPr>
              <w:fldChar w:fldCharType="begin">
                <w:ffData>
                  <w:name w:val="Check1"/>
                  <w:enabled/>
                  <w:calcOnExit w:val="0"/>
                  <w:checkBox>
                    <w:sizeAuto/>
                    <w:default w:val="0"/>
                  </w:checkBox>
                </w:ffData>
              </w:fldChar>
            </w:r>
            <w:r w:rsidRPr="007B504C">
              <w:rPr>
                <w:color w:val="000000"/>
              </w:rPr>
              <w:instrText xml:space="preserve"> FORMCHECKBOX </w:instrText>
            </w:r>
            <w:r w:rsidRPr="007B504C">
              <w:rPr>
                <w:color w:val="000000"/>
              </w:rPr>
            </w:r>
            <w:r w:rsidRPr="007B504C">
              <w:rPr>
                <w:color w:val="000000"/>
              </w:rPr>
              <w:fldChar w:fldCharType="separate"/>
            </w:r>
            <w:r w:rsidRPr="007B504C">
              <w:rPr>
                <w:color w:val="000000"/>
              </w:rPr>
              <w:fldChar w:fldCharType="end"/>
            </w:r>
            <w:r w:rsidR="00A26EBE" w:rsidRPr="007B504C">
              <w:rPr>
                <w:color w:val="000000"/>
              </w:rPr>
              <w:tab/>
              <w:t>Des commentaires ou propositions de modification sont joints à la présente.</w:t>
            </w:r>
          </w:p>
        </w:tc>
      </w:tr>
      <w:tr w:rsidR="00A26EBE" w:rsidRPr="007B504C" w14:paraId="7F4313EA" w14:textId="77777777" w:rsidTr="00D17DD4">
        <w:trPr>
          <w:trHeight w:val="747"/>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3876264E" w14:textId="77777777" w:rsidR="00A26EBE" w:rsidRPr="007B504C" w:rsidRDefault="00A26EBE" w:rsidP="00462827">
            <w:pPr>
              <w:pStyle w:val="TableText"/>
              <w:jc w:val="center"/>
              <w:rPr>
                <w:b/>
                <w:lang w:eastAsia="en-GB"/>
              </w:rPr>
            </w:pPr>
          </w:p>
        </w:tc>
        <w:tc>
          <w:tcPr>
            <w:tcW w:w="7876" w:type="dxa"/>
            <w:tcBorders>
              <w:top w:val="single" w:sz="4" w:space="0" w:color="auto"/>
              <w:left w:val="single" w:sz="4" w:space="0" w:color="auto"/>
              <w:bottom w:val="single" w:sz="4" w:space="0" w:color="auto"/>
              <w:right w:val="single" w:sz="4" w:space="0" w:color="auto"/>
            </w:tcBorders>
            <w:vAlign w:val="center"/>
            <w:hideMark/>
          </w:tcPr>
          <w:p w14:paraId="27A85149" w14:textId="394EA3B6" w:rsidR="00A26EBE" w:rsidRPr="007B504C" w:rsidRDefault="00A05D61" w:rsidP="00A05D61">
            <w:pPr>
              <w:pStyle w:val="TableText"/>
              <w:tabs>
                <w:tab w:val="clear" w:pos="284"/>
                <w:tab w:val="clear" w:pos="567"/>
              </w:tabs>
              <w:ind w:left="604" w:hanging="604"/>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r>
            <w:r w:rsidR="00A26EBE" w:rsidRPr="007B504C">
              <w:rPr>
                <w:b/>
                <w:bCs/>
                <w:color w:val="000000"/>
              </w:rPr>
              <w:t>N'autorise pas</w:t>
            </w:r>
            <w:r w:rsidR="00A26EBE" w:rsidRPr="007B504C">
              <w:rPr>
                <w:color w:val="000000"/>
              </w:rPr>
              <w:t xml:space="preserve"> la Commission d'études 17 à procéder à l'examen de ce document en vue de son approbation (les motifs de cette décision et une description des éventuelles modifications qui permettraient la poursuite des travaux sont joints à la présente).</w:t>
            </w:r>
          </w:p>
        </w:tc>
      </w:tr>
      <w:tr w:rsidR="00A26EBE" w:rsidRPr="007B504C" w14:paraId="462076A2" w14:textId="77777777" w:rsidTr="00A05D61">
        <w:trPr>
          <w:trHeight w:val="392"/>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B5FF344" w14:textId="77777777" w:rsidR="00A26EBE" w:rsidRPr="007B504C" w:rsidRDefault="00A26EBE" w:rsidP="00A05D61">
            <w:pPr>
              <w:pStyle w:val="TableText"/>
              <w:keepNext/>
              <w:keepLines/>
              <w:jc w:val="center"/>
              <w:rPr>
                <w:b/>
              </w:rPr>
            </w:pPr>
            <w:r w:rsidRPr="007B504C">
              <w:rPr>
                <w:b/>
                <w:color w:val="000000"/>
              </w:rPr>
              <w:lastRenderedPageBreak/>
              <w:t>Projet de nouvelle Recommandation X.1821 (anciennement X.5Gsec-asra)</w:t>
            </w:r>
          </w:p>
        </w:tc>
        <w:tc>
          <w:tcPr>
            <w:tcW w:w="7876" w:type="dxa"/>
            <w:tcBorders>
              <w:top w:val="single" w:sz="4" w:space="0" w:color="auto"/>
              <w:left w:val="single" w:sz="4" w:space="0" w:color="auto"/>
              <w:bottom w:val="single" w:sz="4" w:space="0" w:color="auto"/>
              <w:right w:val="single" w:sz="4" w:space="0" w:color="auto"/>
            </w:tcBorders>
            <w:vAlign w:val="center"/>
            <w:hideMark/>
          </w:tcPr>
          <w:p w14:paraId="3B0449E6" w14:textId="18EB55C3" w:rsidR="00A26EBE" w:rsidRPr="007B504C" w:rsidRDefault="00A05D61" w:rsidP="00A05D61">
            <w:pPr>
              <w:pStyle w:val="TableText"/>
              <w:keepNext/>
              <w:keepLines/>
              <w:tabs>
                <w:tab w:val="clear" w:pos="284"/>
                <w:tab w:val="clear" w:pos="567"/>
              </w:tabs>
              <w:ind w:left="604" w:hanging="604"/>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r>
            <w:r w:rsidR="00A26EBE" w:rsidRPr="007B504C">
              <w:rPr>
                <w:b/>
                <w:bCs/>
                <w:color w:val="000000"/>
              </w:rPr>
              <w:t>Autorise</w:t>
            </w:r>
            <w:r w:rsidR="00A26EBE" w:rsidRPr="007B504C">
              <w:rPr>
                <w:color w:val="000000"/>
              </w:rPr>
              <w:t xml:space="preserve"> la Commission d'études 17 à procéder à l'examen de ce document en vue de son approbation (dans ce cas, sélectionnez l'une des deux options):</w:t>
            </w:r>
          </w:p>
          <w:p w14:paraId="2E93E05C" w14:textId="1745C8BF" w:rsidR="00A26EBE" w:rsidRPr="007B504C" w:rsidRDefault="00A05D61" w:rsidP="00A05D61">
            <w:pPr>
              <w:pStyle w:val="TableText"/>
              <w:keepNext/>
              <w:keepLines/>
              <w:tabs>
                <w:tab w:val="clear" w:pos="284"/>
                <w:tab w:val="clear" w:pos="567"/>
              </w:tabs>
              <w:ind w:left="1024" w:hanging="425"/>
              <w:rPr>
                <w:rFonts w:cstheme="minorHAnsi"/>
                <w:szCs w:val="22"/>
              </w:rPr>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t xml:space="preserve">Pas de </w:t>
            </w:r>
            <w:r w:rsidR="00A26EBE" w:rsidRPr="007B504C">
              <w:rPr>
                <w:rFonts w:cstheme="minorHAnsi"/>
                <w:szCs w:val="22"/>
              </w:rPr>
              <w:t>commentaire ou de proposition de modification.</w:t>
            </w:r>
          </w:p>
          <w:p w14:paraId="7A130129" w14:textId="6B3315FC" w:rsidR="00A26EBE" w:rsidRPr="007B504C" w:rsidRDefault="00A05D61" w:rsidP="00A05D61">
            <w:pPr>
              <w:pStyle w:val="TableText"/>
              <w:keepNext/>
              <w:keepLines/>
              <w:tabs>
                <w:tab w:val="clear" w:pos="284"/>
                <w:tab w:val="clear" w:pos="567"/>
              </w:tabs>
              <w:ind w:left="1024" w:hanging="425"/>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rFonts w:cstheme="minorHAnsi"/>
                <w:szCs w:val="22"/>
              </w:rPr>
              <w:tab/>
              <w:t>Des commentaires</w:t>
            </w:r>
            <w:r w:rsidR="00A26EBE" w:rsidRPr="007B504C">
              <w:rPr>
                <w:color w:val="000000"/>
              </w:rPr>
              <w:t xml:space="preserve"> ou propositions de modification sont joints à la présente.</w:t>
            </w:r>
          </w:p>
        </w:tc>
      </w:tr>
      <w:tr w:rsidR="00A26EBE" w:rsidRPr="007B504C" w14:paraId="64FF32D8" w14:textId="77777777" w:rsidTr="00D17DD4">
        <w:trPr>
          <w:trHeight w:val="747"/>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673FEB0" w14:textId="77777777" w:rsidR="00A26EBE" w:rsidRPr="007B504C" w:rsidRDefault="00A26EBE" w:rsidP="00462827">
            <w:pPr>
              <w:pStyle w:val="TableText"/>
              <w:jc w:val="center"/>
              <w:rPr>
                <w:b/>
                <w:lang w:eastAsia="en-GB"/>
              </w:rPr>
            </w:pPr>
          </w:p>
        </w:tc>
        <w:tc>
          <w:tcPr>
            <w:tcW w:w="7876" w:type="dxa"/>
            <w:tcBorders>
              <w:top w:val="single" w:sz="4" w:space="0" w:color="auto"/>
              <w:left w:val="single" w:sz="4" w:space="0" w:color="auto"/>
              <w:bottom w:val="single" w:sz="4" w:space="0" w:color="auto"/>
              <w:right w:val="single" w:sz="4" w:space="0" w:color="auto"/>
            </w:tcBorders>
            <w:vAlign w:val="center"/>
            <w:hideMark/>
          </w:tcPr>
          <w:p w14:paraId="0AFE9DFA" w14:textId="21DF5325" w:rsidR="00A26EBE" w:rsidRPr="007B504C" w:rsidRDefault="00A05D61" w:rsidP="00A05D61">
            <w:pPr>
              <w:pStyle w:val="TableText"/>
              <w:keepNext/>
              <w:keepLines/>
              <w:tabs>
                <w:tab w:val="clear" w:pos="284"/>
                <w:tab w:val="clear" w:pos="567"/>
              </w:tabs>
              <w:ind w:left="604" w:hanging="604"/>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r>
            <w:r w:rsidR="00A26EBE" w:rsidRPr="007B504C">
              <w:rPr>
                <w:b/>
                <w:bCs/>
                <w:color w:val="000000"/>
              </w:rPr>
              <w:t>N'autorise pas</w:t>
            </w:r>
            <w:r w:rsidR="00A26EBE" w:rsidRPr="007B504C">
              <w:rPr>
                <w:color w:val="000000"/>
              </w:rPr>
              <w:t xml:space="preserve"> la Commission d'études 17 à procéder à l'examen de ce document en vue de son approbation (les motifs de cette décision et une description des éventuelles modifications qui permettraient la poursuite des travaux sont joints à la présente).</w:t>
            </w:r>
          </w:p>
        </w:tc>
      </w:tr>
      <w:tr w:rsidR="00A26EBE" w:rsidRPr="007B504C" w14:paraId="3E8CB100" w14:textId="77777777" w:rsidTr="00D17DD4">
        <w:trPr>
          <w:trHeight w:val="748"/>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2D4E7D0F" w14:textId="77777777" w:rsidR="00A26EBE" w:rsidRPr="007B504C" w:rsidRDefault="00A26EBE" w:rsidP="00462827">
            <w:pPr>
              <w:pStyle w:val="TableText"/>
              <w:jc w:val="center"/>
              <w:rPr>
                <w:b/>
              </w:rPr>
            </w:pPr>
            <w:r w:rsidRPr="007B504C">
              <w:rPr>
                <w:b/>
                <w:color w:val="000000"/>
              </w:rPr>
              <w:t>Projet de nouvelle Recommandation X.1350 (anciennement X.sr-iiot)</w:t>
            </w:r>
          </w:p>
        </w:tc>
        <w:tc>
          <w:tcPr>
            <w:tcW w:w="7876" w:type="dxa"/>
            <w:tcBorders>
              <w:top w:val="single" w:sz="4" w:space="0" w:color="auto"/>
              <w:left w:val="single" w:sz="4" w:space="0" w:color="auto"/>
              <w:bottom w:val="single" w:sz="4" w:space="0" w:color="auto"/>
              <w:right w:val="single" w:sz="4" w:space="0" w:color="auto"/>
            </w:tcBorders>
            <w:vAlign w:val="center"/>
            <w:hideMark/>
          </w:tcPr>
          <w:p w14:paraId="37207434" w14:textId="0F8569D1" w:rsidR="00A26EBE" w:rsidRPr="007B504C" w:rsidRDefault="00A05D61" w:rsidP="00A05D61">
            <w:pPr>
              <w:pStyle w:val="TableText"/>
              <w:keepNext/>
              <w:keepLines/>
              <w:tabs>
                <w:tab w:val="clear" w:pos="284"/>
                <w:tab w:val="clear" w:pos="567"/>
              </w:tabs>
              <w:ind w:left="604" w:hanging="604"/>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r>
            <w:r w:rsidR="00A26EBE" w:rsidRPr="007B504C">
              <w:rPr>
                <w:b/>
                <w:bCs/>
                <w:color w:val="000000"/>
              </w:rPr>
              <w:t>Autorise</w:t>
            </w:r>
            <w:r w:rsidR="00A26EBE" w:rsidRPr="007B504C">
              <w:rPr>
                <w:color w:val="000000"/>
              </w:rPr>
              <w:t xml:space="preserve"> la Commission d'études 17 à procéder à l'examen de ce document en vue de son approbation (dans ce cas, sélectionnez l'une des deux options):</w:t>
            </w:r>
          </w:p>
          <w:p w14:paraId="7316BADD" w14:textId="0C393352" w:rsidR="00A26EBE" w:rsidRPr="007B504C" w:rsidRDefault="00A05D61" w:rsidP="00A05D61">
            <w:pPr>
              <w:pStyle w:val="TableText"/>
              <w:keepNext/>
              <w:keepLines/>
              <w:tabs>
                <w:tab w:val="clear" w:pos="284"/>
                <w:tab w:val="clear" w:pos="567"/>
              </w:tabs>
              <w:ind w:left="1024" w:hanging="425"/>
              <w:rPr>
                <w:rFonts w:cstheme="minorHAnsi"/>
                <w:szCs w:val="22"/>
              </w:rPr>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t xml:space="preserve">Pas de </w:t>
            </w:r>
            <w:r w:rsidR="00A26EBE" w:rsidRPr="007B504C">
              <w:rPr>
                <w:rFonts w:cstheme="minorHAnsi"/>
                <w:szCs w:val="22"/>
              </w:rPr>
              <w:t>commentaire ou de proposition de modification.</w:t>
            </w:r>
          </w:p>
          <w:p w14:paraId="4A0BB788" w14:textId="097293B4" w:rsidR="00A26EBE" w:rsidRPr="007B504C" w:rsidRDefault="00A05D61" w:rsidP="00A05D61">
            <w:pPr>
              <w:pStyle w:val="TableText"/>
              <w:keepNext/>
              <w:keepLines/>
              <w:tabs>
                <w:tab w:val="clear" w:pos="284"/>
                <w:tab w:val="clear" w:pos="567"/>
              </w:tabs>
              <w:ind w:left="1024" w:hanging="425"/>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rFonts w:cstheme="minorHAnsi"/>
                <w:szCs w:val="22"/>
              </w:rPr>
              <w:tab/>
              <w:t>Des co</w:t>
            </w:r>
            <w:r w:rsidR="00A26EBE" w:rsidRPr="007B504C">
              <w:rPr>
                <w:color w:val="000000"/>
              </w:rPr>
              <w:t>mmentaires ou propositions de modification sont joints à la présente.</w:t>
            </w:r>
          </w:p>
        </w:tc>
      </w:tr>
      <w:tr w:rsidR="00A26EBE" w:rsidRPr="007B504C" w14:paraId="405D14A3" w14:textId="77777777" w:rsidTr="00D17DD4">
        <w:trPr>
          <w:trHeight w:val="747"/>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366F299D" w14:textId="77777777" w:rsidR="00A26EBE" w:rsidRPr="007B504C" w:rsidRDefault="00A26EBE" w:rsidP="00462827">
            <w:pPr>
              <w:pStyle w:val="TableText"/>
              <w:jc w:val="center"/>
              <w:rPr>
                <w:b/>
                <w:lang w:eastAsia="en-GB"/>
              </w:rPr>
            </w:pPr>
          </w:p>
        </w:tc>
        <w:tc>
          <w:tcPr>
            <w:tcW w:w="7876" w:type="dxa"/>
            <w:tcBorders>
              <w:top w:val="single" w:sz="4" w:space="0" w:color="auto"/>
              <w:left w:val="single" w:sz="4" w:space="0" w:color="auto"/>
              <w:bottom w:val="single" w:sz="4" w:space="0" w:color="auto"/>
              <w:right w:val="single" w:sz="4" w:space="0" w:color="auto"/>
            </w:tcBorders>
            <w:vAlign w:val="center"/>
            <w:hideMark/>
          </w:tcPr>
          <w:p w14:paraId="619C32FE" w14:textId="0B991BBD" w:rsidR="00A26EBE" w:rsidRPr="007B504C" w:rsidRDefault="00A05D61" w:rsidP="00A05D61">
            <w:pPr>
              <w:pStyle w:val="TableText"/>
              <w:keepNext/>
              <w:keepLines/>
              <w:tabs>
                <w:tab w:val="clear" w:pos="284"/>
                <w:tab w:val="clear" w:pos="567"/>
              </w:tabs>
              <w:ind w:left="604" w:hanging="604"/>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r>
            <w:r w:rsidR="00A26EBE" w:rsidRPr="007B504C">
              <w:rPr>
                <w:b/>
                <w:bCs/>
                <w:color w:val="000000"/>
              </w:rPr>
              <w:t>N'autorise pas</w:t>
            </w:r>
            <w:r w:rsidR="00A26EBE" w:rsidRPr="007B504C">
              <w:rPr>
                <w:color w:val="000000"/>
              </w:rPr>
              <w:t xml:space="preserve"> la Commission d'études 17 à procéder à l'examen de ce document en vue de son approbation (les motifs de cette décision et une description des éventuelles modifications qui permettraient la poursuite des travaux sont joints à la présente).</w:t>
            </w:r>
          </w:p>
        </w:tc>
      </w:tr>
      <w:tr w:rsidR="00A26EBE" w:rsidRPr="007B504C" w14:paraId="51CEB432" w14:textId="77777777" w:rsidTr="00D17DD4">
        <w:trPr>
          <w:trHeight w:val="748"/>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DED8D4D" w14:textId="77777777" w:rsidR="00A26EBE" w:rsidRPr="007B504C" w:rsidRDefault="00A26EBE" w:rsidP="00462827">
            <w:pPr>
              <w:pStyle w:val="TableText"/>
              <w:jc w:val="center"/>
              <w:rPr>
                <w:b/>
              </w:rPr>
            </w:pPr>
            <w:r w:rsidRPr="007B504C">
              <w:rPr>
                <w:b/>
                <w:color w:val="000000"/>
              </w:rPr>
              <w:t>Projet de nouvelle Recommandation X.2105 (anciennement X.st-ssc)</w:t>
            </w:r>
          </w:p>
        </w:tc>
        <w:tc>
          <w:tcPr>
            <w:tcW w:w="7876" w:type="dxa"/>
            <w:tcBorders>
              <w:top w:val="single" w:sz="4" w:space="0" w:color="auto"/>
              <w:left w:val="single" w:sz="4" w:space="0" w:color="auto"/>
              <w:bottom w:val="single" w:sz="4" w:space="0" w:color="auto"/>
              <w:right w:val="single" w:sz="4" w:space="0" w:color="auto"/>
            </w:tcBorders>
            <w:vAlign w:val="center"/>
            <w:hideMark/>
          </w:tcPr>
          <w:p w14:paraId="2D52A5E1" w14:textId="0BC9CFBF" w:rsidR="00A26EBE" w:rsidRPr="007B504C" w:rsidRDefault="00A05D61" w:rsidP="00A05D61">
            <w:pPr>
              <w:pStyle w:val="TableText"/>
              <w:keepNext/>
              <w:keepLines/>
              <w:tabs>
                <w:tab w:val="clear" w:pos="284"/>
                <w:tab w:val="clear" w:pos="567"/>
              </w:tabs>
              <w:ind w:left="604" w:hanging="604"/>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r>
            <w:r w:rsidR="00A26EBE" w:rsidRPr="007B504C">
              <w:rPr>
                <w:b/>
                <w:bCs/>
                <w:color w:val="000000"/>
              </w:rPr>
              <w:t>Autorise</w:t>
            </w:r>
            <w:r w:rsidR="00A26EBE" w:rsidRPr="007B504C">
              <w:rPr>
                <w:color w:val="000000"/>
              </w:rPr>
              <w:t xml:space="preserve"> la Commission d'études 17 à procéder à l'examen de ce document en vue de son approbation (dans ce cas, sélectionnez l'une des deux options):</w:t>
            </w:r>
          </w:p>
          <w:p w14:paraId="56B27996" w14:textId="58337AB2" w:rsidR="00A26EBE" w:rsidRPr="007B504C" w:rsidRDefault="00A05D61" w:rsidP="00A05D61">
            <w:pPr>
              <w:pStyle w:val="TableText"/>
              <w:keepNext/>
              <w:keepLines/>
              <w:tabs>
                <w:tab w:val="clear" w:pos="284"/>
                <w:tab w:val="clear" w:pos="567"/>
              </w:tabs>
              <w:ind w:left="1024" w:hanging="425"/>
              <w:rPr>
                <w:rFonts w:cstheme="minorHAnsi"/>
                <w:szCs w:val="22"/>
              </w:rPr>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t xml:space="preserve">Pas de </w:t>
            </w:r>
            <w:r w:rsidR="00A26EBE" w:rsidRPr="007B504C">
              <w:rPr>
                <w:rFonts w:cstheme="minorHAnsi"/>
                <w:szCs w:val="22"/>
              </w:rPr>
              <w:t>commentaire ou de proposition de modification.</w:t>
            </w:r>
          </w:p>
          <w:p w14:paraId="17EF48F6" w14:textId="49F6F43A" w:rsidR="00A26EBE" w:rsidRPr="007B504C" w:rsidRDefault="00A05D61" w:rsidP="00A05D61">
            <w:pPr>
              <w:pStyle w:val="TableText"/>
              <w:keepNext/>
              <w:keepLines/>
              <w:tabs>
                <w:tab w:val="clear" w:pos="284"/>
                <w:tab w:val="clear" w:pos="567"/>
              </w:tabs>
              <w:ind w:left="1024" w:hanging="425"/>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rFonts w:cstheme="minorHAnsi"/>
                <w:szCs w:val="22"/>
              </w:rPr>
              <w:tab/>
              <w:t>Des com</w:t>
            </w:r>
            <w:r w:rsidR="00A26EBE" w:rsidRPr="007B504C">
              <w:rPr>
                <w:color w:val="000000"/>
              </w:rPr>
              <w:t>mentaires ou propositions de modification sont joints à la présente.</w:t>
            </w:r>
          </w:p>
        </w:tc>
      </w:tr>
      <w:tr w:rsidR="00A26EBE" w:rsidRPr="007B504C" w14:paraId="1D2C2B41" w14:textId="77777777" w:rsidTr="00D17DD4">
        <w:trPr>
          <w:trHeight w:val="747"/>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01E3D02A" w14:textId="77777777" w:rsidR="00A26EBE" w:rsidRPr="007B504C" w:rsidRDefault="00A26EBE" w:rsidP="00462827">
            <w:pPr>
              <w:pStyle w:val="TableText"/>
              <w:jc w:val="center"/>
              <w:rPr>
                <w:b/>
                <w:lang w:eastAsia="en-GB"/>
              </w:rPr>
            </w:pPr>
          </w:p>
        </w:tc>
        <w:tc>
          <w:tcPr>
            <w:tcW w:w="7876" w:type="dxa"/>
            <w:tcBorders>
              <w:top w:val="single" w:sz="4" w:space="0" w:color="auto"/>
              <w:left w:val="single" w:sz="4" w:space="0" w:color="auto"/>
              <w:bottom w:val="single" w:sz="4" w:space="0" w:color="auto"/>
              <w:right w:val="single" w:sz="4" w:space="0" w:color="auto"/>
            </w:tcBorders>
            <w:vAlign w:val="center"/>
            <w:hideMark/>
          </w:tcPr>
          <w:p w14:paraId="1BB58140" w14:textId="22042EB0" w:rsidR="00A26EBE" w:rsidRPr="007B504C" w:rsidRDefault="00A05D61" w:rsidP="00A05D61">
            <w:pPr>
              <w:pStyle w:val="TableText"/>
              <w:keepNext/>
              <w:keepLines/>
              <w:tabs>
                <w:tab w:val="clear" w:pos="284"/>
                <w:tab w:val="clear" w:pos="567"/>
              </w:tabs>
              <w:ind w:left="604" w:hanging="604"/>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r>
            <w:r w:rsidR="00A26EBE" w:rsidRPr="007B504C">
              <w:rPr>
                <w:b/>
                <w:bCs/>
                <w:color w:val="000000"/>
              </w:rPr>
              <w:t xml:space="preserve">N'autorise pas </w:t>
            </w:r>
            <w:r w:rsidR="00A26EBE" w:rsidRPr="007B504C">
              <w:rPr>
                <w:color w:val="000000"/>
              </w:rPr>
              <w:t>la Commission d'études 17 à procéder à l'examen de ce document en vue de son approbation (les motifs de cette décision et une description des éventuelles modifications qui permettraient la poursuite des travaux sont joints à la présente).</w:t>
            </w:r>
          </w:p>
        </w:tc>
      </w:tr>
      <w:tr w:rsidR="00A26EBE" w:rsidRPr="007B504C" w14:paraId="447DE316" w14:textId="77777777" w:rsidTr="00D17DD4">
        <w:trPr>
          <w:trHeight w:val="748"/>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2840D2B" w14:textId="77777777" w:rsidR="00A26EBE" w:rsidRPr="007B504C" w:rsidRDefault="00A26EBE" w:rsidP="00462827">
            <w:pPr>
              <w:pStyle w:val="TableText"/>
              <w:jc w:val="center"/>
              <w:rPr>
                <w:b/>
              </w:rPr>
            </w:pPr>
            <w:r w:rsidRPr="007B504C">
              <w:rPr>
                <w:b/>
                <w:color w:val="000000"/>
              </w:rPr>
              <w:t>Projet de nouvelle Recommandation X.2210 (anciennement X.ig-dw)</w:t>
            </w:r>
          </w:p>
        </w:tc>
        <w:tc>
          <w:tcPr>
            <w:tcW w:w="7876" w:type="dxa"/>
            <w:tcBorders>
              <w:top w:val="single" w:sz="4" w:space="0" w:color="auto"/>
              <w:left w:val="single" w:sz="4" w:space="0" w:color="auto"/>
              <w:bottom w:val="single" w:sz="4" w:space="0" w:color="auto"/>
              <w:right w:val="single" w:sz="4" w:space="0" w:color="auto"/>
            </w:tcBorders>
            <w:vAlign w:val="center"/>
            <w:hideMark/>
          </w:tcPr>
          <w:p w14:paraId="5EF9F912" w14:textId="157FD2B5" w:rsidR="00A26EBE" w:rsidRPr="007B504C" w:rsidRDefault="00A05D61" w:rsidP="00A05D61">
            <w:pPr>
              <w:pStyle w:val="TableText"/>
              <w:keepNext/>
              <w:keepLines/>
              <w:tabs>
                <w:tab w:val="clear" w:pos="284"/>
                <w:tab w:val="clear" w:pos="567"/>
              </w:tabs>
              <w:ind w:left="604" w:hanging="604"/>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r>
            <w:r w:rsidR="00A26EBE" w:rsidRPr="007B504C">
              <w:rPr>
                <w:b/>
                <w:bCs/>
                <w:color w:val="000000"/>
              </w:rPr>
              <w:t xml:space="preserve">Autorise </w:t>
            </w:r>
            <w:r w:rsidR="00A26EBE" w:rsidRPr="007B504C">
              <w:rPr>
                <w:color w:val="000000"/>
              </w:rPr>
              <w:t>la Commission d'études 17 à procéder à l'examen de ce document en vue de son approbation (dans ce cas, sélectionnez l'une des deux options):</w:t>
            </w:r>
          </w:p>
          <w:p w14:paraId="36D50833" w14:textId="63C32924" w:rsidR="00A26EBE" w:rsidRPr="007B504C" w:rsidRDefault="00A05D61" w:rsidP="00A05D61">
            <w:pPr>
              <w:pStyle w:val="TableText"/>
              <w:keepNext/>
              <w:keepLines/>
              <w:tabs>
                <w:tab w:val="clear" w:pos="284"/>
                <w:tab w:val="clear" w:pos="567"/>
              </w:tabs>
              <w:ind w:left="1024" w:hanging="425"/>
              <w:rPr>
                <w:rFonts w:cstheme="minorHAnsi"/>
                <w:szCs w:val="22"/>
              </w:rPr>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t xml:space="preserve">Pas de </w:t>
            </w:r>
            <w:r w:rsidR="00A26EBE" w:rsidRPr="007B504C">
              <w:rPr>
                <w:rFonts w:cstheme="minorHAnsi"/>
                <w:szCs w:val="22"/>
              </w:rPr>
              <w:t>commentaire ou de proposition de modification.</w:t>
            </w:r>
          </w:p>
          <w:p w14:paraId="25A84C25" w14:textId="510E3D8B" w:rsidR="00A26EBE" w:rsidRPr="007B504C" w:rsidRDefault="00A05D61" w:rsidP="00A05D61">
            <w:pPr>
              <w:pStyle w:val="TableText"/>
              <w:keepNext/>
              <w:keepLines/>
              <w:tabs>
                <w:tab w:val="clear" w:pos="284"/>
                <w:tab w:val="clear" w:pos="567"/>
              </w:tabs>
              <w:ind w:left="1024" w:hanging="425"/>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rFonts w:cstheme="minorHAnsi"/>
                <w:szCs w:val="22"/>
              </w:rPr>
              <w:tab/>
              <w:t>Des commentaires</w:t>
            </w:r>
            <w:r w:rsidR="00A26EBE" w:rsidRPr="007B504C">
              <w:rPr>
                <w:color w:val="000000"/>
              </w:rPr>
              <w:t xml:space="preserve"> ou propositions de modification sont joints à la présente.</w:t>
            </w:r>
          </w:p>
        </w:tc>
      </w:tr>
      <w:tr w:rsidR="00A26EBE" w:rsidRPr="007B504C" w14:paraId="5AD9404A" w14:textId="77777777" w:rsidTr="00D17DD4">
        <w:trPr>
          <w:trHeight w:val="747"/>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C7D8CF3" w14:textId="77777777" w:rsidR="00A26EBE" w:rsidRPr="007B504C" w:rsidRDefault="00A26EBE" w:rsidP="00462827">
            <w:pPr>
              <w:pStyle w:val="TableText"/>
              <w:jc w:val="center"/>
              <w:rPr>
                <w:b/>
                <w:lang w:eastAsia="en-GB"/>
              </w:rPr>
            </w:pPr>
          </w:p>
        </w:tc>
        <w:tc>
          <w:tcPr>
            <w:tcW w:w="7876" w:type="dxa"/>
            <w:tcBorders>
              <w:top w:val="single" w:sz="4" w:space="0" w:color="auto"/>
              <w:left w:val="single" w:sz="4" w:space="0" w:color="auto"/>
              <w:bottom w:val="single" w:sz="4" w:space="0" w:color="auto"/>
              <w:right w:val="single" w:sz="4" w:space="0" w:color="auto"/>
            </w:tcBorders>
            <w:vAlign w:val="center"/>
            <w:hideMark/>
          </w:tcPr>
          <w:p w14:paraId="67950477" w14:textId="2A5BD3D1" w:rsidR="00A26EBE" w:rsidRPr="007B504C" w:rsidRDefault="00A05D61" w:rsidP="00A05D61">
            <w:pPr>
              <w:pStyle w:val="TableText"/>
              <w:keepNext/>
              <w:keepLines/>
              <w:tabs>
                <w:tab w:val="clear" w:pos="284"/>
                <w:tab w:val="clear" w:pos="567"/>
              </w:tabs>
              <w:ind w:left="604" w:hanging="604"/>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r>
            <w:r w:rsidR="00A26EBE" w:rsidRPr="007B504C">
              <w:rPr>
                <w:b/>
                <w:bCs/>
                <w:color w:val="000000"/>
              </w:rPr>
              <w:t>N'autorise pas</w:t>
            </w:r>
            <w:r w:rsidR="00A26EBE" w:rsidRPr="007B504C">
              <w:rPr>
                <w:color w:val="000000"/>
              </w:rPr>
              <w:t xml:space="preserve"> la Commission d'études 17 à procéder à l'examen de ce document en vue de son approbation (les motifs de cette décision et une description des éventuelles modifications qui permettraient la poursuite des travaux sont joints à la présente).</w:t>
            </w:r>
          </w:p>
        </w:tc>
      </w:tr>
      <w:tr w:rsidR="00A26EBE" w:rsidRPr="007B504C" w14:paraId="222E51ED" w14:textId="77777777" w:rsidTr="00D17DD4">
        <w:trPr>
          <w:trHeight w:val="748"/>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B8448C6" w14:textId="77777777" w:rsidR="00A26EBE" w:rsidRPr="007B504C" w:rsidRDefault="00A26EBE" w:rsidP="00462827">
            <w:pPr>
              <w:pStyle w:val="TableText"/>
              <w:jc w:val="center"/>
              <w:rPr>
                <w:b/>
              </w:rPr>
            </w:pPr>
            <w:r w:rsidRPr="007B504C">
              <w:rPr>
                <w:b/>
                <w:color w:val="000000"/>
              </w:rPr>
              <w:t>Projet de nouvelle Recommandation X.1910 (anciennement X.tc-ifd)</w:t>
            </w:r>
          </w:p>
        </w:tc>
        <w:tc>
          <w:tcPr>
            <w:tcW w:w="7876" w:type="dxa"/>
            <w:tcBorders>
              <w:top w:val="single" w:sz="4" w:space="0" w:color="auto"/>
              <w:left w:val="single" w:sz="4" w:space="0" w:color="auto"/>
              <w:bottom w:val="single" w:sz="4" w:space="0" w:color="auto"/>
              <w:right w:val="single" w:sz="4" w:space="0" w:color="auto"/>
            </w:tcBorders>
            <w:vAlign w:val="center"/>
            <w:hideMark/>
          </w:tcPr>
          <w:p w14:paraId="7CE8B15D" w14:textId="1FD9B5FF" w:rsidR="00A26EBE" w:rsidRPr="007B504C" w:rsidRDefault="00A05D61" w:rsidP="00A05D61">
            <w:pPr>
              <w:pStyle w:val="TableText"/>
              <w:keepNext/>
              <w:keepLines/>
              <w:tabs>
                <w:tab w:val="clear" w:pos="284"/>
                <w:tab w:val="clear" w:pos="567"/>
              </w:tabs>
              <w:ind w:left="604" w:hanging="604"/>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r>
            <w:r w:rsidR="00A26EBE" w:rsidRPr="007B504C">
              <w:rPr>
                <w:b/>
                <w:bCs/>
                <w:color w:val="000000"/>
              </w:rPr>
              <w:t>Autorise</w:t>
            </w:r>
            <w:r w:rsidR="00A26EBE" w:rsidRPr="007B504C">
              <w:rPr>
                <w:color w:val="000000"/>
              </w:rPr>
              <w:t xml:space="preserve"> la Commission d'études 17 à procéder à l'examen de ce document en vue de son approbation (dans ce cas, sélectionnez l'une des deux options):</w:t>
            </w:r>
          </w:p>
          <w:p w14:paraId="05E92A09" w14:textId="7E27AC88" w:rsidR="00A26EBE" w:rsidRPr="007B504C" w:rsidRDefault="00A05D61" w:rsidP="00A05D61">
            <w:pPr>
              <w:pStyle w:val="TableText"/>
              <w:keepNext/>
              <w:keepLines/>
              <w:tabs>
                <w:tab w:val="clear" w:pos="284"/>
                <w:tab w:val="clear" w:pos="567"/>
              </w:tabs>
              <w:ind w:left="1024" w:hanging="425"/>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t xml:space="preserve">Pas de </w:t>
            </w:r>
            <w:r w:rsidR="00A26EBE" w:rsidRPr="007B504C">
              <w:rPr>
                <w:rFonts w:cstheme="minorHAnsi"/>
                <w:szCs w:val="22"/>
              </w:rPr>
              <w:t>commentaire</w:t>
            </w:r>
            <w:r w:rsidR="00A26EBE" w:rsidRPr="007B504C">
              <w:rPr>
                <w:color w:val="000000"/>
              </w:rPr>
              <w:t xml:space="preserve"> ou de proposition de modification.</w:t>
            </w:r>
          </w:p>
          <w:p w14:paraId="5CFE4873" w14:textId="5312E6C0" w:rsidR="00A26EBE" w:rsidRPr="007B504C" w:rsidRDefault="00A05D61" w:rsidP="00A05D61">
            <w:pPr>
              <w:pStyle w:val="TableText"/>
              <w:keepNext/>
              <w:keepLines/>
              <w:tabs>
                <w:tab w:val="clear" w:pos="284"/>
                <w:tab w:val="clear" w:pos="567"/>
              </w:tabs>
              <w:ind w:left="1024" w:hanging="425"/>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t xml:space="preserve">Des </w:t>
            </w:r>
            <w:r w:rsidR="00A26EBE" w:rsidRPr="007B504C">
              <w:rPr>
                <w:rFonts w:cstheme="minorHAnsi"/>
                <w:szCs w:val="22"/>
              </w:rPr>
              <w:t>commentaires</w:t>
            </w:r>
            <w:r w:rsidR="00A26EBE" w:rsidRPr="007B504C">
              <w:rPr>
                <w:color w:val="000000"/>
              </w:rPr>
              <w:t xml:space="preserve"> ou propositions de modification sont joints à la présente.</w:t>
            </w:r>
          </w:p>
        </w:tc>
      </w:tr>
      <w:tr w:rsidR="00A26EBE" w:rsidRPr="007B504C" w14:paraId="503AC6A3" w14:textId="77777777" w:rsidTr="00D17DD4">
        <w:trPr>
          <w:trHeight w:val="747"/>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609A505" w14:textId="77777777" w:rsidR="00A26EBE" w:rsidRPr="007B504C" w:rsidRDefault="00A26EBE" w:rsidP="00462827">
            <w:pPr>
              <w:pStyle w:val="TableText"/>
              <w:jc w:val="center"/>
              <w:rPr>
                <w:b/>
                <w:lang w:eastAsia="en-GB"/>
              </w:rPr>
            </w:pPr>
          </w:p>
        </w:tc>
        <w:tc>
          <w:tcPr>
            <w:tcW w:w="7876" w:type="dxa"/>
            <w:tcBorders>
              <w:top w:val="single" w:sz="4" w:space="0" w:color="auto"/>
              <w:left w:val="single" w:sz="4" w:space="0" w:color="auto"/>
              <w:bottom w:val="single" w:sz="4" w:space="0" w:color="auto"/>
              <w:right w:val="single" w:sz="4" w:space="0" w:color="auto"/>
            </w:tcBorders>
            <w:vAlign w:val="center"/>
            <w:hideMark/>
          </w:tcPr>
          <w:p w14:paraId="1B0CAC4D" w14:textId="172B2BA5" w:rsidR="00A26EBE" w:rsidRPr="007B504C" w:rsidRDefault="00A05D61" w:rsidP="00A05D61">
            <w:pPr>
              <w:pStyle w:val="TableText"/>
              <w:keepNext/>
              <w:keepLines/>
              <w:tabs>
                <w:tab w:val="clear" w:pos="284"/>
                <w:tab w:val="clear" w:pos="567"/>
              </w:tabs>
              <w:ind w:left="604" w:hanging="604"/>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r>
            <w:r w:rsidR="00A26EBE" w:rsidRPr="007B504C">
              <w:rPr>
                <w:b/>
                <w:bCs/>
                <w:color w:val="000000"/>
              </w:rPr>
              <w:t>N'autorise pas</w:t>
            </w:r>
            <w:r w:rsidR="00A26EBE" w:rsidRPr="007B504C">
              <w:rPr>
                <w:color w:val="000000"/>
              </w:rPr>
              <w:t xml:space="preserve"> la Commission d'études 17 à procéder à l'examen de ce document en vue de son approbation (les motifs de cette décision et une description des éventuelles modifications qui permettraient la poursuite des travaux sont joints à la présente).</w:t>
            </w:r>
          </w:p>
        </w:tc>
      </w:tr>
      <w:tr w:rsidR="00A26EBE" w:rsidRPr="007B504C" w14:paraId="37A881E5" w14:textId="77777777" w:rsidTr="00D17DD4">
        <w:trPr>
          <w:trHeight w:val="748"/>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9E32BAF" w14:textId="77777777" w:rsidR="00A26EBE" w:rsidRPr="007B504C" w:rsidRDefault="00A26EBE" w:rsidP="00462827">
            <w:pPr>
              <w:pStyle w:val="TableText"/>
              <w:jc w:val="center"/>
              <w:rPr>
                <w:b/>
              </w:rPr>
            </w:pPr>
            <w:r w:rsidRPr="007B504C">
              <w:rPr>
                <w:b/>
                <w:color w:val="000000"/>
              </w:rPr>
              <w:lastRenderedPageBreak/>
              <w:t>Projet de nouvelle Recommandation X.1651 (anciennement X.soar-cc)</w:t>
            </w:r>
          </w:p>
        </w:tc>
        <w:tc>
          <w:tcPr>
            <w:tcW w:w="7876" w:type="dxa"/>
            <w:tcBorders>
              <w:top w:val="single" w:sz="4" w:space="0" w:color="auto"/>
              <w:left w:val="single" w:sz="4" w:space="0" w:color="auto"/>
              <w:bottom w:val="single" w:sz="4" w:space="0" w:color="auto"/>
              <w:right w:val="single" w:sz="4" w:space="0" w:color="auto"/>
            </w:tcBorders>
            <w:vAlign w:val="center"/>
            <w:hideMark/>
          </w:tcPr>
          <w:p w14:paraId="1B0FDBED" w14:textId="6E360EE3" w:rsidR="00A26EBE" w:rsidRPr="007B504C" w:rsidRDefault="00A05D61" w:rsidP="00A05D61">
            <w:pPr>
              <w:pStyle w:val="TableText"/>
              <w:keepNext/>
              <w:keepLines/>
              <w:tabs>
                <w:tab w:val="clear" w:pos="284"/>
                <w:tab w:val="clear" w:pos="567"/>
              </w:tabs>
              <w:ind w:left="604" w:hanging="604"/>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r>
            <w:r w:rsidR="00A26EBE" w:rsidRPr="007B504C">
              <w:rPr>
                <w:b/>
                <w:bCs/>
                <w:color w:val="000000"/>
              </w:rPr>
              <w:t xml:space="preserve">Autorise </w:t>
            </w:r>
            <w:r w:rsidR="00A26EBE" w:rsidRPr="007B504C">
              <w:rPr>
                <w:color w:val="000000"/>
              </w:rPr>
              <w:t>la Commission d'études 17 à procéder à l'examen de ce document en vue de son approbation (dans ce cas, sélectionnez l'une des deux options):</w:t>
            </w:r>
          </w:p>
          <w:p w14:paraId="4A74D69C" w14:textId="2AE61247" w:rsidR="00A26EBE" w:rsidRPr="007B504C" w:rsidRDefault="00A05D61" w:rsidP="00A05D61">
            <w:pPr>
              <w:pStyle w:val="TableText"/>
              <w:keepNext/>
              <w:keepLines/>
              <w:tabs>
                <w:tab w:val="clear" w:pos="284"/>
                <w:tab w:val="clear" w:pos="567"/>
              </w:tabs>
              <w:ind w:left="1024" w:hanging="425"/>
              <w:rPr>
                <w:rFonts w:cstheme="minorHAnsi"/>
                <w:szCs w:val="22"/>
              </w:rPr>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t xml:space="preserve">Pas de </w:t>
            </w:r>
            <w:r w:rsidR="00A26EBE" w:rsidRPr="007B504C">
              <w:rPr>
                <w:rFonts w:cstheme="minorHAnsi"/>
                <w:szCs w:val="22"/>
              </w:rPr>
              <w:t>commentaire ou de proposition de modification.</w:t>
            </w:r>
          </w:p>
          <w:p w14:paraId="7F59EB65" w14:textId="5757F25A" w:rsidR="00A26EBE" w:rsidRPr="007B504C" w:rsidRDefault="00A05D61" w:rsidP="00A05D61">
            <w:pPr>
              <w:pStyle w:val="TableText"/>
              <w:keepNext/>
              <w:keepLines/>
              <w:tabs>
                <w:tab w:val="clear" w:pos="284"/>
                <w:tab w:val="clear" w:pos="567"/>
              </w:tabs>
              <w:ind w:left="1024" w:hanging="425"/>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rFonts w:cstheme="minorHAnsi"/>
                <w:szCs w:val="22"/>
              </w:rPr>
              <w:tab/>
              <w:t>Des com</w:t>
            </w:r>
            <w:r w:rsidR="00A26EBE" w:rsidRPr="007B504C">
              <w:rPr>
                <w:color w:val="000000"/>
              </w:rPr>
              <w:t>mentaires ou propositions de modification sont joints à la présente.</w:t>
            </w:r>
          </w:p>
        </w:tc>
      </w:tr>
      <w:tr w:rsidR="00A26EBE" w:rsidRPr="007B504C" w14:paraId="4BF816F7" w14:textId="77777777" w:rsidTr="00D17DD4">
        <w:trPr>
          <w:trHeight w:val="747"/>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68BFFF0" w14:textId="77777777" w:rsidR="00A26EBE" w:rsidRPr="007B504C" w:rsidRDefault="00A26EBE" w:rsidP="00462827">
            <w:pPr>
              <w:pStyle w:val="TableText"/>
              <w:jc w:val="center"/>
              <w:rPr>
                <w:b/>
                <w:lang w:eastAsia="en-GB"/>
              </w:rPr>
            </w:pPr>
          </w:p>
        </w:tc>
        <w:tc>
          <w:tcPr>
            <w:tcW w:w="7876" w:type="dxa"/>
            <w:tcBorders>
              <w:top w:val="single" w:sz="4" w:space="0" w:color="auto"/>
              <w:left w:val="single" w:sz="4" w:space="0" w:color="auto"/>
              <w:bottom w:val="single" w:sz="4" w:space="0" w:color="auto"/>
              <w:right w:val="single" w:sz="4" w:space="0" w:color="auto"/>
            </w:tcBorders>
            <w:vAlign w:val="center"/>
            <w:hideMark/>
          </w:tcPr>
          <w:p w14:paraId="53E67A8B" w14:textId="63F94840" w:rsidR="00A26EBE" w:rsidRPr="007B504C" w:rsidRDefault="00A05D61" w:rsidP="00A05D61">
            <w:pPr>
              <w:pStyle w:val="TableText"/>
              <w:keepNext/>
              <w:keepLines/>
              <w:tabs>
                <w:tab w:val="clear" w:pos="284"/>
                <w:tab w:val="clear" w:pos="567"/>
              </w:tabs>
              <w:ind w:left="604" w:hanging="604"/>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r>
            <w:r w:rsidR="00A26EBE" w:rsidRPr="007B504C">
              <w:rPr>
                <w:b/>
                <w:bCs/>
                <w:color w:val="000000"/>
              </w:rPr>
              <w:t>N'autorise pas</w:t>
            </w:r>
            <w:r w:rsidR="00A26EBE" w:rsidRPr="007B504C">
              <w:rPr>
                <w:color w:val="000000"/>
              </w:rPr>
              <w:t xml:space="preserve"> la Commission d'études 17 à procéder à l'examen de ce document en vue de son approbation (les motifs de cette décision et une description des éventuelles modifications qui permettraient la poursuite des travaux sont joints à la présente).</w:t>
            </w:r>
          </w:p>
        </w:tc>
      </w:tr>
      <w:tr w:rsidR="00A26EBE" w:rsidRPr="007B504C" w14:paraId="4B4A5A5E" w14:textId="77777777" w:rsidTr="00D17DD4">
        <w:trPr>
          <w:trHeight w:val="748"/>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0795CDDD" w14:textId="77777777" w:rsidR="00A26EBE" w:rsidRPr="007B504C" w:rsidRDefault="00A26EBE" w:rsidP="00462827">
            <w:pPr>
              <w:pStyle w:val="TableText"/>
              <w:jc w:val="center"/>
              <w:rPr>
                <w:b/>
              </w:rPr>
            </w:pPr>
            <w:r w:rsidRPr="007B504C">
              <w:rPr>
                <w:b/>
                <w:color w:val="000000"/>
              </w:rPr>
              <w:t>Projet de nouvelle Recommandation X.1607 (anciennement X.asm-cc)</w:t>
            </w:r>
          </w:p>
        </w:tc>
        <w:tc>
          <w:tcPr>
            <w:tcW w:w="7876" w:type="dxa"/>
            <w:tcBorders>
              <w:top w:val="single" w:sz="4" w:space="0" w:color="auto"/>
              <w:left w:val="single" w:sz="4" w:space="0" w:color="auto"/>
              <w:bottom w:val="single" w:sz="4" w:space="0" w:color="auto"/>
              <w:right w:val="single" w:sz="4" w:space="0" w:color="auto"/>
            </w:tcBorders>
            <w:vAlign w:val="center"/>
            <w:hideMark/>
          </w:tcPr>
          <w:p w14:paraId="19073961" w14:textId="6D55AC1E" w:rsidR="00A26EBE" w:rsidRPr="007B504C" w:rsidRDefault="00A05D61" w:rsidP="00A05D61">
            <w:pPr>
              <w:pStyle w:val="TableText"/>
              <w:keepNext/>
              <w:keepLines/>
              <w:tabs>
                <w:tab w:val="clear" w:pos="284"/>
                <w:tab w:val="clear" w:pos="567"/>
              </w:tabs>
              <w:ind w:left="604" w:hanging="604"/>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r>
            <w:r w:rsidR="00A26EBE" w:rsidRPr="007B504C">
              <w:rPr>
                <w:b/>
                <w:bCs/>
                <w:color w:val="000000"/>
              </w:rPr>
              <w:t>Autorise</w:t>
            </w:r>
            <w:r w:rsidR="00A26EBE" w:rsidRPr="007B504C">
              <w:rPr>
                <w:color w:val="000000"/>
              </w:rPr>
              <w:t xml:space="preserve"> la Commission d'études 17 à procéder à l'examen de ce document en vue de son approbation (dans ce cas, sélectionnez l'une des deux options):</w:t>
            </w:r>
          </w:p>
          <w:p w14:paraId="45310A84" w14:textId="0AB8F82F" w:rsidR="00A26EBE" w:rsidRPr="007B504C" w:rsidRDefault="00A05D61" w:rsidP="00A05D61">
            <w:pPr>
              <w:pStyle w:val="TableText"/>
              <w:keepNext/>
              <w:keepLines/>
              <w:tabs>
                <w:tab w:val="clear" w:pos="284"/>
                <w:tab w:val="clear" w:pos="567"/>
              </w:tabs>
              <w:ind w:left="1024" w:hanging="425"/>
              <w:rPr>
                <w:rFonts w:cstheme="minorHAnsi"/>
                <w:szCs w:val="22"/>
              </w:rPr>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t xml:space="preserve">Pas de </w:t>
            </w:r>
            <w:r w:rsidR="00A26EBE" w:rsidRPr="007B504C">
              <w:rPr>
                <w:rFonts w:cstheme="minorHAnsi"/>
                <w:szCs w:val="22"/>
              </w:rPr>
              <w:t>commentaire ou de proposition de modification.</w:t>
            </w:r>
          </w:p>
          <w:p w14:paraId="056D4059" w14:textId="7515CB28" w:rsidR="00A26EBE" w:rsidRPr="007B504C" w:rsidRDefault="00A05D61" w:rsidP="00A05D61">
            <w:pPr>
              <w:pStyle w:val="TableText"/>
              <w:keepNext/>
              <w:keepLines/>
              <w:tabs>
                <w:tab w:val="clear" w:pos="284"/>
                <w:tab w:val="clear" w:pos="567"/>
              </w:tabs>
              <w:ind w:left="1024" w:hanging="425"/>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rFonts w:cstheme="minorHAnsi"/>
                <w:szCs w:val="22"/>
              </w:rPr>
              <w:tab/>
              <w:t>Des comm</w:t>
            </w:r>
            <w:r w:rsidR="00A26EBE" w:rsidRPr="007B504C">
              <w:rPr>
                <w:color w:val="000000"/>
              </w:rPr>
              <w:t>entaires ou propositions de modification sont joints à la présente.</w:t>
            </w:r>
          </w:p>
        </w:tc>
      </w:tr>
      <w:tr w:rsidR="00A26EBE" w:rsidRPr="007B504C" w14:paraId="3AC8A19B" w14:textId="77777777" w:rsidTr="00D17DD4">
        <w:trPr>
          <w:trHeight w:val="747"/>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E799F49" w14:textId="77777777" w:rsidR="00A26EBE" w:rsidRPr="007B504C" w:rsidRDefault="00A26EBE" w:rsidP="00462827">
            <w:pPr>
              <w:pStyle w:val="TableText"/>
              <w:jc w:val="center"/>
              <w:rPr>
                <w:b/>
                <w:lang w:eastAsia="en-GB"/>
              </w:rPr>
            </w:pPr>
          </w:p>
        </w:tc>
        <w:tc>
          <w:tcPr>
            <w:tcW w:w="7876" w:type="dxa"/>
            <w:tcBorders>
              <w:top w:val="single" w:sz="4" w:space="0" w:color="auto"/>
              <w:left w:val="single" w:sz="4" w:space="0" w:color="auto"/>
              <w:bottom w:val="single" w:sz="4" w:space="0" w:color="auto"/>
              <w:right w:val="single" w:sz="4" w:space="0" w:color="auto"/>
            </w:tcBorders>
            <w:vAlign w:val="center"/>
            <w:hideMark/>
          </w:tcPr>
          <w:p w14:paraId="1AE0BD3E" w14:textId="601FC48D" w:rsidR="00A26EBE" w:rsidRPr="007B504C" w:rsidRDefault="00A05D61" w:rsidP="00A05D61">
            <w:pPr>
              <w:pStyle w:val="TableText"/>
              <w:keepNext/>
              <w:keepLines/>
              <w:tabs>
                <w:tab w:val="clear" w:pos="284"/>
                <w:tab w:val="clear" w:pos="567"/>
              </w:tabs>
              <w:ind w:left="604" w:hanging="604"/>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r>
            <w:r w:rsidR="00A26EBE" w:rsidRPr="007B504C">
              <w:rPr>
                <w:b/>
                <w:bCs/>
                <w:color w:val="000000"/>
              </w:rPr>
              <w:t>N'autorise pas</w:t>
            </w:r>
            <w:r w:rsidR="00A26EBE" w:rsidRPr="007B504C">
              <w:rPr>
                <w:color w:val="000000"/>
              </w:rPr>
              <w:t xml:space="preserve"> la Commission d'études 17 à procéder à l'examen de ce document en vue de son approbation (les motifs de cette décision et une description des éventuelles modifications qui permettraient la poursuite des travaux sont joints à la présente).</w:t>
            </w:r>
          </w:p>
        </w:tc>
      </w:tr>
      <w:tr w:rsidR="00A26EBE" w:rsidRPr="007B504C" w14:paraId="48FFBED1" w14:textId="77777777" w:rsidTr="00D17DD4">
        <w:trPr>
          <w:trHeight w:val="748"/>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DEC85FC" w14:textId="77777777" w:rsidR="00A26EBE" w:rsidRPr="007B504C" w:rsidRDefault="00A26EBE" w:rsidP="00462827">
            <w:pPr>
              <w:pStyle w:val="TableText"/>
              <w:jc w:val="center"/>
              <w:rPr>
                <w:b/>
              </w:rPr>
            </w:pPr>
            <w:r w:rsidRPr="007B504C">
              <w:rPr>
                <w:b/>
                <w:color w:val="000000"/>
              </w:rPr>
              <w:t>Projet de nouvelle Recommandation X.1418 (anciennement X.sg-dcs)</w:t>
            </w:r>
          </w:p>
        </w:tc>
        <w:tc>
          <w:tcPr>
            <w:tcW w:w="7876" w:type="dxa"/>
            <w:tcBorders>
              <w:top w:val="single" w:sz="4" w:space="0" w:color="auto"/>
              <w:left w:val="single" w:sz="4" w:space="0" w:color="auto"/>
              <w:bottom w:val="single" w:sz="4" w:space="0" w:color="auto"/>
              <w:right w:val="single" w:sz="4" w:space="0" w:color="auto"/>
            </w:tcBorders>
            <w:vAlign w:val="center"/>
            <w:hideMark/>
          </w:tcPr>
          <w:p w14:paraId="35DCE3BF" w14:textId="3DC43B5A" w:rsidR="00A26EBE" w:rsidRPr="007B504C" w:rsidRDefault="00A05D61" w:rsidP="00A05D61">
            <w:pPr>
              <w:pStyle w:val="TableText"/>
              <w:keepNext/>
              <w:keepLines/>
              <w:tabs>
                <w:tab w:val="clear" w:pos="284"/>
                <w:tab w:val="clear" w:pos="567"/>
              </w:tabs>
              <w:ind w:left="604" w:hanging="604"/>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r>
            <w:r w:rsidR="00A26EBE" w:rsidRPr="007B504C">
              <w:rPr>
                <w:b/>
                <w:bCs/>
                <w:color w:val="000000"/>
              </w:rPr>
              <w:t>Autorise</w:t>
            </w:r>
            <w:r w:rsidR="00A26EBE" w:rsidRPr="007B504C">
              <w:rPr>
                <w:color w:val="000000"/>
              </w:rPr>
              <w:t xml:space="preserve"> la Commission d'études 17 à procéder à l'examen de ce document en vue de son approbation (dans ce cas, sélectionnez l'une des deux options):</w:t>
            </w:r>
          </w:p>
          <w:p w14:paraId="7619EFFF" w14:textId="2C25B547" w:rsidR="00A26EBE" w:rsidRPr="007B504C" w:rsidRDefault="00A05D61" w:rsidP="00A05D61">
            <w:pPr>
              <w:pStyle w:val="TableText"/>
              <w:keepNext/>
              <w:keepLines/>
              <w:tabs>
                <w:tab w:val="clear" w:pos="284"/>
                <w:tab w:val="clear" w:pos="567"/>
              </w:tabs>
              <w:ind w:left="1024" w:hanging="425"/>
              <w:rPr>
                <w:rFonts w:cstheme="minorHAnsi"/>
                <w:szCs w:val="22"/>
              </w:rPr>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t xml:space="preserve">Pas </w:t>
            </w:r>
            <w:r w:rsidR="00A26EBE" w:rsidRPr="007B504C">
              <w:rPr>
                <w:rFonts w:cstheme="minorHAnsi"/>
                <w:szCs w:val="22"/>
              </w:rPr>
              <w:t>de commentaire ou de proposition de modification.</w:t>
            </w:r>
          </w:p>
          <w:p w14:paraId="5C191321" w14:textId="3DA82681" w:rsidR="00A26EBE" w:rsidRPr="007B504C" w:rsidRDefault="00A05D61" w:rsidP="00A05D61">
            <w:pPr>
              <w:pStyle w:val="TableText"/>
              <w:keepNext/>
              <w:keepLines/>
              <w:tabs>
                <w:tab w:val="clear" w:pos="284"/>
                <w:tab w:val="clear" w:pos="567"/>
              </w:tabs>
              <w:ind w:left="1024" w:hanging="425"/>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rFonts w:cstheme="minorHAnsi"/>
                <w:szCs w:val="22"/>
              </w:rPr>
              <w:tab/>
              <w:t>Des co</w:t>
            </w:r>
            <w:r w:rsidR="00A26EBE" w:rsidRPr="007B504C">
              <w:rPr>
                <w:color w:val="000000"/>
              </w:rPr>
              <w:t>mmentaires ou propositions de modification sont joints à la présente.</w:t>
            </w:r>
          </w:p>
        </w:tc>
      </w:tr>
      <w:tr w:rsidR="00A26EBE" w:rsidRPr="007B504C" w14:paraId="6B4F7A2E" w14:textId="77777777" w:rsidTr="00D17DD4">
        <w:trPr>
          <w:trHeight w:val="747"/>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16482C00" w14:textId="77777777" w:rsidR="00A26EBE" w:rsidRPr="007B504C" w:rsidRDefault="00A26EBE" w:rsidP="00462827">
            <w:pPr>
              <w:pStyle w:val="TableText"/>
              <w:jc w:val="center"/>
              <w:rPr>
                <w:b/>
                <w:lang w:eastAsia="en-GB"/>
              </w:rPr>
            </w:pPr>
          </w:p>
        </w:tc>
        <w:tc>
          <w:tcPr>
            <w:tcW w:w="7876" w:type="dxa"/>
            <w:tcBorders>
              <w:top w:val="single" w:sz="4" w:space="0" w:color="auto"/>
              <w:left w:val="single" w:sz="4" w:space="0" w:color="auto"/>
              <w:bottom w:val="single" w:sz="4" w:space="0" w:color="auto"/>
              <w:right w:val="single" w:sz="4" w:space="0" w:color="auto"/>
            </w:tcBorders>
            <w:vAlign w:val="center"/>
            <w:hideMark/>
          </w:tcPr>
          <w:p w14:paraId="69CCA7D5" w14:textId="76DA082A" w:rsidR="00A26EBE" w:rsidRPr="007B504C" w:rsidRDefault="00A05D61" w:rsidP="00A05D61">
            <w:pPr>
              <w:pStyle w:val="TableText"/>
              <w:keepNext/>
              <w:keepLines/>
              <w:tabs>
                <w:tab w:val="clear" w:pos="284"/>
                <w:tab w:val="clear" w:pos="567"/>
              </w:tabs>
              <w:ind w:left="604" w:hanging="604"/>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r>
            <w:r w:rsidR="00A26EBE" w:rsidRPr="007B504C">
              <w:rPr>
                <w:b/>
                <w:bCs/>
                <w:color w:val="000000"/>
              </w:rPr>
              <w:t>N'autorise pas</w:t>
            </w:r>
            <w:r w:rsidR="00A26EBE" w:rsidRPr="007B504C">
              <w:rPr>
                <w:color w:val="000000"/>
              </w:rPr>
              <w:t xml:space="preserve"> la Commission d'études 17 à procéder à l'examen de ce document en vue de son approbation (les motifs de cette décision et une description des éventuelles modifications qui permettraient la poursuite des travaux sont joints à la présente).</w:t>
            </w:r>
          </w:p>
        </w:tc>
      </w:tr>
      <w:tr w:rsidR="00A26EBE" w:rsidRPr="007B504C" w14:paraId="2ACD0B9C" w14:textId="77777777" w:rsidTr="00D17DD4">
        <w:trPr>
          <w:trHeight w:val="748"/>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30F34D0" w14:textId="77777777" w:rsidR="00A26EBE" w:rsidRPr="007B504C" w:rsidRDefault="00A26EBE" w:rsidP="00462827">
            <w:pPr>
              <w:pStyle w:val="TableText"/>
              <w:jc w:val="center"/>
              <w:rPr>
                <w:b/>
              </w:rPr>
            </w:pPr>
            <w:r w:rsidRPr="007B504C">
              <w:rPr>
                <w:b/>
                <w:color w:val="000000"/>
              </w:rPr>
              <w:t>Projet de nouvelle Recommandation X.1417 (anciennement X.sr-dpts)</w:t>
            </w:r>
          </w:p>
        </w:tc>
        <w:tc>
          <w:tcPr>
            <w:tcW w:w="7876" w:type="dxa"/>
            <w:tcBorders>
              <w:top w:val="single" w:sz="4" w:space="0" w:color="auto"/>
              <w:left w:val="single" w:sz="4" w:space="0" w:color="auto"/>
              <w:bottom w:val="single" w:sz="4" w:space="0" w:color="auto"/>
              <w:right w:val="single" w:sz="4" w:space="0" w:color="auto"/>
            </w:tcBorders>
            <w:vAlign w:val="center"/>
            <w:hideMark/>
          </w:tcPr>
          <w:p w14:paraId="596A0460" w14:textId="25782347" w:rsidR="00A26EBE" w:rsidRPr="007B504C" w:rsidRDefault="00A05D61" w:rsidP="00A05D61">
            <w:pPr>
              <w:pStyle w:val="TableText"/>
              <w:keepNext/>
              <w:keepLines/>
              <w:tabs>
                <w:tab w:val="clear" w:pos="284"/>
                <w:tab w:val="clear" w:pos="567"/>
              </w:tabs>
              <w:ind w:left="604" w:hanging="604"/>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r>
            <w:r w:rsidR="00A26EBE" w:rsidRPr="007B504C">
              <w:rPr>
                <w:b/>
                <w:bCs/>
                <w:color w:val="000000"/>
              </w:rPr>
              <w:t xml:space="preserve">Autorise </w:t>
            </w:r>
            <w:r w:rsidR="00A26EBE" w:rsidRPr="007B504C">
              <w:rPr>
                <w:color w:val="000000"/>
              </w:rPr>
              <w:t>la Commission d'études 17 à procéder à l'examen de ce document en vue de son approbation (dans ce cas, sélectionnez l'une des deux options):</w:t>
            </w:r>
          </w:p>
          <w:p w14:paraId="5336B788" w14:textId="0CEE238D" w:rsidR="00A26EBE" w:rsidRPr="007B504C" w:rsidRDefault="00A05D61" w:rsidP="00A05D61">
            <w:pPr>
              <w:pStyle w:val="TableText"/>
              <w:keepNext/>
              <w:keepLines/>
              <w:tabs>
                <w:tab w:val="clear" w:pos="284"/>
                <w:tab w:val="clear" w:pos="567"/>
              </w:tabs>
              <w:ind w:left="1024" w:hanging="425"/>
              <w:rPr>
                <w:rFonts w:cstheme="minorHAnsi"/>
                <w:szCs w:val="22"/>
              </w:rPr>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t xml:space="preserve">Pas </w:t>
            </w:r>
            <w:r w:rsidR="00A26EBE" w:rsidRPr="007B504C">
              <w:rPr>
                <w:rFonts w:cstheme="minorHAnsi"/>
                <w:szCs w:val="22"/>
              </w:rPr>
              <w:t>de commentaire ou de proposition de modification.</w:t>
            </w:r>
          </w:p>
          <w:p w14:paraId="752BC261" w14:textId="26D69A03" w:rsidR="00A26EBE" w:rsidRPr="007B504C" w:rsidRDefault="00A05D61" w:rsidP="00A05D61">
            <w:pPr>
              <w:pStyle w:val="TableText"/>
              <w:keepNext/>
              <w:keepLines/>
              <w:tabs>
                <w:tab w:val="clear" w:pos="284"/>
                <w:tab w:val="clear" w:pos="567"/>
              </w:tabs>
              <w:ind w:left="1024" w:hanging="425"/>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rFonts w:cstheme="minorHAnsi"/>
                <w:szCs w:val="22"/>
              </w:rPr>
              <w:tab/>
              <w:t>Des c</w:t>
            </w:r>
            <w:r w:rsidR="00A26EBE" w:rsidRPr="007B504C">
              <w:rPr>
                <w:color w:val="000000"/>
              </w:rPr>
              <w:t>ommentaires ou propositions de modification sont joints à la présente.</w:t>
            </w:r>
          </w:p>
        </w:tc>
      </w:tr>
      <w:tr w:rsidR="00A26EBE" w:rsidRPr="007B504C" w14:paraId="607FBAE8" w14:textId="77777777" w:rsidTr="00D17DD4">
        <w:trPr>
          <w:trHeight w:val="747"/>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174329A1" w14:textId="77777777" w:rsidR="00A26EBE" w:rsidRPr="007B504C" w:rsidRDefault="00A26EBE" w:rsidP="00462827">
            <w:pPr>
              <w:pStyle w:val="TableText"/>
              <w:jc w:val="center"/>
              <w:rPr>
                <w:b/>
                <w:lang w:eastAsia="en-GB"/>
              </w:rPr>
            </w:pPr>
          </w:p>
        </w:tc>
        <w:tc>
          <w:tcPr>
            <w:tcW w:w="7876" w:type="dxa"/>
            <w:tcBorders>
              <w:top w:val="single" w:sz="4" w:space="0" w:color="auto"/>
              <w:left w:val="single" w:sz="4" w:space="0" w:color="auto"/>
              <w:bottom w:val="single" w:sz="4" w:space="0" w:color="auto"/>
              <w:right w:val="single" w:sz="4" w:space="0" w:color="auto"/>
            </w:tcBorders>
            <w:vAlign w:val="center"/>
            <w:hideMark/>
          </w:tcPr>
          <w:p w14:paraId="06A0C3AF" w14:textId="11DF2B00" w:rsidR="00A26EBE" w:rsidRPr="007B504C" w:rsidRDefault="00A05D61" w:rsidP="00A05D61">
            <w:pPr>
              <w:pStyle w:val="TableText"/>
              <w:keepNext/>
              <w:keepLines/>
              <w:tabs>
                <w:tab w:val="clear" w:pos="284"/>
                <w:tab w:val="clear" w:pos="567"/>
              </w:tabs>
              <w:ind w:left="604" w:hanging="604"/>
            </w:pPr>
            <w:r w:rsidRPr="007B504C">
              <w:rPr>
                <w:rFonts w:cstheme="minorHAnsi"/>
                <w:szCs w:val="22"/>
              </w:rPr>
              <w:fldChar w:fldCharType="begin">
                <w:ffData>
                  <w:name w:val="Check1"/>
                  <w:enabled/>
                  <w:calcOnExit w:val="0"/>
                  <w:checkBox>
                    <w:sizeAuto/>
                    <w:default w:val="0"/>
                  </w:checkBox>
                </w:ffData>
              </w:fldChar>
            </w:r>
            <w:r w:rsidRPr="007B504C">
              <w:rPr>
                <w:rFonts w:cstheme="minorHAnsi"/>
                <w:szCs w:val="22"/>
              </w:rPr>
              <w:instrText xml:space="preserve"> FORMCHECKBOX </w:instrText>
            </w:r>
            <w:r w:rsidRPr="007B504C">
              <w:rPr>
                <w:rFonts w:cstheme="minorHAnsi"/>
                <w:szCs w:val="22"/>
              </w:rPr>
            </w:r>
            <w:r w:rsidRPr="007B504C">
              <w:rPr>
                <w:rFonts w:cstheme="minorHAnsi"/>
                <w:szCs w:val="22"/>
              </w:rPr>
              <w:fldChar w:fldCharType="separate"/>
            </w:r>
            <w:r w:rsidRPr="007B504C">
              <w:rPr>
                <w:rFonts w:cstheme="minorHAnsi"/>
                <w:szCs w:val="22"/>
              </w:rPr>
              <w:fldChar w:fldCharType="end"/>
            </w:r>
            <w:r w:rsidR="00A26EBE" w:rsidRPr="007B504C">
              <w:rPr>
                <w:color w:val="000000"/>
              </w:rPr>
              <w:tab/>
            </w:r>
            <w:r w:rsidR="00A26EBE" w:rsidRPr="007B504C">
              <w:rPr>
                <w:b/>
                <w:bCs/>
                <w:color w:val="000000"/>
              </w:rPr>
              <w:t>N'autorise pas</w:t>
            </w:r>
            <w:r w:rsidR="00A26EBE" w:rsidRPr="007B504C">
              <w:rPr>
                <w:color w:val="000000"/>
              </w:rPr>
              <w:t xml:space="preserve"> la Commission d'études 17 à procéder à l'examen de ce document en vue de son approbation (les motifs de cette décision et une description des éventuelles modifications qui permettraient la poursuite des travaux sont joints à la présente).</w:t>
            </w:r>
          </w:p>
        </w:tc>
      </w:tr>
    </w:tbl>
    <w:p w14:paraId="5A1D002D" w14:textId="77777777" w:rsidR="00A26EBE" w:rsidRPr="007B504C" w:rsidRDefault="00A26EBE" w:rsidP="00A26EBE">
      <w:pPr>
        <w:rPr>
          <w:rFonts w:eastAsiaTheme="minorEastAsia"/>
        </w:rPr>
      </w:pPr>
      <w:r w:rsidRPr="007B504C">
        <w:rPr>
          <w:rFonts w:eastAsiaTheme="minorEastAsia"/>
        </w:rPr>
        <w:t>Veuillez agréer, Madame, Monsieur, l'assurance de ma considération distinguée.</w:t>
      </w:r>
    </w:p>
    <w:p w14:paraId="693C5ABE" w14:textId="64BE3D58" w:rsidR="008F6572" w:rsidRPr="007B504C" w:rsidRDefault="00A26EBE" w:rsidP="00A05D61">
      <w:pPr>
        <w:spacing w:before="840"/>
        <w:rPr>
          <w:rFonts w:eastAsiaTheme="minorEastAsia"/>
        </w:rPr>
      </w:pPr>
      <w:r w:rsidRPr="007B504C">
        <w:rPr>
          <w:rFonts w:eastAsiaTheme="minorEastAsia"/>
          <w:highlight w:val="green"/>
        </w:rPr>
        <w:t>[Nom]</w:t>
      </w:r>
      <w:r w:rsidR="00A05D61" w:rsidRPr="007B504C">
        <w:rPr>
          <w:rFonts w:eastAsiaTheme="minorEastAsia"/>
          <w:highlight w:val="green"/>
        </w:rPr>
        <w:br/>
      </w:r>
      <w:r w:rsidRPr="007B504C">
        <w:rPr>
          <w:rFonts w:eastAsiaTheme="minorEastAsia"/>
          <w:highlight w:val="green"/>
        </w:rPr>
        <w:t>[Rôle/titre officiel]</w:t>
      </w:r>
      <w:r w:rsidR="00A05D61" w:rsidRPr="007B504C">
        <w:rPr>
          <w:rFonts w:eastAsiaTheme="minorEastAsia"/>
        </w:rPr>
        <w:br/>
      </w:r>
      <w:r w:rsidRPr="007B504C">
        <w:rPr>
          <w:rFonts w:eastAsiaTheme="minorEastAsia"/>
        </w:rPr>
        <w:t xml:space="preserve">Administration de </w:t>
      </w:r>
      <w:r w:rsidRPr="007B504C">
        <w:rPr>
          <w:rFonts w:eastAsiaTheme="minorEastAsia"/>
          <w:highlight w:val="green"/>
        </w:rPr>
        <w:t>[État Membre]</w:t>
      </w:r>
    </w:p>
    <w:sectPr w:rsidR="008F6572" w:rsidRPr="007B504C" w:rsidSect="00A15179">
      <w:headerReference w:type="default" r:id="rId27"/>
      <w:footerReference w:type="first" r:id="rId28"/>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7419" w14:textId="77777777" w:rsidR="004419E9" w:rsidRDefault="004419E9">
      <w:r>
        <w:separator/>
      </w:r>
    </w:p>
  </w:endnote>
  <w:endnote w:type="continuationSeparator" w:id="0">
    <w:p w14:paraId="31479BA6" w14:textId="77777777" w:rsidR="004419E9" w:rsidRDefault="004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128FB3AD"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w:t>
    </w:r>
    <w:proofErr w:type="gramStart"/>
    <w:r w:rsidRPr="003E66AD">
      <w:rPr>
        <w:color w:val="0070C0"/>
        <w:sz w:val="18"/>
        <w:szCs w:val="18"/>
        <w:lang w:val="fr-CH"/>
      </w:rPr>
      <w:t>Fax:</w:t>
    </w:r>
    <w:proofErr w:type="gramEnd"/>
    <w:r w:rsidRPr="003E66AD">
      <w:rPr>
        <w:color w:val="0070C0"/>
        <w:sz w:val="18"/>
        <w:szCs w:val="18"/>
        <w:lang w:val="fr-CH"/>
      </w:rPr>
      <w:t xml:space="preserve"> +41 22 733 7256 • </w:t>
    </w:r>
    <w:proofErr w:type="gramStart"/>
    <w:r w:rsidR="00085F5A" w:rsidRPr="003E66AD">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D309" w14:textId="77777777" w:rsidR="004419E9" w:rsidRDefault="004419E9">
      <w:r>
        <w:t>____________________</w:t>
      </w:r>
    </w:p>
  </w:footnote>
  <w:footnote w:type="continuationSeparator" w:id="0">
    <w:p w14:paraId="5828E93A" w14:textId="77777777" w:rsidR="004419E9" w:rsidRDefault="0044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44ABAD95" w:rsidR="00697BC1" w:rsidRPr="00697BC1" w:rsidRDefault="00C72F40"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C924FB">
      <w:rPr>
        <w:noProof/>
        <w:sz w:val="18"/>
        <w:szCs w:val="16"/>
      </w:rPr>
      <w:t>1</w:t>
    </w:r>
    <w:r w:rsidR="00A26EBE">
      <w:rPr>
        <w:noProof/>
        <w:sz w:val="18"/>
        <w:szCs w:val="16"/>
      </w:rPr>
      <w:t>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3"/>
  </w:num>
  <w:num w:numId="3" w16cid:durableId="2075545744">
    <w:abstractNumId w:val="2"/>
  </w:num>
  <w:num w:numId="4" w16cid:durableId="18714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A11F9"/>
    <w:rsid w:val="000B0D96"/>
    <w:rsid w:val="000B59D8"/>
    <w:rsid w:val="000C1F6B"/>
    <w:rsid w:val="000C25CC"/>
    <w:rsid w:val="000C56BE"/>
    <w:rsid w:val="001026FD"/>
    <w:rsid w:val="001077FD"/>
    <w:rsid w:val="00115DD7"/>
    <w:rsid w:val="00167472"/>
    <w:rsid w:val="00167F92"/>
    <w:rsid w:val="00173738"/>
    <w:rsid w:val="001B79A3"/>
    <w:rsid w:val="001D0823"/>
    <w:rsid w:val="002152A3"/>
    <w:rsid w:val="0023667A"/>
    <w:rsid w:val="002937DB"/>
    <w:rsid w:val="002E395D"/>
    <w:rsid w:val="00307FB4"/>
    <w:rsid w:val="003131F0"/>
    <w:rsid w:val="00321CF2"/>
    <w:rsid w:val="00333A80"/>
    <w:rsid w:val="00341117"/>
    <w:rsid w:val="00364E95"/>
    <w:rsid w:val="00372875"/>
    <w:rsid w:val="003742F8"/>
    <w:rsid w:val="003B1E80"/>
    <w:rsid w:val="003B66E8"/>
    <w:rsid w:val="003E66AD"/>
    <w:rsid w:val="004033F1"/>
    <w:rsid w:val="00414B0C"/>
    <w:rsid w:val="00423C21"/>
    <w:rsid w:val="004257AC"/>
    <w:rsid w:val="0043711B"/>
    <w:rsid w:val="004419E9"/>
    <w:rsid w:val="00445B68"/>
    <w:rsid w:val="00462827"/>
    <w:rsid w:val="0048088B"/>
    <w:rsid w:val="004972D4"/>
    <w:rsid w:val="004977C9"/>
    <w:rsid w:val="004B732E"/>
    <w:rsid w:val="004D51F4"/>
    <w:rsid w:val="004D64E0"/>
    <w:rsid w:val="005120A2"/>
    <w:rsid w:val="0051210D"/>
    <w:rsid w:val="005136D2"/>
    <w:rsid w:val="00517A03"/>
    <w:rsid w:val="005732A8"/>
    <w:rsid w:val="005A3DD9"/>
    <w:rsid w:val="005B1DFC"/>
    <w:rsid w:val="00601682"/>
    <w:rsid w:val="00603470"/>
    <w:rsid w:val="00625E79"/>
    <w:rsid w:val="006333F7"/>
    <w:rsid w:val="006427A1"/>
    <w:rsid w:val="00644741"/>
    <w:rsid w:val="00653B79"/>
    <w:rsid w:val="00697BC1"/>
    <w:rsid w:val="006A6FFE"/>
    <w:rsid w:val="006C157E"/>
    <w:rsid w:val="006C5A91"/>
    <w:rsid w:val="006F52F7"/>
    <w:rsid w:val="00716BBC"/>
    <w:rsid w:val="007321BC"/>
    <w:rsid w:val="00760063"/>
    <w:rsid w:val="00775E4B"/>
    <w:rsid w:val="0079553B"/>
    <w:rsid w:val="00795679"/>
    <w:rsid w:val="007A40FE"/>
    <w:rsid w:val="007B504C"/>
    <w:rsid w:val="00810105"/>
    <w:rsid w:val="008157E0"/>
    <w:rsid w:val="00850477"/>
    <w:rsid w:val="00854E1D"/>
    <w:rsid w:val="00887FA6"/>
    <w:rsid w:val="008C4397"/>
    <w:rsid w:val="008C465A"/>
    <w:rsid w:val="008F2C9B"/>
    <w:rsid w:val="008F6572"/>
    <w:rsid w:val="00923CD6"/>
    <w:rsid w:val="00935AA8"/>
    <w:rsid w:val="00971C9A"/>
    <w:rsid w:val="009D51FA"/>
    <w:rsid w:val="009F1E23"/>
    <w:rsid w:val="00A05D61"/>
    <w:rsid w:val="00A15179"/>
    <w:rsid w:val="00A26EBE"/>
    <w:rsid w:val="00A51537"/>
    <w:rsid w:val="00A5280F"/>
    <w:rsid w:val="00A5645A"/>
    <w:rsid w:val="00A60FC1"/>
    <w:rsid w:val="00A97C37"/>
    <w:rsid w:val="00AA131B"/>
    <w:rsid w:val="00AC37B5"/>
    <w:rsid w:val="00AD752F"/>
    <w:rsid w:val="00AF08A4"/>
    <w:rsid w:val="00AF0D7D"/>
    <w:rsid w:val="00B1655B"/>
    <w:rsid w:val="00B27B41"/>
    <w:rsid w:val="00B42659"/>
    <w:rsid w:val="00B46F2D"/>
    <w:rsid w:val="00B60868"/>
    <w:rsid w:val="00B8573E"/>
    <w:rsid w:val="00BB24C0"/>
    <w:rsid w:val="00BD6ECF"/>
    <w:rsid w:val="00C26F2E"/>
    <w:rsid w:val="00C302E3"/>
    <w:rsid w:val="00C41B89"/>
    <w:rsid w:val="00C45376"/>
    <w:rsid w:val="00C72F40"/>
    <w:rsid w:val="00C9028F"/>
    <w:rsid w:val="00C924FB"/>
    <w:rsid w:val="00CA0416"/>
    <w:rsid w:val="00CB1125"/>
    <w:rsid w:val="00CB2330"/>
    <w:rsid w:val="00CB4E80"/>
    <w:rsid w:val="00CD042E"/>
    <w:rsid w:val="00CF2560"/>
    <w:rsid w:val="00CF5B46"/>
    <w:rsid w:val="00D05EE0"/>
    <w:rsid w:val="00D17DD4"/>
    <w:rsid w:val="00D46B68"/>
    <w:rsid w:val="00D542A5"/>
    <w:rsid w:val="00DC3D47"/>
    <w:rsid w:val="00DD77DA"/>
    <w:rsid w:val="00E06C61"/>
    <w:rsid w:val="00E13DB3"/>
    <w:rsid w:val="00E2408B"/>
    <w:rsid w:val="00E616F5"/>
    <w:rsid w:val="00E62CEA"/>
    <w:rsid w:val="00E72AE1"/>
    <w:rsid w:val="00EA61D1"/>
    <w:rsid w:val="00ED6A7A"/>
    <w:rsid w:val="00EE4C36"/>
    <w:rsid w:val="00EF6A23"/>
    <w:rsid w:val="00EF7D71"/>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paragraph" w:customStyle="1" w:styleId="Reasons">
    <w:name w:val="Reasons"/>
    <w:basedOn w:val="Normal"/>
    <w:qFormat/>
    <w:rsid w:val="008F6572"/>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customStyle="1" w:styleId="Annextitle0">
    <w:name w:val="Annex_title"/>
    <w:basedOn w:val="Normal"/>
    <w:next w:val="Normal"/>
    <w:rsid w:val="00A26EBE"/>
    <w:pPr>
      <w:keepNext/>
      <w:keepLines/>
      <w:spacing w:before="240" w:after="280"/>
      <w:jc w:val="center"/>
      <w:textAlignment w:val="auto"/>
    </w:pPr>
    <w:rPr>
      <w:rFonts w:ascii="Calibri" w:eastAsiaTheme="minorEastAsia" w:hAnsi="Calibri"/>
      <w:b/>
      <w:sz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7777">
      <w:bodyDiv w:val="1"/>
      <w:marLeft w:val="0"/>
      <w:marRight w:val="0"/>
      <w:marTop w:val="0"/>
      <w:marBottom w:val="0"/>
      <w:divBdr>
        <w:top w:val="none" w:sz="0" w:space="0" w:color="auto"/>
        <w:left w:val="none" w:sz="0" w:space="0" w:color="auto"/>
        <w:bottom w:val="none" w:sz="0" w:space="0" w:color="auto"/>
        <w:right w:val="none" w:sz="0" w:space="0" w:color="auto"/>
      </w:divBdr>
    </w:div>
    <w:div w:id="85617533">
      <w:bodyDiv w:val="1"/>
      <w:marLeft w:val="0"/>
      <w:marRight w:val="0"/>
      <w:marTop w:val="0"/>
      <w:marBottom w:val="0"/>
      <w:divBdr>
        <w:top w:val="none" w:sz="0" w:space="0" w:color="auto"/>
        <w:left w:val="none" w:sz="0" w:space="0" w:color="auto"/>
        <w:bottom w:val="none" w:sz="0" w:space="0" w:color="auto"/>
        <w:right w:val="none" w:sz="0" w:space="0" w:color="auto"/>
      </w:divBdr>
    </w:div>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www.itu.int/md/T25-SG17-R-0029/fr" TargetMode="External"/><Relationship Id="rId26" Type="http://schemas.openxmlformats.org/officeDocument/2006/relationships/hyperlink" Target="https://www.itu.int/md/meetingdoc.asp?lang=fr&amp;parent=T25-TSB-CIR&amp;destination=SG17" TargetMode="External"/><Relationship Id="rId3" Type="http://schemas.openxmlformats.org/officeDocument/2006/relationships/styles" Target="styles.xml"/><Relationship Id="rId21" Type="http://schemas.openxmlformats.org/officeDocument/2006/relationships/hyperlink" Target="https://www.itu.int/md/T25-SG17-R-0032/fr" TargetMode="External"/><Relationship Id="rId7" Type="http://schemas.openxmlformats.org/officeDocument/2006/relationships/endnotes" Target="endnotes.xml"/><Relationship Id="rId12" Type="http://schemas.openxmlformats.org/officeDocument/2006/relationships/hyperlink" Target="https://www.itu.int/fr/ITU-T/ipr/Pages/default.aspx" TargetMode="External"/><Relationship Id="rId17" Type="http://schemas.openxmlformats.org/officeDocument/2006/relationships/hyperlink" Target="https://www.itu.int/md/T25-SG17-R-0028/fr" TargetMode="External"/><Relationship Id="rId25" Type="http://schemas.openxmlformats.org/officeDocument/2006/relationships/hyperlink" Target="mailto:tsbdir@itu.int" TargetMode="External"/><Relationship Id="rId2" Type="http://schemas.openxmlformats.org/officeDocument/2006/relationships/numbering" Target="numbering.xml"/><Relationship Id="rId16" Type="http://schemas.openxmlformats.org/officeDocument/2006/relationships/hyperlink" Target="https://www.itu.int/md/T25-SG17-R-0027/fr" TargetMode="External"/><Relationship Id="rId20" Type="http://schemas.openxmlformats.org/officeDocument/2006/relationships/hyperlink" Target="https://www.itu.int/md/T25-SG17-R-0031/f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17-COL-0008/fr" TargetMode="External"/><Relationship Id="rId24" Type="http://schemas.openxmlformats.org/officeDocument/2006/relationships/hyperlink" Target="https://www.itu.int/md/T25-SG17-R-0035/fr" TargetMode="External"/><Relationship Id="rId5" Type="http://schemas.openxmlformats.org/officeDocument/2006/relationships/webSettings" Target="webSettings.xml"/><Relationship Id="rId15" Type="http://schemas.openxmlformats.org/officeDocument/2006/relationships/hyperlink" Target="https://www.itu.int/md/T25-SG17-R-0026/fr" TargetMode="External"/><Relationship Id="rId23" Type="http://schemas.openxmlformats.org/officeDocument/2006/relationships/hyperlink" Target="https://www.itu.int/md/T25-SG17-R-0034/fr" TargetMode="External"/><Relationship Id="rId28" Type="http://schemas.openxmlformats.org/officeDocument/2006/relationships/footer" Target="footer1.xml"/><Relationship Id="rId10" Type="http://schemas.openxmlformats.org/officeDocument/2006/relationships/hyperlink" Target="https://www.itu.int/dms_pub/itu-t/opb/res/T-RES-T.1-2022-PDF-F.pdf" TargetMode="External"/><Relationship Id="rId19" Type="http://schemas.openxmlformats.org/officeDocument/2006/relationships/hyperlink" Target="https://www.itu.int/md/T25-SG17-R-0030/fr" TargetMode="Externa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https://www.itu.int/md/T25-SG17-R-0025/fr" TargetMode="External"/><Relationship Id="rId22" Type="http://schemas.openxmlformats.org/officeDocument/2006/relationships/hyperlink" Target="https://www.itu.int/md/T25-SG17-R-0033/fr"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62</TotalTime>
  <Pages>11</Pages>
  <Words>4472</Words>
  <Characters>28412</Characters>
  <Application>Microsoft Office Word</Application>
  <DocSecurity>0</DocSecurity>
  <Lines>236</Lines>
  <Paragraphs>65</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32819</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7</cp:revision>
  <cp:lastPrinted>2026-03-11T08:24:00Z</cp:lastPrinted>
  <dcterms:created xsi:type="dcterms:W3CDTF">2026-02-26T06:25:00Z</dcterms:created>
  <dcterms:modified xsi:type="dcterms:W3CDTF">2026-03-11T08:25:00Z</dcterms:modified>
</cp:coreProperties>
</file>