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134"/>
        <w:gridCol w:w="142"/>
        <w:gridCol w:w="3386"/>
        <w:gridCol w:w="3135"/>
        <w:gridCol w:w="1984"/>
      </w:tblGrid>
      <w:tr w:rsidR="00852B82" w:rsidRPr="00D43A7B" w14:paraId="09A0DD85" w14:textId="77777777" w:rsidTr="004B50B2">
        <w:trPr>
          <w:trHeight w:val="1282"/>
          <w:jc w:val="center"/>
        </w:trPr>
        <w:tc>
          <w:tcPr>
            <w:tcW w:w="1276" w:type="dxa"/>
            <w:gridSpan w:val="2"/>
            <w:tcMar>
              <w:left w:w="0" w:type="dxa"/>
              <w:right w:w="0" w:type="dxa"/>
            </w:tcMar>
            <w:vAlign w:val="center"/>
          </w:tcPr>
          <w:p w14:paraId="5909C653" w14:textId="0BB7C670" w:rsidR="00852B82" w:rsidRPr="00D43A7B" w:rsidRDefault="008579A3" w:rsidP="002A4977">
            <w:pPr>
              <w:pStyle w:val="Tabletext"/>
              <w:jc w:val="center"/>
            </w:pPr>
            <w:r w:rsidRPr="00AD435F">
              <w:rPr>
                <w:noProof/>
              </w:rPr>
              <w:drawing>
                <wp:inline distT="0" distB="0" distL="0" distR="0" wp14:anchorId="37AF40B9" wp14:editId="37712C28">
                  <wp:extent cx="805180" cy="805180"/>
                  <wp:effectExtent l="0" t="0" r="0" b="0"/>
                  <wp:docPr id="1" name="Picture 2" descr="C:\Users\clarker\AppData\Local\Temp\7zE04E6E9AC\ITU official logo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7" cstate="print"/>
                          <a:srcRect/>
                          <a:stretch>
                            <a:fillRect/>
                          </a:stretch>
                        </pic:blipFill>
                        <pic:spPr bwMode="auto">
                          <a:xfrm>
                            <a:off x="0" y="0"/>
                            <a:ext cx="805180" cy="805180"/>
                          </a:xfrm>
                          <a:prstGeom prst="rect">
                            <a:avLst/>
                          </a:prstGeom>
                          <a:noFill/>
                          <a:ln>
                            <a:noFill/>
                          </a:ln>
                        </pic:spPr>
                      </pic:pic>
                    </a:graphicData>
                  </a:graphic>
                </wp:inline>
              </w:drawing>
            </w:r>
          </w:p>
        </w:tc>
        <w:tc>
          <w:tcPr>
            <w:tcW w:w="6521" w:type="dxa"/>
            <w:gridSpan w:val="2"/>
            <w:tcMar>
              <w:left w:w="142" w:type="dxa"/>
            </w:tcMar>
            <w:vAlign w:val="center"/>
          </w:tcPr>
          <w:p w14:paraId="670A4195" w14:textId="77777777" w:rsidR="00852B82" w:rsidRPr="00D43A7B" w:rsidRDefault="00691DAA" w:rsidP="002A4977">
            <w:pPr>
              <w:spacing w:before="0"/>
              <w:rPr>
                <w:rFonts w:cs="Times New Roman Bold"/>
                <w:b/>
                <w:bCs/>
                <w:smallCaps/>
                <w:sz w:val="26"/>
                <w:szCs w:val="26"/>
              </w:rPr>
            </w:pPr>
            <w:r w:rsidRPr="00D43A7B">
              <w:rPr>
                <w:rFonts w:cs="Times New Roman Bold"/>
                <w:b/>
                <w:bCs/>
                <w:smallCaps/>
                <w:sz w:val="36"/>
                <w:szCs w:val="36"/>
              </w:rPr>
              <w:t>International telecommunication union</w:t>
            </w:r>
          </w:p>
          <w:p w14:paraId="0F82CC65" w14:textId="77777777" w:rsidR="00852B82" w:rsidRPr="00D43A7B" w:rsidRDefault="00691DAA" w:rsidP="002A4977">
            <w:pPr>
              <w:spacing w:before="0"/>
              <w:rPr>
                <w:rFonts w:ascii="Verdana" w:hAnsi="Verdana"/>
                <w:color w:val="FFFFFF"/>
                <w:sz w:val="26"/>
                <w:szCs w:val="26"/>
              </w:rPr>
            </w:pPr>
            <w:r w:rsidRPr="00D43A7B">
              <w:rPr>
                <w:rFonts w:cs="Times New Roman Bold"/>
                <w:b/>
                <w:bCs/>
                <w:iCs/>
                <w:smallCaps/>
                <w:sz w:val="28"/>
                <w:szCs w:val="28"/>
              </w:rPr>
              <w:t>Telecommunication Standardization Bureau</w:t>
            </w:r>
          </w:p>
        </w:tc>
        <w:tc>
          <w:tcPr>
            <w:tcW w:w="1984" w:type="dxa"/>
            <w:vAlign w:val="center"/>
          </w:tcPr>
          <w:p w14:paraId="27E7FB4F" w14:textId="77777777" w:rsidR="00852B82" w:rsidRPr="00D43A7B" w:rsidRDefault="00852B82" w:rsidP="002A4977">
            <w:pPr>
              <w:spacing w:before="0"/>
              <w:jc w:val="right"/>
              <w:rPr>
                <w:rFonts w:ascii="Verdana" w:hAnsi="Verdana"/>
                <w:color w:val="FFFFFF"/>
                <w:sz w:val="26"/>
                <w:szCs w:val="26"/>
              </w:rPr>
            </w:pPr>
          </w:p>
        </w:tc>
      </w:tr>
      <w:tr w:rsidR="00852B82" w:rsidRPr="00D43A7B" w14:paraId="12A6F3F9" w14:textId="77777777" w:rsidTr="001F3BDD">
        <w:trPr>
          <w:trHeight w:val="80"/>
          <w:jc w:val="center"/>
        </w:trPr>
        <w:tc>
          <w:tcPr>
            <w:tcW w:w="4662" w:type="dxa"/>
            <w:gridSpan w:val="3"/>
            <w:vAlign w:val="center"/>
          </w:tcPr>
          <w:p w14:paraId="7B5EE64B" w14:textId="77777777" w:rsidR="00852B82" w:rsidRPr="00D43A7B" w:rsidRDefault="00852B82" w:rsidP="001F3BDD">
            <w:pPr>
              <w:pStyle w:val="Tabletext"/>
              <w:spacing w:after="60"/>
              <w:jc w:val="right"/>
              <w:rPr>
                <w:rFonts w:cs="Calibri"/>
                <w:sz w:val="22"/>
                <w:szCs w:val="22"/>
              </w:rPr>
            </w:pPr>
          </w:p>
        </w:tc>
        <w:tc>
          <w:tcPr>
            <w:tcW w:w="5119" w:type="dxa"/>
            <w:gridSpan w:val="2"/>
            <w:vAlign w:val="center"/>
          </w:tcPr>
          <w:p w14:paraId="02B5C72E" w14:textId="57F7898C" w:rsidR="00852B82" w:rsidRPr="00D43A7B" w:rsidRDefault="001F4132" w:rsidP="00067FDC">
            <w:pPr>
              <w:pStyle w:val="Tabletext"/>
              <w:spacing w:before="120" w:after="60"/>
              <w:rPr>
                <w:rFonts w:cs="Calibri"/>
                <w:sz w:val="22"/>
                <w:szCs w:val="22"/>
              </w:rPr>
            </w:pPr>
            <w:r w:rsidRPr="00D43A7B">
              <w:rPr>
                <w:sz w:val="22"/>
                <w:szCs w:val="22"/>
              </w:rPr>
              <w:t>Geneva</w:t>
            </w:r>
            <w:r w:rsidRPr="006763CA">
              <w:rPr>
                <w:sz w:val="22"/>
                <w:szCs w:val="22"/>
              </w:rPr>
              <w:t xml:space="preserve">, </w:t>
            </w:r>
            <w:bookmarkStart w:id="0" w:name="date_of_signature"/>
            <w:r w:rsidR="00F57B80" w:rsidRPr="006763CA">
              <w:rPr>
                <w:sz w:val="22"/>
                <w:szCs w:val="22"/>
              </w:rPr>
              <w:t>1</w:t>
            </w:r>
            <w:r w:rsidR="006763CA" w:rsidRPr="006763CA">
              <w:rPr>
                <w:sz w:val="22"/>
                <w:szCs w:val="22"/>
              </w:rPr>
              <w:t>3</w:t>
            </w:r>
            <w:r w:rsidRPr="006763CA">
              <w:rPr>
                <w:sz w:val="22"/>
                <w:szCs w:val="22"/>
              </w:rPr>
              <w:t xml:space="preserve"> </w:t>
            </w:r>
            <w:r w:rsidR="00F57B80" w:rsidRPr="006763CA">
              <w:rPr>
                <w:sz w:val="22"/>
                <w:szCs w:val="22"/>
              </w:rPr>
              <w:t>February</w:t>
            </w:r>
            <w:r w:rsidR="00F57B80" w:rsidRPr="00F57B80">
              <w:rPr>
                <w:sz w:val="22"/>
                <w:szCs w:val="22"/>
              </w:rPr>
              <w:t xml:space="preserve"> 2026</w:t>
            </w:r>
            <w:bookmarkEnd w:id="0"/>
          </w:p>
        </w:tc>
      </w:tr>
      <w:tr w:rsidR="00DF1EDE" w:rsidRPr="00D43A7B" w14:paraId="06A2FF2E" w14:textId="77777777" w:rsidTr="00DF1EDE">
        <w:trPr>
          <w:trHeight w:val="605"/>
          <w:jc w:val="center"/>
        </w:trPr>
        <w:tc>
          <w:tcPr>
            <w:tcW w:w="1134" w:type="dxa"/>
          </w:tcPr>
          <w:p w14:paraId="29EA5D25" w14:textId="77777777" w:rsidR="00DF1EDE" w:rsidRPr="00D43A7B" w:rsidRDefault="00DF1EDE" w:rsidP="002A4977">
            <w:pPr>
              <w:pStyle w:val="Tabletext"/>
              <w:rPr>
                <w:rFonts w:cs="Calibri"/>
                <w:sz w:val="22"/>
                <w:szCs w:val="22"/>
              </w:rPr>
            </w:pPr>
            <w:r w:rsidRPr="00D43A7B">
              <w:rPr>
                <w:rFonts w:cs="Calibri"/>
                <w:b/>
                <w:sz w:val="22"/>
                <w:szCs w:val="22"/>
              </w:rPr>
              <w:t>Ref:</w:t>
            </w:r>
          </w:p>
        </w:tc>
        <w:tc>
          <w:tcPr>
            <w:tcW w:w="3528" w:type="dxa"/>
            <w:gridSpan w:val="2"/>
          </w:tcPr>
          <w:p w14:paraId="1F041C13" w14:textId="77777777" w:rsidR="00DF1EDE" w:rsidRPr="00D43A7B" w:rsidRDefault="00DF1EDE" w:rsidP="00DF1EDE">
            <w:pPr>
              <w:pStyle w:val="Tabletext"/>
              <w:spacing w:before="0" w:after="0"/>
              <w:rPr>
                <w:rFonts w:cs="Calibri"/>
                <w:b/>
                <w:bCs/>
                <w:sz w:val="22"/>
                <w:szCs w:val="22"/>
              </w:rPr>
            </w:pPr>
            <w:r w:rsidRPr="00D43A7B">
              <w:rPr>
                <w:rFonts w:cs="Calibri"/>
                <w:b/>
                <w:bCs/>
                <w:sz w:val="22"/>
                <w:szCs w:val="22"/>
              </w:rPr>
              <w:t>TSB Circular 104</w:t>
            </w:r>
          </w:p>
          <w:p w14:paraId="7BB5D140" w14:textId="77777777" w:rsidR="00DF1EDE" w:rsidRPr="00D43A7B" w:rsidRDefault="00DF1EDE" w:rsidP="00DF1EDE">
            <w:pPr>
              <w:pStyle w:val="Tabletext"/>
              <w:spacing w:before="0" w:after="0"/>
              <w:rPr>
                <w:rFonts w:cs="Calibri"/>
                <w:sz w:val="22"/>
                <w:szCs w:val="22"/>
              </w:rPr>
            </w:pPr>
            <w:r w:rsidRPr="00D43A7B">
              <w:rPr>
                <w:rFonts w:cs="Calibri"/>
                <w:sz w:val="22"/>
                <w:szCs w:val="22"/>
              </w:rPr>
              <w:t>SG17/XY</w:t>
            </w:r>
          </w:p>
        </w:tc>
        <w:tc>
          <w:tcPr>
            <w:tcW w:w="5119" w:type="dxa"/>
            <w:gridSpan w:val="2"/>
            <w:vMerge w:val="restart"/>
          </w:tcPr>
          <w:p w14:paraId="092987FA" w14:textId="77777777" w:rsidR="00DF1EDE" w:rsidRPr="00D43A7B" w:rsidRDefault="00DF1EDE" w:rsidP="001F426F">
            <w:pPr>
              <w:pStyle w:val="Tabletext"/>
              <w:rPr>
                <w:rFonts w:cs="Calibri"/>
                <w:sz w:val="22"/>
                <w:szCs w:val="22"/>
              </w:rPr>
            </w:pPr>
            <w:r w:rsidRPr="00D43A7B">
              <w:rPr>
                <w:rFonts w:cs="Calibri"/>
                <w:b/>
                <w:sz w:val="22"/>
                <w:szCs w:val="22"/>
              </w:rPr>
              <w:t>To:</w:t>
            </w:r>
          </w:p>
          <w:p w14:paraId="195241E3" w14:textId="77777777" w:rsidR="00DF1EDE" w:rsidRPr="00D43A7B" w:rsidRDefault="00DF1EDE">
            <w:pPr>
              <w:pStyle w:val="Tabletext"/>
              <w:ind w:left="283" w:hanging="283"/>
            </w:pPr>
            <w:r w:rsidRPr="00D43A7B">
              <w:rPr>
                <w:sz w:val="22"/>
                <w:szCs w:val="18"/>
              </w:rPr>
              <w:t>-</w:t>
            </w:r>
            <w:r w:rsidRPr="00D43A7B">
              <w:rPr>
                <w:sz w:val="22"/>
                <w:szCs w:val="18"/>
              </w:rPr>
              <w:tab/>
              <w:t xml:space="preserve">Administrations of Member States of the </w:t>
            </w:r>
            <w:proofErr w:type="gramStart"/>
            <w:r w:rsidRPr="00D43A7B">
              <w:rPr>
                <w:sz w:val="22"/>
                <w:szCs w:val="18"/>
              </w:rPr>
              <w:t>Union;</w:t>
            </w:r>
            <w:proofErr w:type="gramEnd"/>
          </w:p>
          <w:p w14:paraId="3BDB6C7E" w14:textId="77777777" w:rsidR="00DF1EDE" w:rsidRPr="00D43A7B" w:rsidRDefault="00DF1EDE">
            <w:pPr>
              <w:pStyle w:val="Tabletext"/>
              <w:ind w:left="283" w:hanging="283"/>
            </w:pPr>
            <w:r w:rsidRPr="00D43A7B">
              <w:rPr>
                <w:sz w:val="22"/>
                <w:szCs w:val="18"/>
              </w:rPr>
              <w:t>-</w:t>
            </w:r>
            <w:r w:rsidRPr="00D43A7B">
              <w:rPr>
                <w:sz w:val="22"/>
                <w:szCs w:val="18"/>
              </w:rPr>
              <w:tab/>
              <w:t>The State of Palestine (Res. 99 (Rev. Dubai, 2018))</w:t>
            </w:r>
          </w:p>
          <w:p w14:paraId="6BDE0240" w14:textId="77777777" w:rsidR="00DF1EDE" w:rsidRPr="00D43A7B" w:rsidRDefault="00DF1EDE" w:rsidP="000657AC">
            <w:pPr>
              <w:pStyle w:val="Tabletext"/>
              <w:rPr>
                <w:rFonts w:cs="Calibri"/>
                <w:sz w:val="22"/>
                <w:szCs w:val="22"/>
              </w:rPr>
            </w:pPr>
            <w:r w:rsidRPr="00D43A7B">
              <w:rPr>
                <w:rFonts w:cs="Calibri"/>
                <w:b/>
                <w:sz w:val="22"/>
                <w:szCs w:val="22"/>
              </w:rPr>
              <w:t>Copy to:</w:t>
            </w:r>
          </w:p>
          <w:p w14:paraId="3F094158" w14:textId="77777777" w:rsidR="00DF1EDE" w:rsidRPr="00D43A7B" w:rsidRDefault="00DF1EDE">
            <w:pPr>
              <w:pStyle w:val="Tabletext"/>
              <w:ind w:left="283" w:hanging="283"/>
            </w:pPr>
            <w:r w:rsidRPr="00D43A7B">
              <w:rPr>
                <w:sz w:val="22"/>
                <w:szCs w:val="18"/>
              </w:rPr>
              <w:t>-</w:t>
            </w:r>
            <w:r w:rsidRPr="00D43A7B">
              <w:rPr>
                <w:sz w:val="22"/>
                <w:szCs w:val="18"/>
              </w:rPr>
              <w:tab/>
              <w:t xml:space="preserve">ITU-T Sector </w:t>
            </w:r>
            <w:proofErr w:type="gramStart"/>
            <w:r w:rsidRPr="00D43A7B">
              <w:rPr>
                <w:sz w:val="22"/>
                <w:szCs w:val="18"/>
              </w:rPr>
              <w:t>Members;</w:t>
            </w:r>
            <w:proofErr w:type="gramEnd"/>
          </w:p>
          <w:p w14:paraId="611C9C9E" w14:textId="77777777" w:rsidR="00DF1EDE" w:rsidRPr="00D43A7B" w:rsidRDefault="00DF1EDE">
            <w:pPr>
              <w:pStyle w:val="Tabletext"/>
              <w:ind w:left="283" w:hanging="283"/>
            </w:pPr>
            <w:r w:rsidRPr="00D43A7B">
              <w:rPr>
                <w:sz w:val="22"/>
                <w:szCs w:val="18"/>
              </w:rPr>
              <w:t>-</w:t>
            </w:r>
            <w:r w:rsidRPr="00D43A7B">
              <w:rPr>
                <w:sz w:val="22"/>
                <w:szCs w:val="18"/>
              </w:rPr>
              <w:tab/>
              <w:t xml:space="preserve">Associates of ITU-T </w:t>
            </w:r>
            <w:proofErr w:type="spellStart"/>
            <w:r w:rsidRPr="00D43A7B">
              <w:rPr>
                <w:sz w:val="22"/>
                <w:szCs w:val="18"/>
              </w:rPr>
              <w:t>ITU-T</w:t>
            </w:r>
            <w:proofErr w:type="spellEnd"/>
            <w:r w:rsidRPr="00D43A7B">
              <w:rPr>
                <w:sz w:val="22"/>
                <w:szCs w:val="18"/>
              </w:rPr>
              <w:t xml:space="preserve"> Study Group </w:t>
            </w:r>
            <w:proofErr w:type="gramStart"/>
            <w:r w:rsidRPr="00D43A7B">
              <w:rPr>
                <w:sz w:val="22"/>
                <w:szCs w:val="18"/>
              </w:rPr>
              <w:t>17;</w:t>
            </w:r>
            <w:proofErr w:type="gramEnd"/>
          </w:p>
          <w:p w14:paraId="21B13676" w14:textId="77777777" w:rsidR="00DF1EDE" w:rsidRPr="00D43A7B" w:rsidRDefault="00DF1EDE">
            <w:pPr>
              <w:pStyle w:val="Tabletext"/>
              <w:ind w:left="283" w:hanging="283"/>
            </w:pPr>
            <w:r w:rsidRPr="00D43A7B">
              <w:rPr>
                <w:sz w:val="22"/>
                <w:szCs w:val="18"/>
              </w:rPr>
              <w:t>-</w:t>
            </w:r>
            <w:r w:rsidRPr="00D43A7B">
              <w:rPr>
                <w:sz w:val="22"/>
                <w:szCs w:val="18"/>
              </w:rPr>
              <w:tab/>
              <w:t xml:space="preserve">ITU </w:t>
            </w:r>
            <w:proofErr w:type="gramStart"/>
            <w:r w:rsidRPr="00D43A7B">
              <w:rPr>
                <w:sz w:val="22"/>
                <w:szCs w:val="18"/>
              </w:rPr>
              <w:t>Academia;</w:t>
            </w:r>
            <w:proofErr w:type="gramEnd"/>
          </w:p>
          <w:p w14:paraId="26831746" w14:textId="77777777" w:rsidR="00DF1EDE" w:rsidRPr="00D43A7B" w:rsidRDefault="00DF1EDE">
            <w:pPr>
              <w:pStyle w:val="Tabletext"/>
              <w:ind w:left="283" w:hanging="283"/>
            </w:pPr>
            <w:r w:rsidRPr="00D43A7B">
              <w:rPr>
                <w:sz w:val="22"/>
                <w:szCs w:val="18"/>
              </w:rPr>
              <w:t>-</w:t>
            </w:r>
            <w:r w:rsidRPr="00D43A7B">
              <w:rPr>
                <w:sz w:val="22"/>
                <w:szCs w:val="18"/>
              </w:rPr>
              <w:tab/>
              <w:t xml:space="preserve">The Chair and Vice-Chairs of ITU-T Study Group </w:t>
            </w:r>
            <w:proofErr w:type="gramStart"/>
            <w:r w:rsidRPr="00D43A7B">
              <w:rPr>
                <w:sz w:val="22"/>
                <w:szCs w:val="18"/>
              </w:rPr>
              <w:t>17;</w:t>
            </w:r>
            <w:proofErr w:type="gramEnd"/>
          </w:p>
          <w:p w14:paraId="0E209A12" w14:textId="77777777" w:rsidR="00DF1EDE" w:rsidRPr="00D43A7B" w:rsidRDefault="00DF1EDE">
            <w:pPr>
              <w:pStyle w:val="Tabletext"/>
              <w:ind w:left="283" w:hanging="283"/>
            </w:pPr>
            <w:r w:rsidRPr="00D43A7B">
              <w:rPr>
                <w:sz w:val="22"/>
                <w:szCs w:val="18"/>
              </w:rPr>
              <w:t>-</w:t>
            </w:r>
            <w:r w:rsidRPr="00D43A7B">
              <w:rPr>
                <w:sz w:val="22"/>
                <w:szCs w:val="18"/>
              </w:rPr>
              <w:tab/>
              <w:t xml:space="preserve">The Director of the Telecommunication Development </w:t>
            </w:r>
            <w:proofErr w:type="gramStart"/>
            <w:r w:rsidRPr="00D43A7B">
              <w:rPr>
                <w:sz w:val="22"/>
                <w:szCs w:val="18"/>
              </w:rPr>
              <w:t>Bureau;</w:t>
            </w:r>
            <w:proofErr w:type="gramEnd"/>
          </w:p>
          <w:p w14:paraId="03B6608F" w14:textId="25750AA1" w:rsidR="00DF1EDE" w:rsidRPr="00DF1EDE" w:rsidRDefault="00DF1EDE" w:rsidP="00DF1EDE">
            <w:pPr>
              <w:pStyle w:val="Tabletext"/>
              <w:spacing w:before="0" w:after="120"/>
              <w:ind w:left="284" w:hanging="284"/>
              <w:rPr>
                <w:sz w:val="22"/>
                <w:szCs w:val="18"/>
              </w:rPr>
            </w:pPr>
            <w:r w:rsidRPr="00D43A7B">
              <w:rPr>
                <w:sz w:val="22"/>
                <w:szCs w:val="18"/>
              </w:rPr>
              <w:t>-</w:t>
            </w:r>
            <w:r w:rsidRPr="00D43A7B">
              <w:rPr>
                <w:sz w:val="22"/>
                <w:szCs w:val="18"/>
              </w:rPr>
              <w:tab/>
              <w:t>The Director of the Radiocommunication Bureau</w:t>
            </w:r>
          </w:p>
        </w:tc>
      </w:tr>
      <w:tr w:rsidR="00DF1EDE" w:rsidRPr="00D43A7B" w14:paraId="7642169D" w14:textId="77777777" w:rsidTr="001F3BDD">
        <w:trPr>
          <w:trHeight w:val="221"/>
          <w:jc w:val="center"/>
        </w:trPr>
        <w:tc>
          <w:tcPr>
            <w:tcW w:w="1134" w:type="dxa"/>
          </w:tcPr>
          <w:p w14:paraId="36244826" w14:textId="77777777" w:rsidR="00DF1EDE" w:rsidRPr="00D43A7B" w:rsidRDefault="00DF1EDE" w:rsidP="002A4977">
            <w:pPr>
              <w:pStyle w:val="Tabletext"/>
              <w:rPr>
                <w:rFonts w:cs="Calibri"/>
                <w:sz w:val="22"/>
                <w:szCs w:val="22"/>
              </w:rPr>
            </w:pPr>
            <w:r w:rsidRPr="00D43A7B">
              <w:rPr>
                <w:rFonts w:cs="Calibri"/>
                <w:b/>
                <w:sz w:val="22"/>
                <w:szCs w:val="22"/>
              </w:rPr>
              <w:t>Tel:</w:t>
            </w:r>
          </w:p>
        </w:tc>
        <w:tc>
          <w:tcPr>
            <w:tcW w:w="3528" w:type="dxa"/>
            <w:gridSpan w:val="2"/>
          </w:tcPr>
          <w:p w14:paraId="28F0BBBD" w14:textId="77777777" w:rsidR="00DF1EDE" w:rsidRPr="00D43A7B" w:rsidRDefault="00DF1EDE" w:rsidP="00DF1EDE">
            <w:pPr>
              <w:pStyle w:val="Tabletext"/>
              <w:spacing w:before="0" w:after="0"/>
              <w:rPr>
                <w:rFonts w:cs="Calibri"/>
                <w:b/>
                <w:sz w:val="22"/>
                <w:szCs w:val="22"/>
              </w:rPr>
            </w:pPr>
            <w:r w:rsidRPr="00D43A7B">
              <w:rPr>
                <w:rFonts w:cs="Calibri"/>
                <w:sz w:val="22"/>
                <w:szCs w:val="22"/>
              </w:rPr>
              <w:t>+41 22 730 6206</w:t>
            </w:r>
          </w:p>
        </w:tc>
        <w:tc>
          <w:tcPr>
            <w:tcW w:w="5119" w:type="dxa"/>
            <w:gridSpan w:val="2"/>
            <w:vMerge/>
          </w:tcPr>
          <w:p w14:paraId="365F04A6" w14:textId="3E32BF23" w:rsidR="00DF1EDE" w:rsidRPr="00D43A7B" w:rsidRDefault="00DF1EDE" w:rsidP="00B2592E">
            <w:pPr>
              <w:pStyle w:val="Tabletext"/>
              <w:ind w:left="283" w:hanging="283"/>
              <w:rPr>
                <w:rFonts w:cs="Calibri"/>
                <w:sz w:val="22"/>
                <w:szCs w:val="22"/>
              </w:rPr>
            </w:pPr>
          </w:p>
        </w:tc>
      </w:tr>
      <w:tr w:rsidR="00DF1EDE" w:rsidRPr="00D43A7B" w14:paraId="7AC4B430" w14:textId="77777777" w:rsidTr="001F3BDD">
        <w:trPr>
          <w:trHeight w:val="282"/>
          <w:jc w:val="center"/>
        </w:trPr>
        <w:tc>
          <w:tcPr>
            <w:tcW w:w="1134" w:type="dxa"/>
          </w:tcPr>
          <w:p w14:paraId="606A7BB8" w14:textId="77777777" w:rsidR="00DF1EDE" w:rsidRPr="00D43A7B" w:rsidRDefault="00DF1EDE" w:rsidP="002A4977">
            <w:pPr>
              <w:pStyle w:val="Tabletext"/>
              <w:rPr>
                <w:rFonts w:cs="Calibri"/>
                <w:sz w:val="22"/>
                <w:szCs w:val="22"/>
              </w:rPr>
            </w:pPr>
            <w:r w:rsidRPr="00D43A7B">
              <w:rPr>
                <w:rFonts w:cs="Calibri"/>
                <w:b/>
                <w:sz w:val="22"/>
                <w:szCs w:val="22"/>
              </w:rPr>
              <w:t>Fax:</w:t>
            </w:r>
          </w:p>
        </w:tc>
        <w:tc>
          <w:tcPr>
            <w:tcW w:w="3528" w:type="dxa"/>
            <w:gridSpan w:val="2"/>
          </w:tcPr>
          <w:p w14:paraId="70193741" w14:textId="77777777" w:rsidR="00DF1EDE" w:rsidRPr="00D43A7B" w:rsidRDefault="00DF1EDE" w:rsidP="002A4977">
            <w:pPr>
              <w:pStyle w:val="Tabletext"/>
              <w:rPr>
                <w:rFonts w:cs="Calibri"/>
                <w:b/>
                <w:sz w:val="22"/>
                <w:szCs w:val="22"/>
              </w:rPr>
            </w:pPr>
            <w:r w:rsidRPr="00D43A7B">
              <w:rPr>
                <w:rFonts w:cs="Calibri"/>
                <w:sz w:val="22"/>
                <w:szCs w:val="22"/>
              </w:rPr>
              <w:t>+41 22 730 5853</w:t>
            </w:r>
          </w:p>
        </w:tc>
        <w:tc>
          <w:tcPr>
            <w:tcW w:w="5119" w:type="dxa"/>
            <w:gridSpan w:val="2"/>
            <w:vMerge/>
          </w:tcPr>
          <w:p w14:paraId="1269AAA8" w14:textId="37F1F0A4" w:rsidR="00DF1EDE" w:rsidRPr="00D43A7B" w:rsidRDefault="00DF1EDE" w:rsidP="00B2592E">
            <w:pPr>
              <w:pStyle w:val="Tabletext"/>
              <w:ind w:left="283" w:hanging="283"/>
              <w:rPr>
                <w:rFonts w:cs="Calibri"/>
                <w:sz w:val="22"/>
                <w:szCs w:val="22"/>
              </w:rPr>
            </w:pPr>
          </w:p>
        </w:tc>
      </w:tr>
      <w:tr w:rsidR="00DF1EDE" w:rsidRPr="00D43A7B" w14:paraId="5377DE00" w14:textId="77777777" w:rsidTr="001F3BDD">
        <w:trPr>
          <w:trHeight w:val="1652"/>
          <w:jc w:val="center"/>
        </w:trPr>
        <w:tc>
          <w:tcPr>
            <w:tcW w:w="1134" w:type="dxa"/>
          </w:tcPr>
          <w:p w14:paraId="67418860" w14:textId="77777777" w:rsidR="00DF1EDE" w:rsidRPr="00D43A7B" w:rsidRDefault="00DF1EDE" w:rsidP="002A4977">
            <w:pPr>
              <w:pStyle w:val="Tabletext"/>
              <w:rPr>
                <w:rFonts w:cs="Calibri"/>
                <w:sz w:val="22"/>
                <w:szCs w:val="22"/>
              </w:rPr>
            </w:pPr>
            <w:r w:rsidRPr="00D43A7B">
              <w:rPr>
                <w:rFonts w:cs="Calibri"/>
                <w:b/>
                <w:sz w:val="22"/>
                <w:szCs w:val="22"/>
              </w:rPr>
              <w:t>E-mail:</w:t>
            </w:r>
          </w:p>
        </w:tc>
        <w:tc>
          <w:tcPr>
            <w:tcW w:w="3528" w:type="dxa"/>
            <w:gridSpan w:val="2"/>
          </w:tcPr>
          <w:p w14:paraId="5819BD4A" w14:textId="77777777" w:rsidR="00DF1EDE" w:rsidRPr="00D43A7B" w:rsidRDefault="00DF1EDE" w:rsidP="002A4977">
            <w:pPr>
              <w:pStyle w:val="Tabletext"/>
              <w:rPr>
                <w:rFonts w:cs="Calibri"/>
                <w:sz w:val="22"/>
                <w:szCs w:val="22"/>
              </w:rPr>
            </w:pPr>
            <w:hyperlink r:id="rId8" w:history="1">
              <w:r w:rsidRPr="00D43A7B">
                <w:rPr>
                  <w:rStyle w:val="Hyperlink"/>
                  <w:sz w:val="22"/>
                  <w:szCs w:val="22"/>
                </w:rPr>
                <w:t>tsbsg17@itu.int</w:t>
              </w:r>
            </w:hyperlink>
          </w:p>
        </w:tc>
        <w:tc>
          <w:tcPr>
            <w:tcW w:w="5119" w:type="dxa"/>
            <w:gridSpan w:val="2"/>
            <w:vMerge/>
          </w:tcPr>
          <w:p w14:paraId="5B186F6F" w14:textId="18FF439C" w:rsidR="00DF1EDE" w:rsidRPr="00D43A7B" w:rsidRDefault="00DF1EDE">
            <w:pPr>
              <w:pStyle w:val="Tabletext"/>
              <w:ind w:left="283" w:hanging="283"/>
            </w:pPr>
          </w:p>
        </w:tc>
      </w:tr>
      <w:tr w:rsidR="00852B82" w:rsidRPr="00D43A7B" w14:paraId="56011F91" w14:textId="77777777" w:rsidTr="004B50B2">
        <w:trPr>
          <w:trHeight w:val="618"/>
          <w:jc w:val="center"/>
        </w:trPr>
        <w:tc>
          <w:tcPr>
            <w:tcW w:w="1134" w:type="dxa"/>
          </w:tcPr>
          <w:p w14:paraId="388C7653" w14:textId="77777777" w:rsidR="00852B82" w:rsidRPr="00D43A7B" w:rsidRDefault="00691DAA" w:rsidP="002A4977">
            <w:pPr>
              <w:pStyle w:val="Tabletext"/>
              <w:rPr>
                <w:rFonts w:cs="Calibri"/>
                <w:sz w:val="22"/>
                <w:szCs w:val="22"/>
              </w:rPr>
            </w:pPr>
            <w:r w:rsidRPr="00D43A7B">
              <w:rPr>
                <w:rFonts w:cs="Calibri"/>
                <w:b/>
                <w:sz w:val="22"/>
                <w:szCs w:val="22"/>
              </w:rPr>
              <w:t>Subject:</w:t>
            </w:r>
          </w:p>
        </w:tc>
        <w:tc>
          <w:tcPr>
            <w:tcW w:w="8647" w:type="dxa"/>
            <w:gridSpan w:val="4"/>
          </w:tcPr>
          <w:p w14:paraId="7FA41D33" w14:textId="145AE9E8" w:rsidR="00852B82" w:rsidRPr="00D43A7B" w:rsidRDefault="000657AC" w:rsidP="00D62CEF">
            <w:pPr>
              <w:pStyle w:val="Tabletext"/>
              <w:rPr>
                <w:rFonts w:cs="Calibri"/>
                <w:sz w:val="22"/>
                <w:szCs w:val="22"/>
              </w:rPr>
            </w:pPr>
            <w:r w:rsidRPr="00D43A7B">
              <w:rPr>
                <w:rFonts w:cs="Calibri"/>
                <w:b/>
                <w:sz w:val="22"/>
                <w:szCs w:val="22"/>
              </w:rPr>
              <w:t xml:space="preserve">Member State consultation on </w:t>
            </w:r>
            <w:r w:rsidR="00D92E49">
              <w:rPr>
                <w:rFonts w:cs="Calibri"/>
                <w:b/>
                <w:sz w:val="22"/>
                <w:szCs w:val="22"/>
              </w:rPr>
              <w:t>d</w:t>
            </w:r>
            <w:r w:rsidR="00574690" w:rsidRPr="00574690">
              <w:rPr>
                <w:rFonts w:cs="Calibri"/>
                <w:b/>
                <w:sz w:val="22"/>
                <w:szCs w:val="22"/>
              </w:rPr>
              <w:t xml:space="preserve">etermined </w:t>
            </w:r>
            <w:r w:rsidR="00D92E49">
              <w:rPr>
                <w:rFonts w:cs="Calibri"/>
                <w:b/>
                <w:sz w:val="22"/>
                <w:szCs w:val="22"/>
              </w:rPr>
              <w:t xml:space="preserve">draft </w:t>
            </w:r>
            <w:r w:rsidR="00574690" w:rsidRPr="00574690">
              <w:rPr>
                <w:rFonts w:cs="Calibri"/>
                <w:b/>
                <w:sz w:val="22"/>
                <w:szCs w:val="22"/>
              </w:rPr>
              <w:t xml:space="preserve">revised Recommendation ITU-T X.1280 and draft new Recommendations X.1286 (ex </w:t>
            </w:r>
            <w:proofErr w:type="spellStart"/>
            <w:r w:rsidR="00574690" w:rsidRPr="00574690">
              <w:rPr>
                <w:rFonts w:cs="Calibri"/>
                <w:b/>
                <w:sz w:val="22"/>
                <w:szCs w:val="22"/>
              </w:rPr>
              <w:t>X.accsadlt</w:t>
            </w:r>
            <w:proofErr w:type="spellEnd"/>
            <w:r w:rsidR="00574690" w:rsidRPr="00574690">
              <w:rPr>
                <w:rFonts w:cs="Calibri"/>
                <w:b/>
                <w:sz w:val="22"/>
                <w:szCs w:val="22"/>
              </w:rPr>
              <w:t>), X.1821 (ex X.5Gsec-asra), X.1350</w:t>
            </w:r>
            <w:r w:rsidR="00DF1EDE">
              <w:rPr>
                <w:rFonts w:cs="Calibri"/>
                <w:b/>
                <w:sz w:val="22"/>
                <w:szCs w:val="22"/>
              </w:rPr>
              <w:br/>
            </w:r>
            <w:r w:rsidR="00574690" w:rsidRPr="00574690">
              <w:rPr>
                <w:rFonts w:cs="Calibri"/>
                <w:b/>
                <w:sz w:val="22"/>
                <w:szCs w:val="22"/>
              </w:rPr>
              <w:t>(ex X.sr-</w:t>
            </w:r>
            <w:proofErr w:type="spellStart"/>
            <w:r w:rsidR="00574690" w:rsidRPr="00574690">
              <w:rPr>
                <w:rFonts w:cs="Calibri"/>
                <w:b/>
                <w:sz w:val="22"/>
                <w:szCs w:val="22"/>
              </w:rPr>
              <w:t>iiot</w:t>
            </w:r>
            <w:proofErr w:type="spellEnd"/>
            <w:r w:rsidR="00574690" w:rsidRPr="00574690">
              <w:rPr>
                <w:rFonts w:cs="Calibri"/>
                <w:b/>
                <w:sz w:val="22"/>
                <w:szCs w:val="22"/>
              </w:rPr>
              <w:t>), X.2105 (ex X.st-</w:t>
            </w:r>
            <w:proofErr w:type="spellStart"/>
            <w:r w:rsidR="00574690" w:rsidRPr="00574690">
              <w:rPr>
                <w:rFonts w:cs="Calibri"/>
                <w:b/>
                <w:sz w:val="22"/>
                <w:szCs w:val="22"/>
              </w:rPr>
              <w:t>ssc</w:t>
            </w:r>
            <w:proofErr w:type="spellEnd"/>
            <w:r w:rsidR="00574690" w:rsidRPr="00574690">
              <w:rPr>
                <w:rFonts w:cs="Calibri"/>
                <w:b/>
                <w:sz w:val="22"/>
                <w:szCs w:val="22"/>
              </w:rPr>
              <w:t xml:space="preserve">), X.2210 (ex </w:t>
            </w:r>
            <w:proofErr w:type="spellStart"/>
            <w:r w:rsidR="00574690" w:rsidRPr="00574690">
              <w:rPr>
                <w:rFonts w:cs="Calibri"/>
                <w:b/>
                <w:sz w:val="22"/>
                <w:szCs w:val="22"/>
              </w:rPr>
              <w:t>X.ig-dw</w:t>
            </w:r>
            <w:proofErr w:type="spellEnd"/>
            <w:r w:rsidR="00574690" w:rsidRPr="00574690">
              <w:rPr>
                <w:rFonts w:cs="Calibri"/>
                <w:b/>
                <w:sz w:val="22"/>
                <w:szCs w:val="22"/>
              </w:rPr>
              <w:t>), X.1910 (ex X.tc-</w:t>
            </w:r>
            <w:proofErr w:type="spellStart"/>
            <w:r w:rsidR="00574690" w:rsidRPr="00574690">
              <w:rPr>
                <w:rFonts w:cs="Calibri"/>
                <w:b/>
                <w:sz w:val="22"/>
                <w:szCs w:val="22"/>
              </w:rPr>
              <w:t>ifd</w:t>
            </w:r>
            <w:proofErr w:type="spellEnd"/>
            <w:r w:rsidR="00574690" w:rsidRPr="00574690">
              <w:rPr>
                <w:rFonts w:cs="Calibri"/>
                <w:b/>
                <w:sz w:val="22"/>
                <w:szCs w:val="22"/>
              </w:rPr>
              <w:t xml:space="preserve">), X.1651 </w:t>
            </w:r>
            <w:r w:rsidR="00DF1EDE">
              <w:rPr>
                <w:rFonts w:cs="Calibri"/>
                <w:b/>
                <w:sz w:val="22"/>
                <w:szCs w:val="22"/>
              </w:rPr>
              <w:br/>
            </w:r>
            <w:r w:rsidR="00574690" w:rsidRPr="00574690">
              <w:rPr>
                <w:rFonts w:cs="Calibri"/>
                <w:b/>
                <w:sz w:val="22"/>
                <w:szCs w:val="22"/>
              </w:rPr>
              <w:t xml:space="preserve">(ex </w:t>
            </w:r>
            <w:proofErr w:type="spellStart"/>
            <w:r w:rsidR="00574690" w:rsidRPr="00574690">
              <w:rPr>
                <w:rFonts w:cs="Calibri"/>
                <w:b/>
                <w:sz w:val="22"/>
                <w:szCs w:val="22"/>
              </w:rPr>
              <w:t>X.soar</w:t>
            </w:r>
            <w:proofErr w:type="spellEnd"/>
            <w:r w:rsidR="00574690" w:rsidRPr="00574690">
              <w:rPr>
                <w:rFonts w:cs="Calibri"/>
                <w:b/>
                <w:sz w:val="22"/>
                <w:szCs w:val="22"/>
              </w:rPr>
              <w:t>-cc), X.1607 (ex X.asm-cc), X.1418 (ex X.sg-</w:t>
            </w:r>
            <w:proofErr w:type="spellStart"/>
            <w:r w:rsidR="00574690" w:rsidRPr="00574690">
              <w:rPr>
                <w:rFonts w:cs="Calibri"/>
                <w:b/>
                <w:sz w:val="22"/>
                <w:szCs w:val="22"/>
              </w:rPr>
              <w:t>dcs</w:t>
            </w:r>
            <w:proofErr w:type="spellEnd"/>
            <w:r w:rsidR="00574690" w:rsidRPr="00574690">
              <w:rPr>
                <w:rFonts w:cs="Calibri"/>
                <w:b/>
                <w:sz w:val="22"/>
                <w:szCs w:val="22"/>
              </w:rPr>
              <w:t>) and X.1417 (ex X.sr-</w:t>
            </w:r>
            <w:proofErr w:type="spellStart"/>
            <w:r w:rsidR="00574690" w:rsidRPr="00574690">
              <w:rPr>
                <w:rFonts w:cs="Calibri"/>
                <w:b/>
                <w:sz w:val="22"/>
                <w:szCs w:val="22"/>
              </w:rPr>
              <w:t>dpts</w:t>
            </w:r>
            <w:proofErr w:type="spellEnd"/>
            <w:r w:rsidR="00574690" w:rsidRPr="00574690">
              <w:rPr>
                <w:rFonts w:cs="Calibri"/>
                <w:b/>
                <w:sz w:val="22"/>
                <w:szCs w:val="22"/>
              </w:rPr>
              <w:t>)</w:t>
            </w:r>
            <w:r w:rsidR="00211B70" w:rsidRPr="00D43A7B">
              <w:rPr>
                <w:rFonts w:cs="Calibri"/>
                <w:b/>
                <w:sz w:val="22"/>
                <w:szCs w:val="22"/>
              </w:rPr>
              <w:t xml:space="preserve">, </w:t>
            </w:r>
            <w:r w:rsidRPr="00D43A7B">
              <w:rPr>
                <w:rFonts w:cs="Calibri"/>
                <w:b/>
                <w:sz w:val="22"/>
                <w:szCs w:val="22"/>
              </w:rPr>
              <w:t>proposed for approval at the ITU-T Study Group 17 meeting (</w:t>
            </w:r>
            <w:r w:rsidR="00D43A7B" w:rsidRPr="00D43A7B">
              <w:rPr>
                <w:rFonts w:cs="Calibri" w:hint="eastAsia"/>
                <w:b/>
                <w:sz w:val="22"/>
                <w:szCs w:val="22"/>
                <w:lang w:eastAsia="zh-CN"/>
              </w:rPr>
              <w:t>Geneva</w:t>
            </w:r>
            <w:r w:rsidRPr="00D43A7B">
              <w:rPr>
                <w:rFonts w:cs="Calibri"/>
                <w:b/>
                <w:sz w:val="22"/>
                <w:szCs w:val="22"/>
              </w:rPr>
              <w:t xml:space="preserve">, </w:t>
            </w:r>
            <w:r w:rsidR="00D43A7B" w:rsidRPr="00D43A7B">
              <w:rPr>
                <w:rFonts w:cs="Calibri" w:hint="eastAsia"/>
                <w:b/>
                <w:sz w:val="22"/>
                <w:szCs w:val="22"/>
                <w:lang w:eastAsia="zh-CN"/>
              </w:rPr>
              <w:t>1-10 June</w:t>
            </w:r>
            <w:r w:rsidRPr="00D43A7B">
              <w:rPr>
                <w:rFonts w:cs="Calibri"/>
                <w:b/>
                <w:sz w:val="22"/>
                <w:szCs w:val="22"/>
              </w:rPr>
              <w:t xml:space="preserve"> 2026)</w:t>
            </w:r>
          </w:p>
        </w:tc>
      </w:tr>
    </w:tbl>
    <w:p w14:paraId="0424E934" w14:textId="77777777" w:rsidR="00852B82" w:rsidRPr="00D43A7B" w:rsidRDefault="00691DAA" w:rsidP="00DF1EDE">
      <w:pPr>
        <w:spacing w:after="120"/>
        <w:rPr>
          <w:rFonts w:cs="Calibri"/>
          <w:sz w:val="22"/>
          <w:szCs w:val="22"/>
        </w:rPr>
      </w:pPr>
      <w:r w:rsidRPr="00D43A7B">
        <w:rPr>
          <w:rFonts w:cs="Calibri"/>
          <w:sz w:val="22"/>
          <w:szCs w:val="22"/>
        </w:rPr>
        <w:t>Dear Sir/Madam,</w:t>
      </w:r>
    </w:p>
    <w:p w14:paraId="1713161B" w14:textId="55B9050B" w:rsidR="00E32F10" w:rsidRPr="00D43A7B" w:rsidRDefault="00691DAA" w:rsidP="00DF1EDE">
      <w:pPr>
        <w:spacing w:before="0" w:after="120"/>
        <w:rPr>
          <w:rFonts w:cs="Calibri"/>
          <w:sz w:val="22"/>
          <w:szCs w:val="22"/>
        </w:rPr>
      </w:pPr>
      <w:r w:rsidRPr="00D43A7B">
        <w:rPr>
          <w:rFonts w:cs="Calibri"/>
          <w:bCs/>
          <w:sz w:val="22"/>
          <w:szCs w:val="22"/>
        </w:rPr>
        <w:t>1</w:t>
      </w:r>
      <w:r w:rsidRPr="00D43A7B">
        <w:rPr>
          <w:rFonts w:cs="Calibri"/>
          <w:sz w:val="22"/>
          <w:szCs w:val="22"/>
        </w:rPr>
        <w:tab/>
      </w:r>
      <w:r w:rsidR="000657AC" w:rsidRPr="00D43A7B">
        <w:rPr>
          <w:rFonts w:cs="Calibri"/>
          <w:sz w:val="22"/>
          <w:szCs w:val="22"/>
        </w:rPr>
        <w:t>ITU-T Study Group 17</w:t>
      </w:r>
      <w:r w:rsidR="00C007D7" w:rsidRPr="00D43A7B">
        <w:rPr>
          <w:rFonts w:cs="Calibri"/>
          <w:sz w:val="22"/>
          <w:szCs w:val="22"/>
        </w:rPr>
        <w:t xml:space="preserve"> (</w:t>
      </w:r>
      <w:r w:rsidR="000657AC" w:rsidRPr="00D43A7B">
        <w:rPr>
          <w:rFonts w:cs="Calibri"/>
          <w:sz w:val="22"/>
          <w:szCs w:val="22"/>
        </w:rPr>
        <w:t>Security</w:t>
      </w:r>
      <w:r w:rsidR="00C007D7" w:rsidRPr="00D43A7B">
        <w:rPr>
          <w:rFonts w:cs="Calibri"/>
          <w:sz w:val="22"/>
          <w:szCs w:val="22"/>
        </w:rPr>
        <w:t xml:space="preserve">) </w:t>
      </w:r>
      <w:r w:rsidRPr="00D43A7B">
        <w:rPr>
          <w:rFonts w:cs="Calibri"/>
          <w:sz w:val="22"/>
          <w:szCs w:val="22"/>
        </w:rPr>
        <w:t>intends to apply the</w:t>
      </w:r>
      <w:r w:rsidR="0016049B" w:rsidRPr="00D43A7B">
        <w:rPr>
          <w:rFonts w:cs="Calibri"/>
          <w:sz w:val="22"/>
          <w:szCs w:val="22"/>
        </w:rPr>
        <w:t xml:space="preserve"> Traditional Approval P</w:t>
      </w:r>
      <w:r w:rsidRPr="00D43A7B">
        <w:rPr>
          <w:rFonts w:cs="Calibri"/>
          <w:sz w:val="22"/>
          <w:szCs w:val="22"/>
        </w:rPr>
        <w:t xml:space="preserve">rocedure </w:t>
      </w:r>
      <w:r w:rsidR="0006765F" w:rsidRPr="00D43A7B">
        <w:rPr>
          <w:rFonts w:cs="Calibri"/>
          <w:sz w:val="22"/>
          <w:szCs w:val="22"/>
        </w:rPr>
        <w:t xml:space="preserve">as </w:t>
      </w:r>
      <w:r w:rsidRPr="00D43A7B">
        <w:rPr>
          <w:rFonts w:cs="Calibri"/>
          <w:sz w:val="22"/>
          <w:szCs w:val="22"/>
        </w:rPr>
        <w:t xml:space="preserve">described in </w:t>
      </w:r>
      <w:r w:rsidR="00B45C37" w:rsidRPr="00D43A7B">
        <w:rPr>
          <w:rFonts w:cs="Calibri"/>
          <w:sz w:val="22"/>
          <w:szCs w:val="22"/>
        </w:rPr>
        <w:t>Section</w:t>
      </w:r>
      <w:r w:rsidR="00C51F4B" w:rsidRPr="00D43A7B">
        <w:rPr>
          <w:rFonts w:cs="Calibri"/>
          <w:sz w:val="22"/>
          <w:szCs w:val="22"/>
        </w:rPr>
        <w:t xml:space="preserve"> 9 of </w:t>
      </w:r>
      <w:hyperlink r:id="rId9" w:history="1">
        <w:r w:rsidR="00C51F4B" w:rsidRPr="00D43A7B">
          <w:rPr>
            <w:rStyle w:val="Hyperlink"/>
            <w:rFonts w:cs="Calibri"/>
            <w:sz w:val="22"/>
            <w:szCs w:val="22"/>
          </w:rPr>
          <w:t xml:space="preserve">WTSA </w:t>
        </w:r>
        <w:r w:rsidRPr="00D43A7B">
          <w:rPr>
            <w:rStyle w:val="Hyperlink"/>
            <w:rFonts w:cs="Calibri"/>
            <w:sz w:val="22"/>
            <w:szCs w:val="22"/>
          </w:rPr>
          <w:t>Resolution</w:t>
        </w:r>
        <w:r w:rsidR="00DF1EDE">
          <w:rPr>
            <w:rStyle w:val="Hyperlink"/>
            <w:rFonts w:cs="Calibri"/>
            <w:sz w:val="22"/>
            <w:szCs w:val="22"/>
          </w:rPr>
          <w:t xml:space="preserve"> </w:t>
        </w:r>
        <w:r w:rsidRPr="00D43A7B">
          <w:rPr>
            <w:rStyle w:val="Hyperlink"/>
            <w:rFonts w:cs="Calibri"/>
            <w:sz w:val="22"/>
            <w:szCs w:val="22"/>
          </w:rPr>
          <w:t>1 (</w:t>
        </w:r>
        <w:r w:rsidR="00A4376F" w:rsidRPr="00D43A7B">
          <w:rPr>
            <w:rStyle w:val="Hyperlink"/>
            <w:rFonts w:cs="Calibri"/>
            <w:sz w:val="22"/>
            <w:szCs w:val="22"/>
          </w:rPr>
          <w:t xml:space="preserve">Rev. </w:t>
        </w:r>
        <w:r w:rsidR="009B63C8" w:rsidRPr="00D43A7B">
          <w:rPr>
            <w:rStyle w:val="Hyperlink"/>
            <w:rFonts w:cs="Calibri"/>
            <w:sz w:val="22"/>
            <w:szCs w:val="22"/>
          </w:rPr>
          <w:t>Geneva, 2022</w:t>
        </w:r>
        <w:r w:rsidRPr="00D43A7B">
          <w:rPr>
            <w:rStyle w:val="Hyperlink"/>
            <w:rFonts w:cs="Calibri"/>
            <w:sz w:val="22"/>
            <w:szCs w:val="22"/>
          </w:rPr>
          <w:t>)</w:t>
        </w:r>
      </w:hyperlink>
      <w:r w:rsidRPr="00D43A7B">
        <w:rPr>
          <w:rFonts w:cs="Calibri"/>
          <w:sz w:val="22"/>
          <w:szCs w:val="22"/>
        </w:rPr>
        <w:t xml:space="preserve"> for the approval of the above-mentioned draft Recommendations at its next meeting in </w:t>
      </w:r>
      <w:r w:rsidR="00211B70" w:rsidRPr="00D43A7B">
        <w:rPr>
          <w:rFonts w:cs="Calibri"/>
          <w:sz w:val="22"/>
          <w:szCs w:val="22"/>
        </w:rPr>
        <w:t>m</w:t>
      </w:r>
      <w:r w:rsidR="000657AC" w:rsidRPr="00D43A7B">
        <w:rPr>
          <w:rFonts w:cs="Calibri"/>
          <w:sz w:val="22"/>
          <w:szCs w:val="22"/>
        </w:rPr>
        <w:t>eeting</w:t>
      </w:r>
      <w:r w:rsidR="00F372CF">
        <w:rPr>
          <w:rFonts w:cs="Calibri"/>
          <w:sz w:val="22"/>
          <w:szCs w:val="22"/>
        </w:rPr>
        <w:t xml:space="preserve"> in </w:t>
      </w:r>
      <w:r w:rsidR="00F372CF" w:rsidRPr="00F372CF">
        <w:rPr>
          <w:rFonts w:cs="Calibri"/>
          <w:sz w:val="22"/>
          <w:szCs w:val="22"/>
        </w:rPr>
        <w:t>Geneva</w:t>
      </w:r>
      <w:r w:rsidR="000657AC" w:rsidRPr="00D43A7B">
        <w:rPr>
          <w:rFonts w:cs="Calibri"/>
          <w:sz w:val="22"/>
          <w:szCs w:val="22"/>
        </w:rPr>
        <w:t xml:space="preserve">, from </w:t>
      </w:r>
      <w:r w:rsidR="00211B70" w:rsidRPr="00D92E49">
        <w:rPr>
          <w:rFonts w:cs="Calibri"/>
          <w:sz w:val="22"/>
          <w:szCs w:val="22"/>
        </w:rPr>
        <w:t>1</w:t>
      </w:r>
      <w:r w:rsidR="000657AC" w:rsidRPr="00D92E49">
        <w:rPr>
          <w:rFonts w:cs="Calibri"/>
          <w:sz w:val="22"/>
          <w:szCs w:val="22"/>
        </w:rPr>
        <w:t xml:space="preserve"> to </w:t>
      </w:r>
      <w:r w:rsidR="00211B70" w:rsidRPr="00D92E49">
        <w:rPr>
          <w:rFonts w:cs="Calibri"/>
          <w:sz w:val="22"/>
          <w:szCs w:val="22"/>
        </w:rPr>
        <w:t>10 June</w:t>
      </w:r>
      <w:r w:rsidR="000657AC" w:rsidRPr="00D92E49">
        <w:rPr>
          <w:rFonts w:cs="Calibri"/>
          <w:sz w:val="22"/>
          <w:szCs w:val="22"/>
        </w:rPr>
        <w:t xml:space="preserve"> 2026</w:t>
      </w:r>
      <w:r w:rsidR="00733B5C" w:rsidRPr="00D43A7B">
        <w:rPr>
          <w:rFonts w:cs="Calibri"/>
          <w:sz w:val="22"/>
          <w:szCs w:val="22"/>
        </w:rPr>
        <w:t xml:space="preserve">. The </w:t>
      </w:r>
      <w:r w:rsidR="00F372CF">
        <w:rPr>
          <w:rFonts w:cs="Calibri"/>
          <w:sz w:val="22"/>
          <w:szCs w:val="22"/>
        </w:rPr>
        <w:t xml:space="preserve">draft </w:t>
      </w:r>
      <w:r w:rsidR="00733B5C" w:rsidRPr="00D43A7B">
        <w:rPr>
          <w:rFonts w:cs="Calibri"/>
          <w:sz w:val="22"/>
          <w:szCs w:val="22"/>
        </w:rPr>
        <w:t xml:space="preserve">agenda and all relevant information concerning the ITU-T Study Group 17 meeting will be available in </w:t>
      </w:r>
      <w:hyperlink r:id="rId10" w:history="1">
        <w:r w:rsidR="00D92E49">
          <w:rPr>
            <w:rStyle w:val="Hyperlink"/>
            <w:rFonts w:cs="Calibri"/>
            <w:sz w:val="22"/>
            <w:szCs w:val="22"/>
          </w:rPr>
          <w:t>Collective letter 8/17</w:t>
        </w:r>
      </w:hyperlink>
      <w:r w:rsidR="00733B5C" w:rsidRPr="00D43A7B">
        <w:rPr>
          <w:rFonts w:cs="Calibri"/>
          <w:sz w:val="22"/>
          <w:szCs w:val="22"/>
        </w:rPr>
        <w:t>.</w:t>
      </w:r>
    </w:p>
    <w:p w14:paraId="5DD0AD53" w14:textId="77777777" w:rsidR="00D43A7B" w:rsidRDefault="007C7DA8" w:rsidP="00DF1EDE">
      <w:pPr>
        <w:spacing w:before="0" w:after="120"/>
        <w:rPr>
          <w:rFonts w:cs="Calibri"/>
          <w:sz w:val="22"/>
          <w:szCs w:val="22"/>
          <w:lang w:eastAsia="zh-CN"/>
        </w:rPr>
      </w:pPr>
      <w:r w:rsidRPr="00D43A7B">
        <w:rPr>
          <w:rFonts w:cs="Calibri"/>
          <w:bCs/>
          <w:sz w:val="22"/>
          <w:szCs w:val="22"/>
        </w:rPr>
        <w:t>2</w:t>
      </w:r>
      <w:r w:rsidRPr="00D43A7B">
        <w:rPr>
          <w:rFonts w:cs="Calibri"/>
          <w:sz w:val="22"/>
          <w:szCs w:val="22"/>
        </w:rPr>
        <w:tab/>
        <w:t xml:space="preserve">The titles, summaries and locations of the draft ITU-T Recommendations proposed for approval can be found in </w:t>
      </w:r>
      <w:r w:rsidRPr="00F372CF">
        <w:rPr>
          <w:rFonts w:cs="Calibri"/>
          <w:b/>
          <w:bCs/>
          <w:sz w:val="22"/>
          <w:szCs w:val="22"/>
        </w:rPr>
        <w:t>Annex 1</w:t>
      </w:r>
      <w:r w:rsidRPr="00D43A7B">
        <w:rPr>
          <w:rFonts w:cs="Calibri"/>
          <w:sz w:val="22"/>
          <w:szCs w:val="22"/>
        </w:rPr>
        <w:t>.</w:t>
      </w:r>
      <w:r w:rsidR="00D43A7B">
        <w:rPr>
          <w:rFonts w:cs="Calibri" w:hint="eastAsia"/>
          <w:sz w:val="22"/>
          <w:szCs w:val="22"/>
          <w:lang w:eastAsia="zh-CN"/>
        </w:rPr>
        <w:t xml:space="preserve"> </w:t>
      </w:r>
    </w:p>
    <w:p w14:paraId="2A9D7B3D" w14:textId="79BD1B5C" w:rsidR="00D43A7B" w:rsidRPr="00686994" w:rsidRDefault="00F372CF" w:rsidP="00DF1EDE">
      <w:pPr>
        <w:spacing w:before="0" w:after="120"/>
        <w:rPr>
          <w:rFonts w:cs="Calibri"/>
          <w:sz w:val="22"/>
          <w:szCs w:val="22"/>
        </w:rPr>
      </w:pPr>
      <w:r w:rsidRPr="00F372CF">
        <w:rPr>
          <w:rFonts w:cs="Calibri"/>
          <w:sz w:val="22"/>
          <w:szCs w:val="22"/>
        </w:rPr>
        <w:t xml:space="preserve">TSB NOTE 1 – </w:t>
      </w:r>
      <w:r w:rsidR="00D43A7B" w:rsidRPr="00686994">
        <w:rPr>
          <w:rFonts w:cs="Calibri"/>
          <w:sz w:val="22"/>
          <w:szCs w:val="22"/>
        </w:rPr>
        <w:t xml:space="preserve">No ITU-T A.5 justification document has been </w:t>
      </w:r>
      <w:r w:rsidRPr="00F372CF">
        <w:rPr>
          <w:rFonts w:cs="Calibri"/>
          <w:sz w:val="22"/>
          <w:szCs w:val="22"/>
        </w:rPr>
        <w:t xml:space="preserve">submitted </w:t>
      </w:r>
      <w:r w:rsidR="00D43A7B" w:rsidRPr="00686994">
        <w:rPr>
          <w:rFonts w:cs="Calibri"/>
          <w:sz w:val="22"/>
          <w:szCs w:val="22"/>
        </w:rPr>
        <w:t xml:space="preserve">for </w:t>
      </w:r>
      <w:r w:rsidR="00A35A06">
        <w:rPr>
          <w:rFonts w:cs="Calibri" w:hint="eastAsia"/>
          <w:sz w:val="22"/>
          <w:szCs w:val="22"/>
          <w:lang w:eastAsia="zh-CN"/>
        </w:rPr>
        <w:t>any of these</w:t>
      </w:r>
      <w:r w:rsidR="00D43A7B" w:rsidRPr="00686994">
        <w:rPr>
          <w:rFonts w:cs="Calibri"/>
          <w:sz w:val="22"/>
          <w:szCs w:val="22"/>
        </w:rPr>
        <w:t xml:space="preserve"> </w:t>
      </w:r>
      <w:r w:rsidR="00A35A06">
        <w:rPr>
          <w:rFonts w:cs="Calibri" w:hint="eastAsia"/>
          <w:sz w:val="22"/>
          <w:szCs w:val="22"/>
          <w:lang w:eastAsia="zh-CN"/>
        </w:rPr>
        <w:t>d</w:t>
      </w:r>
      <w:r w:rsidR="00D43A7B" w:rsidRPr="00686994">
        <w:rPr>
          <w:rFonts w:cs="Calibri"/>
          <w:sz w:val="22"/>
          <w:szCs w:val="22"/>
        </w:rPr>
        <w:t>etermined draft text</w:t>
      </w:r>
      <w:r w:rsidR="00A35A06">
        <w:rPr>
          <w:rFonts w:cs="Calibri" w:hint="eastAsia"/>
          <w:sz w:val="22"/>
          <w:szCs w:val="22"/>
          <w:lang w:eastAsia="zh-CN"/>
        </w:rPr>
        <w:t>s</w:t>
      </w:r>
      <w:r w:rsidR="00D43A7B" w:rsidRPr="00686994">
        <w:rPr>
          <w:rFonts w:cs="Calibri"/>
          <w:sz w:val="22"/>
          <w:szCs w:val="22"/>
        </w:rPr>
        <w:t>.</w:t>
      </w:r>
    </w:p>
    <w:p w14:paraId="5243D5B6" w14:textId="3036AE6A" w:rsidR="007C7DA8" w:rsidRPr="00D43A7B" w:rsidRDefault="00F372CF" w:rsidP="00DF1EDE">
      <w:pPr>
        <w:tabs>
          <w:tab w:val="clear" w:pos="794"/>
          <w:tab w:val="left" w:pos="270"/>
        </w:tabs>
        <w:spacing w:before="0" w:after="120"/>
        <w:rPr>
          <w:rFonts w:cs="Calibri"/>
          <w:sz w:val="22"/>
          <w:szCs w:val="22"/>
          <w:lang w:eastAsia="zh-CN"/>
        </w:rPr>
      </w:pPr>
      <w:r w:rsidRPr="00F372CF">
        <w:rPr>
          <w:rFonts w:cs="Calibri"/>
          <w:sz w:val="22"/>
          <w:szCs w:val="22"/>
        </w:rPr>
        <w:t xml:space="preserve">TSB NOTE </w:t>
      </w:r>
      <w:r>
        <w:rPr>
          <w:rFonts w:cs="Calibri"/>
          <w:sz w:val="22"/>
          <w:szCs w:val="22"/>
        </w:rPr>
        <w:t>2</w:t>
      </w:r>
      <w:r w:rsidRPr="00F372CF">
        <w:rPr>
          <w:rFonts w:cs="Calibri"/>
          <w:sz w:val="22"/>
          <w:szCs w:val="22"/>
        </w:rPr>
        <w:t xml:space="preserve"> – </w:t>
      </w:r>
      <w:r w:rsidR="00D43A7B" w:rsidRPr="00686994">
        <w:rPr>
          <w:rFonts w:cs="Calibri"/>
          <w:sz w:val="22"/>
          <w:szCs w:val="22"/>
        </w:rPr>
        <w:t xml:space="preserve">As of the date of this Circular, no IPR statement had been received by TSB regarding </w:t>
      </w:r>
      <w:r w:rsidR="00A35A06">
        <w:rPr>
          <w:rFonts w:cs="Calibri" w:hint="eastAsia"/>
          <w:sz w:val="22"/>
          <w:szCs w:val="22"/>
          <w:lang w:eastAsia="zh-CN"/>
        </w:rPr>
        <w:t>any of these</w:t>
      </w:r>
      <w:r w:rsidR="00A35A06" w:rsidRPr="003C4919">
        <w:rPr>
          <w:rFonts w:cs="Calibri"/>
          <w:sz w:val="22"/>
          <w:szCs w:val="22"/>
        </w:rPr>
        <w:t xml:space="preserve"> </w:t>
      </w:r>
      <w:r w:rsidR="00A35A06">
        <w:rPr>
          <w:rFonts w:cs="Calibri" w:hint="eastAsia"/>
          <w:sz w:val="22"/>
          <w:szCs w:val="22"/>
          <w:lang w:eastAsia="zh-CN"/>
        </w:rPr>
        <w:t>d</w:t>
      </w:r>
      <w:r w:rsidR="00A35A06" w:rsidRPr="003C4919">
        <w:rPr>
          <w:rFonts w:cs="Calibri"/>
          <w:sz w:val="22"/>
          <w:szCs w:val="22"/>
        </w:rPr>
        <w:t xml:space="preserve">etermined </w:t>
      </w:r>
      <w:r w:rsidR="00A35A06">
        <w:rPr>
          <w:rFonts w:cs="Calibri" w:hint="eastAsia"/>
          <w:sz w:val="22"/>
          <w:szCs w:val="22"/>
          <w:lang w:eastAsia="zh-CN"/>
        </w:rPr>
        <w:t xml:space="preserve">draft </w:t>
      </w:r>
      <w:r w:rsidR="00D43A7B" w:rsidRPr="00686994">
        <w:rPr>
          <w:rFonts w:cs="Calibri"/>
          <w:sz w:val="22"/>
          <w:szCs w:val="22"/>
        </w:rPr>
        <w:t xml:space="preserve">text. For up-to-date information, members are invited to consult the IPR database at </w:t>
      </w:r>
      <w:hyperlink r:id="rId11" w:history="1">
        <w:r w:rsidR="00D43A7B" w:rsidRPr="00686994">
          <w:rPr>
            <w:rStyle w:val="Hyperlink"/>
            <w:rFonts w:cs="Calibri"/>
            <w:sz w:val="22"/>
            <w:szCs w:val="22"/>
          </w:rPr>
          <w:t>www.itu.int/ipr/</w:t>
        </w:r>
      </w:hyperlink>
      <w:r w:rsidR="00D43A7B" w:rsidRPr="00686994">
        <w:rPr>
          <w:rFonts w:cs="Calibri"/>
          <w:sz w:val="22"/>
          <w:szCs w:val="22"/>
        </w:rPr>
        <w:t>.</w:t>
      </w:r>
    </w:p>
    <w:p w14:paraId="0F6A8109" w14:textId="2659434D" w:rsidR="00A43CA0" w:rsidRPr="00D43A7B" w:rsidRDefault="007C7DA8" w:rsidP="00DF1EDE">
      <w:pPr>
        <w:spacing w:before="0" w:after="120"/>
        <w:rPr>
          <w:rFonts w:cs="Calibri"/>
          <w:sz w:val="22"/>
          <w:szCs w:val="22"/>
        </w:rPr>
      </w:pPr>
      <w:r w:rsidRPr="00D43A7B">
        <w:rPr>
          <w:rFonts w:cs="Calibri"/>
          <w:bCs/>
          <w:sz w:val="22"/>
          <w:szCs w:val="22"/>
        </w:rPr>
        <w:t>3</w:t>
      </w:r>
      <w:r w:rsidR="00691DAA" w:rsidRPr="00D43A7B">
        <w:rPr>
          <w:rFonts w:cs="Calibri"/>
          <w:sz w:val="22"/>
          <w:szCs w:val="22"/>
        </w:rPr>
        <w:tab/>
      </w:r>
      <w:proofErr w:type="gramStart"/>
      <w:r w:rsidR="00E54801" w:rsidRPr="00D43A7B">
        <w:rPr>
          <w:rFonts w:cs="Calibri"/>
          <w:sz w:val="22"/>
          <w:szCs w:val="22"/>
        </w:rPr>
        <w:t>This Circular initiate</w:t>
      </w:r>
      <w:r w:rsidR="006E0FCB">
        <w:rPr>
          <w:rFonts w:cs="Calibri"/>
          <w:sz w:val="22"/>
          <w:szCs w:val="22"/>
        </w:rPr>
        <w:t>s</w:t>
      </w:r>
      <w:proofErr w:type="gramEnd"/>
      <w:r w:rsidR="00E54801" w:rsidRPr="00D43A7B">
        <w:rPr>
          <w:rFonts w:cs="Calibri"/>
          <w:sz w:val="22"/>
          <w:szCs w:val="22"/>
        </w:rPr>
        <w:t xml:space="preserve"> the formal consultation </w:t>
      </w:r>
      <w:r w:rsidR="00860AE1" w:rsidRPr="00D43A7B">
        <w:rPr>
          <w:rFonts w:cs="Calibri"/>
          <w:sz w:val="22"/>
          <w:szCs w:val="22"/>
        </w:rPr>
        <w:t xml:space="preserve">with </w:t>
      </w:r>
      <w:r w:rsidR="00E54801" w:rsidRPr="00D43A7B">
        <w:rPr>
          <w:rFonts w:cs="Calibri"/>
          <w:sz w:val="22"/>
          <w:szCs w:val="22"/>
        </w:rPr>
        <w:t xml:space="preserve">ITU Member States on whether </w:t>
      </w:r>
      <w:r w:rsidR="004D6DD0" w:rsidRPr="00D43A7B">
        <w:rPr>
          <w:rFonts w:cs="Calibri"/>
          <w:sz w:val="22"/>
          <w:szCs w:val="22"/>
        </w:rPr>
        <w:t>these texts</w:t>
      </w:r>
      <w:r w:rsidR="00860AE1" w:rsidRPr="00D43A7B">
        <w:rPr>
          <w:rFonts w:cs="Calibri"/>
          <w:sz w:val="22"/>
          <w:szCs w:val="22"/>
        </w:rPr>
        <w:t xml:space="preserve"> may </w:t>
      </w:r>
      <w:r w:rsidR="00E54801" w:rsidRPr="00D43A7B">
        <w:rPr>
          <w:rFonts w:cs="Calibri"/>
          <w:sz w:val="22"/>
          <w:szCs w:val="22"/>
        </w:rPr>
        <w:t xml:space="preserve">be considered </w:t>
      </w:r>
      <w:r w:rsidR="00860AE1" w:rsidRPr="00D43A7B">
        <w:rPr>
          <w:rFonts w:cs="Calibri"/>
          <w:sz w:val="22"/>
          <w:szCs w:val="22"/>
        </w:rPr>
        <w:t xml:space="preserve">for approval </w:t>
      </w:r>
      <w:r w:rsidR="00E54801" w:rsidRPr="00D43A7B">
        <w:rPr>
          <w:rFonts w:cs="Calibri"/>
          <w:sz w:val="22"/>
          <w:szCs w:val="22"/>
        </w:rPr>
        <w:t>at the upcoming meeting, i</w:t>
      </w:r>
      <w:r w:rsidR="00E32F10" w:rsidRPr="00D43A7B">
        <w:rPr>
          <w:rFonts w:cs="Calibri"/>
          <w:sz w:val="22"/>
          <w:szCs w:val="22"/>
        </w:rPr>
        <w:t xml:space="preserve">n accordance with </w:t>
      </w:r>
      <w:r w:rsidR="002E0E8B" w:rsidRPr="00D43A7B">
        <w:rPr>
          <w:rFonts w:cs="Calibri"/>
          <w:sz w:val="22"/>
          <w:szCs w:val="22"/>
        </w:rPr>
        <w:t>clause</w:t>
      </w:r>
      <w:r w:rsidR="00E32F10" w:rsidRPr="00D43A7B">
        <w:rPr>
          <w:rFonts w:cs="Calibri"/>
          <w:sz w:val="22"/>
          <w:szCs w:val="22"/>
        </w:rPr>
        <w:t xml:space="preserve"> 9.4 of Resolution 1</w:t>
      </w:r>
      <w:r w:rsidR="00E54801" w:rsidRPr="00D43A7B">
        <w:rPr>
          <w:rFonts w:cs="Calibri"/>
          <w:sz w:val="22"/>
          <w:szCs w:val="22"/>
        </w:rPr>
        <w:t xml:space="preserve">. Member </w:t>
      </w:r>
      <w:r w:rsidR="00860AE1" w:rsidRPr="00D43A7B">
        <w:rPr>
          <w:rFonts w:cs="Calibri"/>
          <w:sz w:val="22"/>
          <w:szCs w:val="22"/>
        </w:rPr>
        <w:t xml:space="preserve">States </w:t>
      </w:r>
      <w:r w:rsidR="00E54801" w:rsidRPr="00D43A7B">
        <w:rPr>
          <w:rFonts w:cs="Calibri"/>
          <w:sz w:val="22"/>
          <w:szCs w:val="22"/>
        </w:rPr>
        <w:t>are kindly request</w:t>
      </w:r>
      <w:r w:rsidR="00860AE1" w:rsidRPr="00D43A7B">
        <w:rPr>
          <w:rFonts w:cs="Calibri"/>
          <w:sz w:val="22"/>
          <w:szCs w:val="22"/>
        </w:rPr>
        <w:t>ed</w:t>
      </w:r>
      <w:r w:rsidR="00E54801" w:rsidRPr="00D43A7B">
        <w:rPr>
          <w:rFonts w:cs="Calibri"/>
          <w:sz w:val="22"/>
          <w:szCs w:val="22"/>
        </w:rPr>
        <w:t xml:space="preserve"> to </w:t>
      </w:r>
      <w:r w:rsidR="00860AE1" w:rsidRPr="00D43A7B">
        <w:rPr>
          <w:rFonts w:cs="Calibri"/>
          <w:sz w:val="22"/>
          <w:szCs w:val="22"/>
        </w:rPr>
        <w:t xml:space="preserve">complete and </w:t>
      </w:r>
      <w:r w:rsidR="00E54801" w:rsidRPr="00D43A7B">
        <w:rPr>
          <w:rFonts w:cs="Calibri"/>
          <w:sz w:val="22"/>
          <w:szCs w:val="22"/>
        </w:rPr>
        <w:t xml:space="preserve">return the </w:t>
      </w:r>
      <w:r w:rsidR="00860AE1" w:rsidRPr="00D43A7B">
        <w:rPr>
          <w:rFonts w:cs="Calibri"/>
          <w:sz w:val="22"/>
          <w:szCs w:val="22"/>
        </w:rPr>
        <w:t>form</w:t>
      </w:r>
      <w:r w:rsidR="00E54801" w:rsidRPr="00D43A7B">
        <w:rPr>
          <w:rFonts w:cs="Calibri"/>
          <w:sz w:val="22"/>
          <w:szCs w:val="22"/>
        </w:rPr>
        <w:t xml:space="preserve"> in </w:t>
      </w:r>
      <w:r w:rsidR="00E54801" w:rsidRPr="00D92E49">
        <w:rPr>
          <w:rFonts w:cs="Calibri"/>
          <w:b/>
          <w:bCs/>
          <w:sz w:val="22"/>
          <w:szCs w:val="22"/>
        </w:rPr>
        <w:t>Annex 2</w:t>
      </w:r>
      <w:r w:rsidR="00E54801" w:rsidRPr="00D43A7B">
        <w:rPr>
          <w:rFonts w:cs="Calibri"/>
          <w:sz w:val="22"/>
          <w:szCs w:val="22"/>
        </w:rPr>
        <w:t xml:space="preserve"> </w:t>
      </w:r>
      <w:r w:rsidR="002E0E8B" w:rsidRPr="00D43A7B">
        <w:rPr>
          <w:rFonts w:cs="Calibri"/>
          <w:sz w:val="22"/>
          <w:szCs w:val="22"/>
        </w:rPr>
        <w:t xml:space="preserve">by </w:t>
      </w:r>
      <w:r w:rsidR="00E54801" w:rsidRPr="00D92E49">
        <w:rPr>
          <w:rFonts w:cs="Calibri"/>
          <w:b/>
          <w:bCs/>
          <w:sz w:val="22"/>
          <w:szCs w:val="22"/>
        </w:rPr>
        <w:t>2359</w:t>
      </w:r>
      <w:r w:rsidR="00E54801" w:rsidRPr="00D43A7B">
        <w:rPr>
          <w:rFonts w:cs="Calibri"/>
          <w:sz w:val="22"/>
          <w:szCs w:val="22"/>
        </w:rPr>
        <w:t> </w:t>
      </w:r>
      <w:r w:rsidR="00E32F10" w:rsidRPr="00D43A7B">
        <w:rPr>
          <w:rFonts w:cs="Calibri"/>
          <w:sz w:val="22"/>
          <w:szCs w:val="22"/>
        </w:rPr>
        <w:t xml:space="preserve">hours UTC </w:t>
      </w:r>
      <w:r w:rsidR="00E32F10" w:rsidRPr="00D92E49">
        <w:rPr>
          <w:rFonts w:cs="Calibri"/>
          <w:sz w:val="22"/>
          <w:szCs w:val="22"/>
        </w:rPr>
        <w:t xml:space="preserve">on </w:t>
      </w:r>
      <w:r w:rsidR="000657AC" w:rsidRPr="00D92E49">
        <w:rPr>
          <w:rFonts w:cs="Calibri"/>
          <w:b/>
          <w:bCs/>
          <w:sz w:val="22"/>
          <w:szCs w:val="22"/>
        </w:rPr>
        <w:t>2</w:t>
      </w:r>
      <w:r w:rsidR="00AD435F" w:rsidRPr="00D92E49">
        <w:rPr>
          <w:rFonts w:cs="Calibri"/>
          <w:b/>
          <w:bCs/>
          <w:sz w:val="22"/>
          <w:szCs w:val="22"/>
        </w:rPr>
        <w:t>0</w:t>
      </w:r>
      <w:r w:rsidR="000657AC" w:rsidRPr="00D92E49">
        <w:rPr>
          <w:rFonts w:cs="Calibri"/>
          <w:b/>
          <w:bCs/>
          <w:sz w:val="22"/>
          <w:szCs w:val="22"/>
        </w:rPr>
        <w:t xml:space="preserve"> </w:t>
      </w:r>
      <w:r w:rsidR="00AD435F" w:rsidRPr="00D92E49">
        <w:rPr>
          <w:rFonts w:cs="Calibri"/>
          <w:b/>
          <w:bCs/>
          <w:sz w:val="22"/>
          <w:szCs w:val="22"/>
        </w:rPr>
        <w:t>May</w:t>
      </w:r>
      <w:r w:rsidR="000657AC" w:rsidRPr="00FA4BEF">
        <w:rPr>
          <w:rFonts w:cs="Calibri"/>
          <w:b/>
          <w:bCs/>
          <w:sz w:val="22"/>
          <w:szCs w:val="22"/>
        </w:rPr>
        <w:t xml:space="preserve"> 2026</w:t>
      </w:r>
      <w:r w:rsidR="00E32F10" w:rsidRPr="00D43A7B">
        <w:rPr>
          <w:rFonts w:cs="Calibri"/>
          <w:sz w:val="22"/>
          <w:szCs w:val="22"/>
        </w:rPr>
        <w:t>.</w:t>
      </w:r>
    </w:p>
    <w:p w14:paraId="03E4E88D" w14:textId="31E90EE2" w:rsidR="00FA4BEF" w:rsidRDefault="006A2FAB" w:rsidP="00DF1EDE">
      <w:pPr>
        <w:spacing w:before="0" w:after="120"/>
        <w:rPr>
          <w:rFonts w:cs="Calibri"/>
          <w:sz w:val="22"/>
          <w:szCs w:val="22"/>
        </w:rPr>
      </w:pPr>
      <w:r w:rsidRPr="00D43A7B">
        <w:rPr>
          <w:rFonts w:cs="Calibri"/>
          <w:bCs/>
          <w:sz w:val="22"/>
          <w:szCs w:val="22"/>
        </w:rPr>
        <w:t>4</w:t>
      </w:r>
      <w:r w:rsidR="007C7DA8" w:rsidRPr="00D43A7B">
        <w:rPr>
          <w:rFonts w:cs="Calibri"/>
          <w:sz w:val="22"/>
          <w:szCs w:val="22"/>
        </w:rPr>
        <w:tab/>
        <w:t xml:space="preserve">If 70% or more of the replies </w:t>
      </w:r>
      <w:r w:rsidR="00F751B3" w:rsidRPr="00D43A7B">
        <w:rPr>
          <w:rFonts w:cs="Calibri"/>
          <w:sz w:val="22"/>
          <w:szCs w:val="22"/>
        </w:rPr>
        <w:t xml:space="preserve">from Member States </w:t>
      </w:r>
      <w:r w:rsidR="007C7DA8" w:rsidRPr="00D43A7B">
        <w:rPr>
          <w:rFonts w:cs="Calibri"/>
          <w:sz w:val="22"/>
          <w:szCs w:val="22"/>
        </w:rPr>
        <w:t>support consideration for approva</w:t>
      </w:r>
      <w:r w:rsidR="00C51F4B" w:rsidRPr="00D43A7B">
        <w:rPr>
          <w:rFonts w:cs="Calibri"/>
          <w:sz w:val="22"/>
          <w:szCs w:val="22"/>
        </w:rPr>
        <w:t>l</w:t>
      </w:r>
      <w:r w:rsidR="007C7DA8" w:rsidRPr="00D43A7B">
        <w:rPr>
          <w:rFonts w:cs="Calibri"/>
          <w:sz w:val="22"/>
          <w:szCs w:val="22"/>
        </w:rPr>
        <w:t>, one Plenary session will be devote</w:t>
      </w:r>
      <w:r w:rsidR="003E07CD" w:rsidRPr="00D43A7B">
        <w:rPr>
          <w:rFonts w:cs="Calibri"/>
          <w:sz w:val="22"/>
          <w:szCs w:val="22"/>
        </w:rPr>
        <w:t xml:space="preserve">d </w:t>
      </w:r>
      <w:r w:rsidR="007C7DA8" w:rsidRPr="00D43A7B">
        <w:rPr>
          <w:rFonts w:cs="Calibri"/>
          <w:sz w:val="22"/>
          <w:szCs w:val="22"/>
        </w:rPr>
        <w:t>to apply</w:t>
      </w:r>
      <w:r w:rsidR="006E0FCB">
        <w:rPr>
          <w:rFonts w:cs="Calibri"/>
          <w:sz w:val="22"/>
          <w:szCs w:val="22"/>
        </w:rPr>
        <w:t>ing</w:t>
      </w:r>
      <w:r w:rsidR="007C7DA8" w:rsidRPr="00D43A7B">
        <w:rPr>
          <w:rFonts w:cs="Calibri"/>
          <w:sz w:val="22"/>
          <w:szCs w:val="22"/>
        </w:rPr>
        <w:t xml:space="preserve"> the approval procedure.</w:t>
      </w:r>
      <w:r w:rsidR="00E54801" w:rsidRPr="00D43A7B">
        <w:rPr>
          <w:rFonts w:cs="Calibri"/>
          <w:sz w:val="22"/>
          <w:szCs w:val="22"/>
        </w:rPr>
        <w:t xml:space="preserve"> Member States that do not assign authority to proceed should inform the Director of TSB of the reasons for this opinion and indicate the possible changes that would enable the work to progress.</w:t>
      </w:r>
    </w:p>
    <w:p w14:paraId="7FBA1820" w14:textId="6BA80F6B" w:rsidR="00852B82" w:rsidRDefault="00691DAA" w:rsidP="00DF1EDE">
      <w:pPr>
        <w:spacing w:before="0" w:after="120"/>
        <w:rPr>
          <w:rFonts w:cs="Calibri"/>
          <w:sz w:val="22"/>
          <w:szCs w:val="22"/>
        </w:rPr>
      </w:pPr>
      <w:r w:rsidRPr="00D43A7B">
        <w:rPr>
          <w:rFonts w:cs="Calibri"/>
          <w:sz w:val="22"/>
          <w:szCs w:val="22"/>
        </w:rPr>
        <w:t>Yours faithfully,</w:t>
      </w:r>
    </w:p>
    <w:p w14:paraId="69C03628" w14:textId="21DD0E43" w:rsidR="00DF1EDE" w:rsidRPr="00B66EFD" w:rsidRDefault="00B66EFD" w:rsidP="00DF1EDE">
      <w:pPr>
        <w:spacing w:before="0" w:after="120"/>
        <w:rPr>
          <w:rFonts w:cs="Calibri"/>
          <w:i/>
          <w:iCs/>
          <w:sz w:val="22"/>
          <w:szCs w:val="22"/>
        </w:rPr>
      </w:pPr>
      <w:r w:rsidRPr="00B66EFD">
        <w:rPr>
          <w:rFonts w:cs="Calibri"/>
          <w:i/>
          <w:iCs/>
          <w:sz w:val="22"/>
          <w:szCs w:val="22"/>
        </w:rPr>
        <w:t>(signed)</w:t>
      </w:r>
    </w:p>
    <w:p w14:paraId="7EA22E4E" w14:textId="750D3D6F" w:rsidR="00F372CF" w:rsidRDefault="0045092F" w:rsidP="00F372CF">
      <w:pPr>
        <w:rPr>
          <w:rFonts w:cs="Calibri"/>
          <w:b/>
          <w:sz w:val="22"/>
          <w:szCs w:val="22"/>
        </w:rPr>
      </w:pPr>
      <w:r w:rsidRPr="00686994">
        <w:rPr>
          <w:rFonts w:cs="Calibri"/>
          <w:sz w:val="22"/>
          <w:szCs w:val="22"/>
        </w:rPr>
        <w:t>Seizo Onoe</w:t>
      </w:r>
      <w:r w:rsidR="00691DAA" w:rsidRPr="00D43A7B">
        <w:rPr>
          <w:rFonts w:cs="Calibri"/>
          <w:sz w:val="22"/>
          <w:szCs w:val="22"/>
        </w:rPr>
        <w:br/>
        <w:t>Director of the Telecommunication</w:t>
      </w:r>
      <w:r w:rsidR="00691DAA" w:rsidRPr="00D43A7B">
        <w:rPr>
          <w:rFonts w:cs="Calibri"/>
          <w:sz w:val="22"/>
          <w:szCs w:val="22"/>
        </w:rPr>
        <w:br/>
        <w:t>Standardization Bureau</w:t>
      </w:r>
      <w:r w:rsidR="00DF1EDE">
        <w:rPr>
          <w:rFonts w:cs="Calibri"/>
          <w:sz w:val="22"/>
          <w:szCs w:val="22"/>
        </w:rPr>
        <w:t xml:space="preserve"> </w:t>
      </w:r>
      <w:r w:rsidR="00DF1EDE">
        <w:rPr>
          <w:rFonts w:cs="Calibri"/>
          <w:sz w:val="22"/>
          <w:szCs w:val="22"/>
        </w:rPr>
        <w:br/>
      </w:r>
      <w:r w:rsidR="00691DAA" w:rsidRPr="00D43A7B">
        <w:rPr>
          <w:rFonts w:cs="Calibri"/>
          <w:b/>
          <w:sz w:val="22"/>
          <w:szCs w:val="22"/>
        </w:rPr>
        <w:t>Annex</w:t>
      </w:r>
      <w:r w:rsidR="00F96117" w:rsidRPr="00D43A7B">
        <w:rPr>
          <w:rFonts w:cs="Calibri"/>
          <w:b/>
          <w:sz w:val="22"/>
          <w:szCs w:val="22"/>
        </w:rPr>
        <w:t>es</w:t>
      </w:r>
      <w:r w:rsidR="00691DAA" w:rsidRPr="00D43A7B">
        <w:rPr>
          <w:rFonts w:cs="Calibri"/>
          <w:b/>
          <w:sz w:val="22"/>
          <w:szCs w:val="22"/>
        </w:rPr>
        <w:t xml:space="preserve">: </w:t>
      </w:r>
      <w:r w:rsidR="00F96117" w:rsidRPr="00D43A7B">
        <w:rPr>
          <w:rFonts w:cs="Calibri"/>
          <w:b/>
          <w:sz w:val="22"/>
          <w:szCs w:val="22"/>
        </w:rPr>
        <w:t>2</w:t>
      </w:r>
    </w:p>
    <w:p w14:paraId="5AA4DA37" w14:textId="37D4C343" w:rsidR="00852B82" w:rsidRPr="00FA4BEF" w:rsidRDefault="00C13D40" w:rsidP="00F57B80">
      <w:pPr>
        <w:jc w:val="center"/>
        <w:rPr>
          <w:b/>
          <w:szCs w:val="18"/>
        </w:rPr>
      </w:pPr>
      <w:r w:rsidRPr="00FA4BEF">
        <w:rPr>
          <w:b/>
          <w:szCs w:val="18"/>
        </w:rPr>
        <w:lastRenderedPageBreak/>
        <w:t>Annex 1</w:t>
      </w:r>
    </w:p>
    <w:p w14:paraId="015459B5" w14:textId="323E46B8" w:rsidR="00852B82" w:rsidRPr="00574690" w:rsidRDefault="00691DAA" w:rsidP="00211B70">
      <w:pPr>
        <w:pStyle w:val="Annextitle"/>
        <w:rPr>
          <w:sz w:val="24"/>
          <w:szCs w:val="18"/>
        </w:rPr>
      </w:pPr>
      <w:r w:rsidRPr="00686994">
        <w:rPr>
          <w:sz w:val="24"/>
          <w:szCs w:val="18"/>
        </w:rPr>
        <w:t>Summary and location</w:t>
      </w:r>
      <w:r w:rsidR="0006765F" w:rsidRPr="00686994">
        <w:rPr>
          <w:sz w:val="24"/>
          <w:szCs w:val="18"/>
        </w:rPr>
        <w:t xml:space="preserve"> of </w:t>
      </w:r>
      <w:bookmarkStart w:id="1" w:name="_Hlk221638928"/>
      <w:r w:rsidR="0006765F" w:rsidRPr="00686994">
        <w:rPr>
          <w:sz w:val="24"/>
          <w:szCs w:val="18"/>
        </w:rPr>
        <w:t xml:space="preserve">Determined </w:t>
      </w:r>
      <w:r w:rsidR="00D92E49">
        <w:rPr>
          <w:sz w:val="24"/>
          <w:szCs w:val="18"/>
        </w:rPr>
        <w:t xml:space="preserve">draft </w:t>
      </w:r>
      <w:r w:rsidR="00CC69A9" w:rsidRPr="00686994">
        <w:rPr>
          <w:sz w:val="24"/>
          <w:szCs w:val="18"/>
        </w:rPr>
        <w:t>revised Recommendation ITU-T X.1280</w:t>
      </w:r>
      <w:r w:rsidR="00CC69A9">
        <w:rPr>
          <w:sz w:val="24"/>
          <w:szCs w:val="18"/>
        </w:rPr>
        <w:t xml:space="preserve"> and </w:t>
      </w:r>
      <w:r w:rsidR="0006765F" w:rsidRPr="00686994">
        <w:rPr>
          <w:sz w:val="24"/>
          <w:szCs w:val="18"/>
        </w:rPr>
        <w:t xml:space="preserve">draft </w:t>
      </w:r>
      <w:r w:rsidR="00CC69A9">
        <w:rPr>
          <w:sz w:val="24"/>
          <w:szCs w:val="18"/>
        </w:rPr>
        <w:t xml:space="preserve">new </w:t>
      </w:r>
      <w:r w:rsidR="0006765F" w:rsidRPr="00686994">
        <w:rPr>
          <w:sz w:val="24"/>
          <w:szCs w:val="18"/>
        </w:rPr>
        <w:t xml:space="preserve">Recommendations X.1286 (ex </w:t>
      </w:r>
      <w:proofErr w:type="spellStart"/>
      <w:r w:rsidR="0006765F" w:rsidRPr="00686994">
        <w:rPr>
          <w:sz w:val="24"/>
          <w:szCs w:val="18"/>
        </w:rPr>
        <w:t>X.accsadlt</w:t>
      </w:r>
      <w:proofErr w:type="spellEnd"/>
      <w:r w:rsidR="0006765F" w:rsidRPr="00686994">
        <w:rPr>
          <w:sz w:val="24"/>
          <w:szCs w:val="18"/>
        </w:rPr>
        <w:t xml:space="preserve">), </w:t>
      </w:r>
      <w:r w:rsidR="003E01D1" w:rsidRPr="003E01D1">
        <w:rPr>
          <w:sz w:val="24"/>
          <w:szCs w:val="18"/>
        </w:rPr>
        <w:t>X.1821 (ex X.5Gsec-asra)</w:t>
      </w:r>
      <w:r w:rsidR="003E01D1">
        <w:rPr>
          <w:sz w:val="24"/>
          <w:szCs w:val="18"/>
        </w:rPr>
        <w:t>,</w:t>
      </w:r>
      <w:r w:rsidR="003E01D1" w:rsidRPr="00574690">
        <w:rPr>
          <w:sz w:val="24"/>
          <w:szCs w:val="18"/>
        </w:rPr>
        <w:t xml:space="preserve"> </w:t>
      </w:r>
      <w:r w:rsidR="003E01D1" w:rsidRPr="003E01D1">
        <w:rPr>
          <w:sz w:val="24"/>
          <w:szCs w:val="18"/>
        </w:rPr>
        <w:t>X.1350 (ex X.sr-</w:t>
      </w:r>
      <w:proofErr w:type="spellStart"/>
      <w:r w:rsidR="003E01D1" w:rsidRPr="003E01D1">
        <w:rPr>
          <w:sz w:val="24"/>
          <w:szCs w:val="18"/>
        </w:rPr>
        <w:t>iiot</w:t>
      </w:r>
      <w:proofErr w:type="spellEnd"/>
      <w:r w:rsidR="003E01D1" w:rsidRPr="003E01D1">
        <w:rPr>
          <w:sz w:val="24"/>
          <w:szCs w:val="18"/>
        </w:rPr>
        <w:t>)</w:t>
      </w:r>
      <w:r w:rsidR="003E01D1">
        <w:rPr>
          <w:sz w:val="24"/>
          <w:szCs w:val="18"/>
        </w:rPr>
        <w:t>,</w:t>
      </w:r>
      <w:r w:rsidR="003E01D1" w:rsidRPr="00574690">
        <w:rPr>
          <w:sz w:val="24"/>
          <w:szCs w:val="18"/>
        </w:rPr>
        <w:t xml:space="preserve"> </w:t>
      </w:r>
      <w:r w:rsidR="003E01D1" w:rsidRPr="003E01D1">
        <w:rPr>
          <w:sz w:val="24"/>
          <w:szCs w:val="18"/>
        </w:rPr>
        <w:t>X.2105 (ex X.st-</w:t>
      </w:r>
      <w:proofErr w:type="spellStart"/>
      <w:r w:rsidR="003E01D1" w:rsidRPr="003E01D1">
        <w:rPr>
          <w:sz w:val="24"/>
          <w:szCs w:val="18"/>
        </w:rPr>
        <w:t>ssc</w:t>
      </w:r>
      <w:proofErr w:type="spellEnd"/>
      <w:r w:rsidR="003E01D1" w:rsidRPr="003E01D1">
        <w:rPr>
          <w:sz w:val="24"/>
          <w:szCs w:val="18"/>
        </w:rPr>
        <w:t>)</w:t>
      </w:r>
      <w:r w:rsidR="00574690">
        <w:rPr>
          <w:sz w:val="24"/>
          <w:szCs w:val="18"/>
        </w:rPr>
        <w:t>,</w:t>
      </w:r>
      <w:r w:rsidR="00574690" w:rsidRPr="00574690">
        <w:rPr>
          <w:sz w:val="24"/>
          <w:szCs w:val="18"/>
        </w:rPr>
        <w:t xml:space="preserve"> X.2210 (ex </w:t>
      </w:r>
      <w:proofErr w:type="spellStart"/>
      <w:r w:rsidR="00574690" w:rsidRPr="00574690">
        <w:rPr>
          <w:sz w:val="24"/>
          <w:szCs w:val="18"/>
        </w:rPr>
        <w:t>X.ig-dw</w:t>
      </w:r>
      <w:proofErr w:type="spellEnd"/>
      <w:r w:rsidR="00574690" w:rsidRPr="00574690">
        <w:rPr>
          <w:sz w:val="24"/>
          <w:szCs w:val="18"/>
        </w:rPr>
        <w:t>)</w:t>
      </w:r>
      <w:r w:rsidR="00574690">
        <w:rPr>
          <w:sz w:val="24"/>
          <w:szCs w:val="18"/>
        </w:rPr>
        <w:t>,</w:t>
      </w:r>
      <w:r w:rsidR="00574690" w:rsidRPr="00574690">
        <w:rPr>
          <w:sz w:val="24"/>
          <w:szCs w:val="18"/>
        </w:rPr>
        <w:t xml:space="preserve"> X.1910 (ex X.tc-</w:t>
      </w:r>
      <w:proofErr w:type="spellStart"/>
      <w:r w:rsidR="00574690" w:rsidRPr="00574690">
        <w:rPr>
          <w:sz w:val="24"/>
          <w:szCs w:val="18"/>
        </w:rPr>
        <w:t>ifd</w:t>
      </w:r>
      <w:proofErr w:type="spellEnd"/>
      <w:r w:rsidR="00574690" w:rsidRPr="00574690">
        <w:rPr>
          <w:sz w:val="24"/>
          <w:szCs w:val="18"/>
        </w:rPr>
        <w:t>)</w:t>
      </w:r>
      <w:r w:rsidR="00574690">
        <w:rPr>
          <w:sz w:val="24"/>
          <w:szCs w:val="18"/>
        </w:rPr>
        <w:t>,</w:t>
      </w:r>
      <w:r w:rsidR="00574690" w:rsidRPr="00574690">
        <w:rPr>
          <w:sz w:val="24"/>
          <w:szCs w:val="18"/>
        </w:rPr>
        <w:t xml:space="preserve"> X.1651 (ex </w:t>
      </w:r>
      <w:proofErr w:type="spellStart"/>
      <w:r w:rsidR="00574690" w:rsidRPr="00574690">
        <w:rPr>
          <w:sz w:val="24"/>
          <w:szCs w:val="18"/>
        </w:rPr>
        <w:t>X.soar</w:t>
      </w:r>
      <w:proofErr w:type="spellEnd"/>
      <w:r w:rsidR="00574690" w:rsidRPr="00574690">
        <w:rPr>
          <w:sz w:val="24"/>
          <w:szCs w:val="18"/>
        </w:rPr>
        <w:t>-cc)</w:t>
      </w:r>
      <w:r w:rsidR="00574690">
        <w:rPr>
          <w:sz w:val="24"/>
          <w:szCs w:val="18"/>
        </w:rPr>
        <w:t>,</w:t>
      </w:r>
      <w:r w:rsidR="00574690" w:rsidRPr="00574690">
        <w:rPr>
          <w:sz w:val="24"/>
          <w:szCs w:val="18"/>
        </w:rPr>
        <w:t xml:space="preserve"> X.1607 (ex X.asm-cc)</w:t>
      </w:r>
      <w:r w:rsidR="00574690">
        <w:rPr>
          <w:sz w:val="24"/>
          <w:szCs w:val="18"/>
        </w:rPr>
        <w:t>,</w:t>
      </w:r>
      <w:r w:rsidR="00574690" w:rsidRPr="00574690">
        <w:rPr>
          <w:sz w:val="24"/>
          <w:szCs w:val="18"/>
        </w:rPr>
        <w:t xml:space="preserve"> X.1418 (ex X.sg-</w:t>
      </w:r>
      <w:proofErr w:type="spellStart"/>
      <w:r w:rsidR="00574690" w:rsidRPr="00574690">
        <w:rPr>
          <w:sz w:val="24"/>
          <w:szCs w:val="18"/>
        </w:rPr>
        <w:t>dcs</w:t>
      </w:r>
      <w:proofErr w:type="spellEnd"/>
      <w:r w:rsidR="00574690" w:rsidRPr="00574690">
        <w:rPr>
          <w:sz w:val="24"/>
          <w:szCs w:val="18"/>
        </w:rPr>
        <w:t>)</w:t>
      </w:r>
      <w:r w:rsidR="00574690">
        <w:rPr>
          <w:sz w:val="24"/>
          <w:szCs w:val="18"/>
        </w:rPr>
        <w:t xml:space="preserve"> and </w:t>
      </w:r>
      <w:r w:rsidR="00574690" w:rsidRPr="00574690">
        <w:rPr>
          <w:sz w:val="24"/>
          <w:szCs w:val="18"/>
        </w:rPr>
        <w:t>X.1417 (ex X.sr-</w:t>
      </w:r>
      <w:proofErr w:type="spellStart"/>
      <w:r w:rsidR="00574690" w:rsidRPr="00574690">
        <w:rPr>
          <w:sz w:val="24"/>
          <w:szCs w:val="18"/>
        </w:rPr>
        <w:t>dpts</w:t>
      </w:r>
      <w:proofErr w:type="spellEnd"/>
      <w:r w:rsidR="00574690" w:rsidRPr="00574690">
        <w:rPr>
          <w:sz w:val="24"/>
          <w:szCs w:val="18"/>
        </w:rPr>
        <w:t>)</w:t>
      </w:r>
      <w:bookmarkEnd w:id="1"/>
    </w:p>
    <w:p w14:paraId="1C02338C" w14:textId="23E98A89" w:rsidR="000A572D" w:rsidRPr="00686994" w:rsidRDefault="008579A3">
      <w:pPr>
        <w:pStyle w:val="Heading1"/>
      </w:pPr>
      <w:bookmarkStart w:id="2" w:name="_Hlk221695747"/>
      <w:r w:rsidRPr="00686994">
        <w:t>1</w:t>
      </w:r>
      <w:r w:rsidRPr="00686994">
        <w:tab/>
        <w:t xml:space="preserve">Draft </w:t>
      </w:r>
      <w:r w:rsidR="00211B70" w:rsidRPr="00686994">
        <w:t xml:space="preserve">revised </w:t>
      </w:r>
      <w:r w:rsidRPr="00686994">
        <w:t>Recommendation ITU-T X.1280 (</w:t>
      </w:r>
      <w:hyperlink r:id="rId12" w:history="1">
        <w:r w:rsidRPr="00686994">
          <w:rPr>
            <w:rStyle w:val="Hyperlink"/>
          </w:rPr>
          <w:t>SG17-R25</w:t>
        </w:r>
      </w:hyperlink>
      <w:r w:rsidRPr="00686994">
        <w:t>)</w:t>
      </w:r>
    </w:p>
    <w:p w14:paraId="1B803D95" w14:textId="77777777" w:rsidR="000A572D" w:rsidRPr="00D43A7B" w:rsidRDefault="008579A3">
      <w:r w:rsidRPr="00D43A7B">
        <w:t>Framework for out-of-band mutual authentication using mobile devices</w:t>
      </w:r>
    </w:p>
    <w:bookmarkEnd w:id="2"/>
    <w:p w14:paraId="21C73331" w14:textId="77777777" w:rsidR="000A572D" w:rsidRPr="00D43A7B" w:rsidRDefault="008579A3">
      <w:pPr>
        <w:pStyle w:val="Heading2"/>
      </w:pPr>
      <w:r w:rsidRPr="00D43A7B">
        <w:t>Summary</w:t>
      </w:r>
    </w:p>
    <w:p w14:paraId="2E75F317" w14:textId="77777777" w:rsidR="00CC69A9" w:rsidRPr="00CC69A9" w:rsidRDefault="00CC69A9" w:rsidP="00CC69A9">
      <w:pPr>
        <w:spacing w:after="120"/>
      </w:pPr>
      <w:r w:rsidRPr="00CC69A9">
        <w:t>In the authentication technology standards, verifier impersonation resistance is considered as a requirement of the highest level of authentication assurance. However, existing authentication technologies focus on user authentication and service providers cannot be verified explicitly.</w:t>
      </w:r>
    </w:p>
    <w:p w14:paraId="4AC66A64" w14:textId="7DFB731F" w:rsidR="00CC69A9" w:rsidRPr="00D43A7B" w:rsidRDefault="00CC69A9" w:rsidP="00CC69A9">
      <w:pPr>
        <w:spacing w:after="120"/>
      </w:pPr>
      <w:r w:rsidRPr="00CC69A9">
        <w:t>Recommendation ITU-T X.1280 provides a framework for out-of-band mutual authentication using mobile devices, which resolves the vulnerability of verifier impersonation and the limitation of user terminal dependency of the existing authenticators. It allows a user to provide user authentication information after verifying the service provider explicitly and independently in the user authentication process on any user terminals.</w:t>
      </w:r>
    </w:p>
    <w:p w14:paraId="260FD069" w14:textId="0497D895" w:rsidR="000A572D" w:rsidRPr="00AD435F" w:rsidRDefault="008579A3">
      <w:pPr>
        <w:pStyle w:val="Heading1"/>
        <w:rPr>
          <w:lang w:val="fr-FR"/>
        </w:rPr>
      </w:pPr>
      <w:bookmarkStart w:id="3" w:name="_Hlk221695738"/>
      <w:r w:rsidRPr="00AD435F">
        <w:rPr>
          <w:lang w:val="fr-FR"/>
        </w:rPr>
        <w:t>2</w:t>
      </w:r>
      <w:r w:rsidRPr="00AD435F">
        <w:rPr>
          <w:lang w:val="fr-FR"/>
        </w:rPr>
        <w:tab/>
        <w:t xml:space="preserve">Draft </w:t>
      </w:r>
      <w:proofErr w:type="spellStart"/>
      <w:r w:rsidRPr="00AD435F">
        <w:rPr>
          <w:lang w:val="fr-FR"/>
        </w:rPr>
        <w:t>Recommendation</w:t>
      </w:r>
      <w:proofErr w:type="spellEnd"/>
      <w:r w:rsidRPr="00AD435F">
        <w:rPr>
          <w:lang w:val="fr-FR"/>
        </w:rPr>
        <w:t xml:space="preserve"> ITU-T X.1286 (</w:t>
      </w:r>
      <w:proofErr w:type="gramStart"/>
      <w:r w:rsidRPr="00AD435F">
        <w:rPr>
          <w:lang w:val="fr-FR"/>
        </w:rPr>
        <w:t xml:space="preserve">ex </w:t>
      </w:r>
      <w:proofErr w:type="spellStart"/>
      <w:r w:rsidRPr="00AD435F">
        <w:rPr>
          <w:lang w:val="fr-FR"/>
        </w:rPr>
        <w:t>X</w:t>
      </w:r>
      <w:proofErr w:type="gramEnd"/>
      <w:r w:rsidRPr="00AD435F">
        <w:rPr>
          <w:lang w:val="fr-FR"/>
        </w:rPr>
        <w:t>.accsadlt</w:t>
      </w:r>
      <w:proofErr w:type="spellEnd"/>
      <w:r w:rsidRPr="00AD435F">
        <w:rPr>
          <w:lang w:val="fr-FR"/>
        </w:rPr>
        <w:t>) (</w:t>
      </w:r>
      <w:hyperlink r:id="rId13" w:history="1">
        <w:r w:rsidRPr="00AD435F">
          <w:rPr>
            <w:rStyle w:val="Hyperlink"/>
            <w:lang w:val="fr-FR"/>
          </w:rPr>
          <w:t>SG17-R26</w:t>
        </w:r>
      </w:hyperlink>
      <w:r w:rsidRPr="00AD435F">
        <w:rPr>
          <w:lang w:val="fr-FR"/>
        </w:rPr>
        <w:t>)</w:t>
      </w:r>
    </w:p>
    <w:p w14:paraId="47BB01B8" w14:textId="77777777" w:rsidR="000A572D" w:rsidRPr="00D43A7B" w:rsidRDefault="008579A3">
      <w:r w:rsidRPr="00D43A7B">
        <w:t>Access control platform using distributed ledger technology (DLT)-based authentication method</w:t>
      </w:r>
    </w:p>
    <w:bookmarkEnd w:id="3"/>
    <w:p w14:paraId="6C3DC4CF" w14:textId="77777777" w:rsidR="000A572D" w:rsidRPr="00D43A7B" w:rsidRDefault="008579A3">
      <w:pPr>
        <w:pStyle w:val="Heading2"/>
      </w:pPr>
      <w:r w:rsidRPr="00D43A7B">
        <w:t>Summary</w:t>
      </w:r>
    </w:p>
    <w:p w14:paraId="13AA3B0D" w14:textId="77777777" w:rsidR="00CC69A9" w:rsidRPr="00CC69A9" w:rsidRDefault="00CC69A9" w:rsidP="00CC69A9">
      <w:r w:rsidRPr="00CC69A9">
        <w:t xml:space="preserve">This Recommendation specifies the requirements for an access control platform using distributed ledger technology (DLT)-based authentication, a framework that enables secure, fast, and convenient distributed authentication and identity verification of users and devices </w:t>
      </w:r>
      <w:proofErr w:type="gramStart"/>
      <w:r w:rsidRPr="00CC69A9">
        <w:t>in order to</w:t>
      </w:r>
      <w:proofErr w:type="gramEnd"/>
      <w:r w:rsidRPr="00CC69A9">
        <w:t xml:space="preserve"> access to digital services. A DLT-based authentication systems enables secure identity identification, validation, and verification services designed to meet the requirements of the organization’s access controls.</w:t>
      </w:r>
    </w:p>
    <w:p w14:paraId="04A81979" w14:textId="77777777" w:rsidR="00CC69A9" w:rsidRPr="00CC69A9" w:rsidRDefault="00CC69A9" w:rsidP="00CC69A9">
      <w:r w:rsidRPr="00CC69A9">
        <w:t xml:space="preserve">An access control platform using DLT-based authentication protects user credentials against fraudulent activities through authentication and identity verification using DLT. DLT also enables a </w:t>
      </w:r>
      <w:proofErr w:type="spellStart"/>
      <w:r w:rsidRPr="00CC69A9">
        <w:t>passwordless</w:t>
      </w:r>
      <w:proofErr w:type="spellEnd"/>
      <w:r w:rsidRPr="00CC69A9">
        <w:t xml:space="preserve"> identity verification service with multi-factor authentication (MFA) methods to protect user’s account from being taken over (ATO), fraudulent transactions, unauthorized account access, account hijacking, credential fraud and ransomware.</w:t>
      </w:r>
    </w:p>
    <w:p w14:paraId="3FE5EFD4" w14:textId="77777777" w:rsidR="00CC69A9" w:rsidRPr="00CC69A9" w:rsidRDefault="00CC69A9" w:rsidP="00CC69A9">
      <w:r w:rsidRPr="00CC69A9">
        <w:t xml:space="preserve">This Recommendation could help DLT system </w:t>
      </w:r>
      <w:r w:rsidRPr="00CC69A9">
        <w:rPr>
          <w:bCs/>
        </w:rPr>
        <w:t>researchers, designers, developers, and organizations to design, implement, and operate an access control platform using DLT based authentication.</w:t>
      </w:r>
    </w:p>
    <w:p w14:paraId="6BD12C21" w14:textId="6CC912F9" w:rsidR="00686994" w:rsidRPr="00AD435F" w:rsidRDefault="008579A3" w:rsidP="00686994">
      <w:pPr>
        <w:pStyle w:val="Heading1"/>
        <w:rPr>
          <w:lang w:val="fr-FR"/>
        </w:rPr>
      </w:pPr>
      <w:bookmarkStart w:id="4" w:name="_Hlk221695781"/>
      <w:r w:rsidRPr="00AD435F">
        <w:rPr>
          <w:lang w:val="fr-FR"/>
        </w:rPr>
        <w:t>3</w:t>
      </w:r>
      <w:r w:rsidRPr="00AD435F">
        <w:rPr>
          <w:lang w:val="fr-FR"/>
        </w:rPr>
        <w:tab/>
      </w:r>
      <w:r w:rsidR="00686994" w:rsidRPr="00AD435F">
        <w:rPr>
          <w:lang w:val="fr-FR"/>
        </w:rPr>
        <w:t xml:space="preserve">Draft </w:t>
      </w:r>
      <w:proofErr w:type="spellStart"/>
      <w:r w:rsidR="00686994" w:rsidRPr="00AD435F">
        <w:rPr>
          <w:lang w:val="fr-FR"/>
        </w:rPr>
        <w:t>Recommendation</w:t>
      </w:r>
      <w:proofErr w:type="spellEnd"/>
      <w:r w:rsidR="00686994" w:rsidRPr="00AD435F">
        <w:rPr>
          <w:lang w:val="fr-FR"/>
        </w:rPr>
        <w:t xml:space="preserve"> ITU-T X.1821 (ex X.5Gsec-asra) (</w:t>
      </w:r>
      <w:hyperlink r:id="rId14" w:history="1">
        <w:r w:rsidR="00686994" w:rsidRPr="00AD435F">
          <w:rPr>
            <w:rStyle w:val="Hyperlink"/>
            <w:lang w:val="fr-FR"/>
          </w:rPr>
          <w:t>SG17-R27</w:t>
        </w:r>
      </w:hyperlink>
      <w:r w:rsidR="00686994" w:rsidRPr="00AD435F">
        <w:rPr>
          <w:lang w:val="fr-FR"/>
        </w:rPr>
        <w:t>)</w:t>
      </w:r>
    </w:p>
    <w:p w14:paraId="5296D34A" w14:textId="77777777" w:rsidR="00686994" w:rsidRPr="00D43A7B" w:rsidRDefault="00686994" w:rsidP="00686994">
      <w:r w:rsidRPr="00D43A7B">
        <w:t>Guidelines and technical requirements for the analysis of IMT-2020/5G network asset security risk</w:t>
      </w:r>
    </w:p>
    <w:bookmarkEnd w:id="4"/>
    <w:p w14:paraId="7F34ADE6" w14:textId="77777777" w:rsidR="00686994" w:rsidRPr="00D43A7B" w:rsidRDefault="00686994" w:rsidP="00686994">
      <w:pPr>
        <w:pStyle w:val="Heading2"/>
      </w:pPr>
      <w:r w:rsidRPr="00D43A7B">
        <w:t>Summary</w:t>
      </w:r>
    </w:p>
    <w:p w14:paraId="5F312D94" w14:textId="7CAE67DF" w:rsidR="00916D8F" w:rsidRDefault="00CC69A9" w:rsidP="00916D8F">
      <w:r w:rsidRPr="00CC69A9">
        <w:t>This Recommendation describes the necessity of conducting security risk analysis for IMT-2020/5G network assets during the operation and maintenance phase and identifies the gaps in current practices. Based on this analysis, this Recommendation specifies technical requirements and guidelines for IMT-2020/5G network asset security risk analysis, namely vulnerability detection, security baseline verification and asset security event analysis.</w:t>
      </w:r>
      <w:r w:rsidR="00916D8F">
        <w:br w:type="page"/>
      </w:r>
    </w:p>
    <w:p w14:paraId="1FA721AA" w14:textId="096A9E26" w:rsidR="00883D42" w:rsidRPr="00AD435F" w:rsidRDefault="008579A3" w:rsidP="00883D42">
      <w:pPr>
        <w:pStyle w:val="Heading1"/>
        <w:rPr>
          <w:lang w:val="fr-FR"/>
        </w:rPr>
      </w:pPr>
      <w:bookmarkStart w:id="5" w:name="_Hlk221695844"/>
      <w:r w:rsidRPr="00AD435F">
        <w:rPr>
          <w:lang w:val="fr-FR"/>
        </w:rPr>
        <w:lastRenderedPageBreak/>
        <w:t>4</w:t>
      </w:r>
      <w:r w:rsidR="00883D42" w:rsidRPr="00883D42">
        <w:rPr>
          <w:lang w:val="fr-FR"/>
        </w:rPr>
        <w:t xml:space="preserve"> </w:t>
      </w:r>
      <w:r w:rsidR="00883D42">
        <w:rPr>
          <w:lang w:val="fr-FR"/>
        </w:rPr>
        <w:tab/>
      </w:r>
      <w:bookmarkStart w:id="6" w:name="_Hlk221695836"/>
      <w:r w:rsidR="00883D42" w:rsidRPr="00AD435F">
        <w:rPr>
          <w:lang w:val="fr-FR"/>
        </w:rPr>
        <w:t xml:space="preserve">Draft </w:t>
      </w:r>
      <w:proofErr w:type="spellStart"/>
      <w:r w:rsidR="00883D42" w:rsidRPr="00AD435F">
        <w:rPr>
          <w:lang w:val="fr-FR"/>
        </w:rPr>
        <w:t>Recommendation</w:t>
      </w:r>
      <w:proofErr w:type="spellEnd"/>
      <w:r w:rsidR="00883D42" w:rsidRPr="00AD435F">
        <w:rPr>
          <w:lang w:val="fr-FR"/>
        </w:rPr>
        <w:t xml:space="preserve"> ITU-T X.1350 (</w:t>
      </w:r>
      <w:proofErr w:type="gramStart"/>
      <w:r w:rsidR="00883D42" w:rsidRPr="00AD435F">
        <w:rPr>
          <w:lang w:val="fr-FR"/>
        </w:rPr>
        <w:t>ex X</w:t>
      </w:r>
      <w:proofErr w:type="gramEnd"/>
      <w:r w:rsidR="00883D42" w:rsidRPr="00AD435F">
        <w:rPr>
          <w:lang w:val="fr-FR"/>
        </w:rPr>
        <w:t>.sr-</w:t>
      </w:r>
      <w:proofErr w:type="spellStart"/>
      <w:r w:rsidR="00883D42" w:rsidRPr="00AD435F">
        <w:rPr>
          <w:lang w:val="fr-FR"/>
        </w:rPr>
        <w:t>iiot</w:t>
      </w:r>
      <w:proofErr w:type="spellEnd"/>
      <w:r w:rsidR="00883D42" w:rsidRPr="00AD435F">
        <w:rPr>
          <w:lang w:val="fr-FR"/>
        </w:rPr>
        <w:t>) (</w:t>
      </w:r>
      <w:hyperlink r:id="rId15" w:history="1">
        <w:r w:rsidR="00883D42" w:rsidRPr="00AD435F">
          <w:rPr>
            <w:rStyle w:val="Hyperlink"/>
            <w:lang w:val="fr-FR"/>
          </w:rPr>
          <w:t>SG17-R28</w:t>
        </w:r>
      </w:hyperlink>
      <w:r w:rsidR="00883D42" w:rsidRPr="00AD435F">
        <w:rPr>
          <w:lang w:val="fr-FR"/>
        </w:rPr>
        <w:t>)</w:t>
      </w:r>
    </w:p>
    <w:p w14:paraId="69C32895" w14:textId="77777777" w:rsidR="00883D42" w:rsidRPr="00D43A7B" w:rsidRDefault="00883D42" w:rsidP="00883D42">
      <w:r w:rsidRPr="00D43A7B">
        <w:t>Security requirements for the industrial Internet of things in smart manufacturing</w:t>
      </w:r>
    </w:p>
    <w:bookmarkEnd w:id="6"/>
    <w:bookmarkEnd w:id="5"/>
    <w:p w14:paraId="7EF8D44F" w14:textId="77777777" w:rsidR="00883D42" w:rsidRPr="00D43A7B" w:rsidRDefault="00883D42" w:rsidP="00883D42">
      <w:pPr>
        <w:pStyle w:val="Heading2"/>
      </w:pPr>
      <w:r w:rsidRPr="00D43A7B">
        <w:t>Summary</w:t>
      </w:r>
    </w:p>
    <w:p w14:paraId="1118D7AC" w14:textId="77777777" w:rsidR="00883D42" w:rsidRPr="00883D42" w:rsidRDefault="00883D42" w:rsidP="00883D42">
      <w:r w:rsidRPr="00883D42">
        <w:fldChar w:fldCharType="begin"/>
      </w:r>
      <w:r w:rsidRPr="00883D42">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4F3376E1" w14:textId="0AD16515" w:rsidR="00CC69A9" w:rsidRPr="00CC69A9" w:rsidRDefault="00883D42" w:rsidP="00CC69A9">
      <w:r w:rsidRPr="00883D42">
        <w:instrText xml:space="preserve"> </w:instrText>
      </w:r>
      <w:r w:rsidRPr="00883D42">
        <w:fldChar w:fldCharType="separate"/>
      </w:r>
      <w:r w:rsidRPr="00883D42">
        <w:fldChar w:fldCharType="end"/>
      </w:r>
      <w:r w:rsidR="00CC69A9" w:rsidRPr="00CC69A9">
        <w:fldChar w:fldCharType="begin"/>
      </w:r>
      <w:r w:rsidR="00CC69A9" w:rsidRPr="00CC69A9">
        <w:instrText xml:space="preserve"> Smart manufacturing, which is based on advanced Information and Communication Technology (ICT) and aims to increase the efficiency, safety, reliability, and productivity of manufacturing processes and innovate the product manufacturing process, is being introduced.</w:instrText>
      </w:r>
    </w:p>
    <w:p w14:paraId="4C5FB52A" w14:textId="45F34438" w:rsidR="00CC69A9" w:rsidRPr="00D43A7B" w:rsidRDefault="00CC69A9" w:rsidP="00883D42">
      <w:r w:rsidRPr="00CC69A9">
        <w:instrText xml:space="preserve"> </w:instrText>
      </w:r>
      <w:r w:rsidRPr="00CC69A9">
        <w:fldChar w:fldCharType="separate"/>
      </w:r>
      <w:r w:rsidRPr="00CC69A9">
        <w:fldChar w:fldCharType="end"/>
      </w:r>
      <w:r w:rsidRPr="00CC69A9">
        <w:t>This Recommendation identifies potential security threats and specifies corresponding security requirements that can occur in the intelligence dimension of industrial Internet of things (</w:t>
      </w:r>
      <w:proofErr w:type="spellStart"/>
      <w:r w:rsidRPr="00CC69A9">
        <w:t>IIoT</w:t>
      </w:r>
      <w:proofErr w:type="spellEnd"/>
      <w:r w:rsidRPr="00CC69A9">
        <w:t xml:space="preserve">) based smart manufacturing specified in [ITU-T Y.4003]. Specifically, in this Recommendation, potential security threats that can occur at each layer of the intelligence dimension among the three dimensions (i.e., product lifecycle, system hierarchy, intelligence) of </w:t>
      </w:r>
      <w:proofErr w:type="spellStart"/>
      <w:r w:rsidRPr="00CC69A9">
        <w:t>IIoT</w:t>
      </w:r>
      <w:proofErr w:type="spellEnd"/>
      <w:r w:rsidRPr="00CC69A9">
        <w:t xml:space="preserve">-based smart manufacturing are identified. The security requirements to respond to the identified security threats are specified for securing the intelligence dimension of </w:t>
      </w:r>
      <w:proofErr w:type="spellStart"/>
      <w:r w:rsidRPr="00CC69A9">
        <w:t>IIoT</w:t>
      </w:r>
      <w:proofErr w:type="spellEnd"/>
      <w:r w:rsidRPr="00CC69A9">
        <w:t>-based smart manufacturing.</w:t>
      </w:r>
    </w:p>
    <w:p w14:paraId="1EE1067B" w14:textId="12563715" w:rsidR="00883D42" w:rsidRPr="00AD435F" w:rsidRDefault="008579A3" w:rsidP="00883D42">
      <w:pPr>
        <w:pStyle w:val="Heading1"/>
        <w:rPr>
          <w:lang w:val="fr-FR"/>
        </w:rPr>
      </w:pPr>
      <w:bookmarkStart w:id="7" w:name="_Hlk221695875"/>
      <w:r w:rsidRPr="00AD435F">
        <w:rPr>
          <w:lang w:val="fr-FR"/>
        </w:rPr>
        <w:t>5</w:t>
      </w:r>
      <w:r w:rsidRPr="00AD435F">
        <w:rPr>
          <w:lang w:val="fr-FR"/>
        </w:rPr>
        <w:tab/>
      </w:r>
      <w:r w:rsidR="00883D42" w:rsidRPr="00AD435F">
        <w:rPr>
          <w:lang w:val="fr-FR"/>
        </w:rPr>
        <w:t xml:space="preserve">Draft </w:t>
      </w:r>
      <w:proofErr w:type="spellStart"/>
      <w:r w:rsidR="00883D42" w:rsidRPr="00AD435F">
        <w:rPr>
          <w:lang w:val="fr-FR"/>
        </w:rPr>
        <w:t>Recommendation</w:t>
      </w:r>
      <w:proofErr w:type="spellEnd"/>
      <w:r w:rsidR="00883D42" w:rsidRPr="00AD435F">
        <w:rPr>
          <w:lang w:val="fr-FR"/>
        </w:rPr>
        <w:t xml:space="preserve"> ITU-T </w:t>
      </w:r>
      <w:bookmarkStart w:id="8" w:name="_Hlk221638629"/>
      <w:r w:rsidR="00883D42" w:rsidRPr="00AD435F">
        <w:rPr>
          <w:lang w:val="fr-FR"/>
        </w:rPr>
        <w:t>X.2105 (</w:t>
      </w:r>
      <w:proofErr w:type="gramStart"/>
      <w:r w:rsidR="00883D42" w:rsidRPr="00AD435F">
        <w:rPr>
          <w:lang w:val="fr-FR"/>
        </w:rPr>
        <w:t>ex X</w:t>
      </w:r>
      <w:proofErr w:type="gramEnd"/>
      <w:r w:rsidR="00883D42" w:rsidRPr="00AD435F">
        <w:rPr>
          <w:lang w:val="fr-FR"/>
        </w:rPr>
        <w:t>.st-</w:t>
      </w:r>
      <w:proofErr w:type="spellStart"/>
      <w:r w:rsidR="00883D42" w:rsidRPr="00AD435F">
        <w:rPr>
          <w:lang w:val="fr-FR"/>
        </w:rPr>
        <w:t>ssc</w:t>
      </w:r>
      <w:proofErr w:type="spellEnd"/>
      <w:r w:rsidR="00883D42" w:rsidRPr="00AD435F">
        <w:rPr>
          <w:lang w:val="fr-FR"/>
        </w:rPr>
        <w:t>)</w:t>
      </w:r>
      <w:bookmarkEnd w:id="8"/>
      <w:r w:rsidR="00883D42" w:rsidRPr="00AD435F">
        <w:rPr>
          <w:lang w:val="fr-FR"/>
        </w:rPr>
        <w:t xml:space="preserve"> (</w:t>
      </w:r>
      <w:hyperlink r:id="rId16" w:history="1">
        <w:r w:rsidR="00883D42" w:rsidRPr="00883D42">
          <w:rPr>
            <w:rStyle w:val="Hyperlink"/>
            <w:lang w:val="fr-FR"/>
          </w:rPr>
          <w:t>SG17-R29</w:t>
        </w:r>
      </w:hyperlink>
      <w:r w:rsidR="00883D42" w:rsidRPr="00AD435F">
        <w:rPr>
          <w:lang w:val="fr-FR"/>
        </w:rPr>
        <w:t>)</w:t>
      </w:r>
    </w:p>
    <w:p w14:paraId="39C253E8" w14:textId="77777777" w:rsidR="00883D42" w:rsidRPr="00D43A7B" w:rsidRDefault="00883D42" w:rsidP="00883D42">
      <w:r w:rsidRPr="00D43A7B">
        <w:t>Security threats of software supply chain</w:t>
      </w:r>
    </w:p>
    <w:bookmarkEnd w:id="7"/>
    <w:p w14:paraId="6F19C019" w14:textId="77777777" w:rsidR="00883D42" w:rsidRPr="00D43A7B" w:rsidRDefault="00883D42" w:rsidP="00883D42">
      <w:pPr>
        <w:pStyle w:val="Heading2"/>
      </w:pPr>
      <w:r w:rsidRPr="00D43A7B">
        <w:t>Summary</w:t>
      </w:r>
    </w:p>
    <w:p w14:paraId="63D6A32F" w14:textId="476095AD" w:rsidR="003E01D1" w:rsidRPr="003E01D1" w:rsidRDefault="003E01D1" w:rsidP="003E01D1">
      <w:r w:rsidRPr="003E01D1">
        <w:t xml:space="preserve">In recent years, there has been a significant increase in the number of cyberattacks resulting from vulnerabilities within the software supply chain. These attacks can result in devastating, expensive and long-term ramifications for affected organizations, their supply chains and their customers. To address these threats, there is a need to identify security threats in the software supply chain life cycle. There is also a need to identify all related stakeholders. These threats can be used to develop the controls in the software supply chain life cycle. </w:t>
      </w:r>
    </w:p>
    <w:p w14:paraId="3C3F3BAF" w14:textId="77777777" w:rsidR="003E01D1" w:rsidRPr="003E01D1" w:rsidRDefault="003E01D1" w:rsidP="003E01D1">
      <w:pPr>
        <w:rPr>
          <w:b/>
        </w:rPr>
      </w:pPr>
      <w:r w:rsidRPr="003E01D1">
        <w:t>This Recommendation provides high-level security threats and controls for software supply chain security, low-level security threats to the software supply chain, including open-source software (OSS) and closed-source software. It also provides fundamental principles and supply chain attack examples, identifies stakeholders involved in the development, build and distribution of software, and specifies the taxonomy of security threats in the software life-cycle processes. It also assigns an index to security threats according to category, so that each threat can be referenced by other parts of this Recommendation and other Recommendations.</w:t>
      </w:r>
    </w:p>
    <w:p w14:paraId="79D4AEF7" w14:textId="00CD6C9B" w:rsidR="00883D42" w:rsidRPr="00AD435F" w:rsidRDefault="008579A3" w:rsidP="00883D42">
      <w:pPr>
        <w:pStyle w:val="Heading1"/>
        <w:rPr>
          <w:lang w:val="fr-FR"/>
        </w:rPr>
      </w:pPr>
      <w:bookmarkStart w:id="9" w:name="_Hlk221695902"/>
      <w:r w:rsidRPr="00AD435F">
        <w:rPr>
          <w:lang w:val="fr-FR"/>
        </w:rPr>
        <w:t>6</w:t>
      </w:r>
      <w:r w:rsidRPr="00AD435F">
        <w:rPr>
          <w:lang w:val="fr-FR"/>
        </w:rPr>
        <w:tab/>
      </w:r>
      <w:r w:rsidR="00883D42" w:rsidRPr="00AD435F">
        <w:rPr>
          <w:lang w:val="fr-FR"/>
        </w:rPr>
        <w:t xml:space="preserve">Draft </w:t>
      </w:r>
      <w:proofErr w:type="spellStart"/>
      <w:r w:rsidR="00883D42" w:rsidRPr="00AD435F">
        <w:rPr>
          <w:lang w:val="fr-FR"/>
        </w:rPr>
        <w:t>Recommendation</w:t>
      </w:r>
      <w:proofErr w:type="spellEnd"/>
      <w:r w:rsidR="00883D42" w:rsidRPr="00AD435F">
        <w:rPr>
          <w:lang w:val="fr-FR"/>
        </w:rPr>
        <w:t xml:space="preserve"> ITU-T X.2210 (</w:t>
      </w:r>
      <w:proofErr w:type="gramStart"/>
      <w:r w:rsidR="00883D42" w:rsidRPr="00AD435F">
        <w:rPr>
          <w:lang w:val="fr-FR"/>
        </w:rPr>
        <w:t xml:space="preserve">ex </w:t>
      </w:r>
      <w:proofErr w:type="spellStart"/>
      <w:r w:rsidR="00883D42" w:rsidRPr="00AD435F">
        <w:rPr>
          <w:lang w:val="fr-FR"/>
        </w:rPr>
        <w:t>X</w:t>
      </w:r>
      <w:proofErr w:type="gramEnd"/>
      <w:r w:rsidR="00883D42" w:rsidRPr="00AD435F">
        <w:rPr>
          <w:lang w:val="fr-FR"/>
        </w:rPr>
        <w:t>.ig-dw</w:t>
      </w:r>
      <w:proofErr w:type="spellEnd"/>
      <w:r w:rsidR="00883D42" w:rsidRPr="00AD435F">
        <w:rPr>
          <w:lang w:val="fr-FR"/>
        </w:rPr>
        <w:t>) (</w:t>
      </w:r>
      <w:hyperlink r:id="rId17" w:history="1">
        <w:r w:rsidR="00883D42" w:rsidRPr="00AD435F">
          <w:rPr>
            <w:rStyle w:val="Hyperlink"/>
            <w:lang w:val="fr-FR"/>
          </w:rPr>
          <w:t>SG17-R30</w:t>
        </w:r>
      </w:hyperlink>
      <w:r w:rsidR="00883D42" w:rsidRPr="00AD435F">
        <w:rPr>
          <w:lang w:val="fr-FR"/>
        </w:rPr>
        <w:t>)</w:t>
      </w:r>
    </w:p>
    <w:p w14:paraId="6F493702" w14:textId="77777777" w:rsidR="00883D42" w:rsidRPr="00D43A7B" w:rsidRDefault="00883D42" w:rsidP="00883D42">
      <w:r w:rsidRPr="00D43A7B">
        <w:t>Implementation guidelines for digital watermarking</w:t>
      </w:r>
    </w:p>
    <w:bookmarkEnd w:id="9"/>
    <w:p w14:paraId="66D03C8A" w14:textId="77777777" w:rsidR="00883D42" w:rsidRDefault="00883D42" w:rsidP="00883D42">
      <w:pPr>
        <w:pStyle w:val="Heading2"/>
      </w:pPr>
      <w:r w:rsidRPr="00D43A7B">
        <w:t>Summary</w:t>
      </w:r>
    </w:p>
    <w:p w14:paraId="2D6F105F" w14:textId="77777777" w:rsidR="003E01D1" w:rsidRPr="003E01D1" w:rsidRDefault="003E01D1" w:rsidP="003E01D1">
      <w:r w:rsidRPr="003E01D1">
        <w:t>In the rapidly evolving digital economy, digital watermarking technology emerges as a crucial field, addressing the growing concerns of digital content piracy, authenticity verification and trusted management of data assets. This technology, especially in its invisible form, is instrumental in protecting digital copyrights and proving the authenticity of various digital media, including images, videos, audio, documents, web pages, databases and emerging generative artificial intelligence content. However, it also faces significant challenges. The prevalence of new forms of attacks and interferences, such as sophisticated image and video editing tools, large-scale content distribution platforms and unauthorized information leakage, has made watermark extraction and integrity protection increasingly difficult. Moreover, the emergence of novel digital contents like generative artificial intelligence (AI) and real-time interactive services poses new application demands, necessitating the advancement of watermarking techniques to accommodate large-capacity and real-time requirements while ensuring robust security and reliability.</w:t>
      </w:r>
    </w:p>
    <w:p w14:paraId="18D3E8C0" w14:textId="77777777" w:rsidR="003E01D1" w:rsidRPr="003E01D1" w:rsidRDefault="003E01D1" w:rsidP="003E01D1">
      <w:r w:rsidRPr="003E01D1">
        <w:t xml:space="preserve">Recognizing these challenges and the need for a unified implementation approach across different types of watermark carriers, this Recommendation aims to guide organizations in the effective </w:t>
      </w:r>
      <w:r w:rsidRPr="003E01D1">
        <w:lastRenderedPageBreak/>
        <w:t>deployment of digital watermarking technology focusing on enhancing its usability, reliability, and trustworthiness.</w:t>
      </w:r>
    </w:p>
    <w:p w14:paraId="1494D83B" w14:textId="77777777" w:rsidR="003E01D1" w:rsidRPr="003E01D1" w:rsidRDefault="003E01D1" w:rsidP="003E01D1">
      <w:r w:rsidRPr="003E01D1">
        <w:t>Typical application scenarios covered by this Recommendation include data leakage tracking, data integrity protection in services such as live video streaming and large-scale content distribution. By providing guidelines for defining implementation objectives, selecting watermarking algorithms through a detailed methodology approach, and encapsulating watermarking services, this Recommendation offers a comprehensive and practical framework for digital watermarking implementation, addressing current and future needs in safeguarding digital content and supporting trusted digital services in today's digital landscape.</w:t>
      </w:r>
    </w:p>
    <w:p w14:paraId="084379AC" w14:textId="77777777" w:rsidR="00883D42" w:rsidRPr="00AD435F" w:rsidRDefault="008579A3" w:rsidP="00883D42">
      <w:pPr>
        <w:pStyle w:val="Heading1"/>
        <w:rPr>
          <w:lang w:val="fr-FR"/>
        </w:rPr>
      </w:pPr>
      <w:bookmarkStart w:id="10" w:name="_Hlk221695940"/>
      <w:r w:rsidRPr="00AD435F">
        <w:rPr>
          <w:lang w:val="fr-FR"/>
        </w:rPr>
        <w:t>7</w:t>
      </w:r>
      <w:r w:rsidRPr="00AD435F">
        <w:rPr>
          <w:lang w:val="fr-FR"/>
        </w:rPr>
        <w:tab/>
      </w:r>
      <w:bookmarkStart w:id="11" w:name="_Hlk221695933"/>
      <w:r w:rsidR="00883D42" w:rsidRPr="00AD435F">
        <w:rPr>
          <w:lang w:val="fr-FR"/>
        </w:rPr>
        <w:t xml:space="preserve">Draft </w:t>
      </w:r>
      <w:proofErr w:type="spellStart"/>
      <w:r w:rsidR="00883D42" w:rsidRPr="00AD435F">
        <w:rPr>
          <w:lang w:val="fr-FR"/>
        </w:rPr>
        <w:t>Recommendation</w:t>
      </w:r>
      <w:proofErr w:type="spellEnd"/>
      <w:r w:rsidR="00883D42" w:rsidRPr="00AD435F">
        <w:rPr>
          <w:lang w:val="fr-FR"/>
        </w:rPr>
        <w:t xml:space="preserve"> ITU-T X.1910 (</w:t>
      </w:r>
      <w:proofErr w:type="gramStart"/>
      <w:r w:rsidR="00883D42" w:rsidRPr="00AD435F">
        <w:rPr>
          <w:lang w:val="fr-FR"/>
        </w:rPr>
        <w:t>ex X</w:t>
      </w:r>
      <w:proofErr w:type="gramEnd"/>
      <w:r w:rsidR="00883D42" w:rsidRPr="00AD435F">
        <w:rPr>
          <w:lang w:val="fr-FR"/>
        </w:rPr>
        <w:t>.tc-</w:t>
      </w:r>
      <w:proofErr w:type="spellStart"/>
      <w:r w:rsidR="00883D42" w:rsidRPr="00AD435F">
        <w:rPr>
          <w:lang w:val="fr-FR"/>
        </w:rPr>
        <w:t>ifd</w:t>
      </w:r>
      <w:proofErr w:type="spellEnd"/>
      <w:r w:rsidR="00883D42" w:rsidRPr="00AD435F">
        <w:rPr>
          <w:lang w:val="fr-FR"/>
        </w:rPr>
        <w:t>) (</w:t>
      </w:r>
      <w:hyperlink r:id="rId18" w:history="1">
        <w:r w:rsidR="00883D42" w:rsidRPr="00AD435F">
          <w:rPr>
            <w:rStyle w:val="Hyperlink"/>
            <w:lang w:val="fr-FR"/>
          </w:rPr>
          <w:t>SG17-R31</w:t>
        </w:r>
      </w:hyperlink>
      <w:r w:rsidR="00883D42" w:rsidRPr="00AD435F">
        <w:rPr>
          <w:lang w:val="fr-FR"/>
        </w:rPr>
        <w:t>)</w:t>
      </w:r>
    </w:p>
    <w:p w14:paraId="1F9F7E8C" w14:textId="77777777" w:rsidR="00883D42" w:rsidRPr="00D43A7B" w:rsidRDefault="00883D42" w:rsidP="00883D42">
      <w:r w:rsidRPr="00D43A7B">
        <w:t>Technical capabilities of interactive deception risk detection</w:t>
      </w:r>
    </w:p>
    <w:bookmarkEnd w:id="11"/>
    <w:bookmarkEnd w:id="10"/>
    <w:p w14:paraId="44C68A24" w14:textId="77777777" w:rsidR="00883D42" w:rsidRDefault="00883D42" w:rsidP="00883D42">
      <w:pPr>
        <w:pStyle w:val="Heading2"/>
      </w:pPr>
      <w:r w:rsidRPr="00D43A7B">
        <w:t>Summary</w:t>
      </w:r>
    </w:p>
    <w:p w14:paraId="385DB705" w14:textId="77777777" w:rsidR="003E01D1" w:rsidRPr="003E01D1" w:rsidRDefault="003E01D1" w:rsidP="003E01D1">
      <w:r w:rsidRPr="003E01D1">
        <w:t xml:space="preserve">Deception risk detection is a very important capability for certain ICT systems including systems for payment, rental system and credit granting etc.  Traditional deception risk detection mechanisms for these systems are based on service information gathering and rule/pattern matching, etc. As big data and AI technologies evolving, back-end system with automatic decision-making for deception risk detection is increasingly common. But the deception risk identification decisions made only by back-end systems face challenges such as the dependency on adequate data, balance between accuracy and recall rate and a friendly user interaction when service abortion caused by deception risk detection and response. Interactive deception risk detection, which means during the service launching and execution, users are invited in a conversation with ICT service systems, for information query to identify and reduce deception risk, provides the following benefits: </w:t>
      </w:r>
    </w:p>
    <w:p w14:paraId="7E430F68" w14:textId="77777777" w:rsidR="003E01D1" w:rsidRPr="003E01D1" w:rsidRDefault="003E01D1" w:rsidP="003E01D1">
      <w:r w:rsidRPr="003E01D1">
        <w:t>Firstly, interactive deception risk detection will help to gather necessary information during the service process to strengthen the detection and decision of deception risk analysis, which can improve the accuracy and reduced the recall rate.</w:t>
      </w:r>
    </w:p>
    <w:p w14:paraId="6DB30BC1" w14:textId="77777777" w:rsidR="003E01D1" w:rsidRPr="003E01D1" w:rsidRDefault="003E01D1" w:rsidP="003E01D1">
      <w:r w:rsidRPr="003E01D1">
        <w:t>Secondly, when there is a suspicious deception risk happened, an interaction with user will help to let the user understand what happened and potentially promote the user’s awareness of deception risks in subsequent transactions.</w:t>
      </w:r>
    </w:p>
    <w:p w14:paraId="08D6D870" w14:textId="77777777" w:rsidR="003E01D1" w:rsidRPr="003E01D1" w:rsidRDefault="003E01D1" w:rsidP="003E01D1">
      <w:r w:rsidRPr="003E01D1">
        <w:t xml:space="preserve">Considering these factors, this document introduces technical capabilities of interactive deception risk detection, with which, the deception risk detection system will cooperate with an interactive engine to better identify the deception risk when there is not enough information identified to decide the risk level. According to rules, corpus and some other situation, the interactive engine contacts user by phone call, SMS, online interaction or other ways to collect more information for the deception risk detection system </w:t>
      </w:r>
      <w:proofErr w:type="gramStart"/>
      <w:r w:rsidRPr="003E01D1">
        <w:t>so as to</w:t>
      </w:r>
      <w:proofErr w:type="gramEnd"/>
      <w:r w:rsidRPr="003E01D1">
        <w:t xml:space="preserve"> lower the risk level. </w:t>
      </w:r>
    </w:p>
    <w:p w14:paraId="3539F4C3" w14:textId="24BC7A2B" w:rsidR="00916D8F" w:rsidRDefault="003E01D1" w:rsidP="003E01D1">
      <w:r w:rsidRPr="003E01D1">
        <w:t>This Recommendation specifies technical capabilities of interactive deception risk detection, including capability identification, functional components to support identified capabilities and procedures that support interaction among different functional components.</w:t>
      </w:r>
    </w:p>
    <w:p w14:paraId="6DA78EEC" w14:textId="77777777" w:rsidR="00916D8F" w:rsidRDefault="00916D8F">
      <w:pPr>
        <w:tabs>
          <w:tab w:val="clear" w:pos="794"/>
          <w:tab w:val="clear" w:pos="1191"/>
          <w:tab w:val="clear" w:pos="1588"/>
          <w:tab w:val="clear" w:pos="1985"/>
        </w:tabs>
        <w:overflowPunct/>
        <w:autoSpaceDE/>
        <w:autoSpaceDN/>
        <w:adjustRightInd/>
        <w:spacing w:before="0"/>
        <w:textAlignment w:val="auto"/>
      </w:pPr>
      <w:r>
        <w:br w:type="page"/>
      </w:r>
    </w:p>
    <w:p w14:paraId="3F4311F8" w14:textId="14A52904" w:rsidR="00244EE7" w:rsidRPr="00AD435F" w:rsidRDefault="008579A3" w:rsidP="00244EE7">
      <w:pPr>
        <w:pStyle w:val="Heading1"/>
        <w:rPr>
          <w:lang w:val="fr-FR"/>
        </w:rPr>
      </w:pPr>
      <w:bookmarkStart w:id="12" w:name="_Hlk221695965"/>
      <w:r w:rsidRPr="00AD435F">
        <w:rPr>
          <w:lang w:val="fr-FR"/>
        </w:rPr>
        <w:lastRenderedPageBreak/>
        <w:t>8</w:t>
      </w:r>
      <w:r w:rsidR="00244EE7" w:rsidRPr="00244EE7">
        <w:rPr>
          <w:lang w:val="fr-FR"/>
        </w:rPr>
        <w:t xml:space="preserve"> </w:t>
      </w:r>
      <w:r w:rsidR="00244EE7">
        <w:rPr>
          <w:lang w:val="fr-FR"/>
        </w:rPr>
        <w:tab/>
      </w:r>
      <w:r w:rsidR="00244EE7" w:rsidRPr="00AD435F">
        <w:rPr>
          <w:lang w:val="fr-FR"/>
        </w:rPr>
        <w:t xml:space="preserve">Draft </w:t>
      </w:r>
      <w:proofErr w:type="spellStart"/>
      <w:r w:rsidR="00244EE7" w:rsidRPr="00AD435F">
        <w:rPr>
          <w:lang w:val="fr-FR"/>
        </w:rPr>
        <w:t>Recommendation</w:t>
      </w:r>
      <w:proofErr w:type="spellEnd"/>
      <w:r w:rsidR="00244EE7" w:rsidRPr="00AD435F">
        <w:rPr>
          <w:lang w:val="fr-FR"/>
        </w:rPr>
        <w:t xml:space="preserve"> ITU-T X.1651 (</w:t>
      </w:r>
      <w:proofErr w:type="gramStart"/>
      <w:r w:rsidR="00244EE7" w:rsidRPr="00AD435F">
        <w:rPr>
          <w:lang w:val="fr-FR"/>
        </w:rPr>
        <w:t xml:space="preserve">ex </w:t>
      </w:r>
      <w:proofErr w:type="spellStart"/>
      <w:r w:rsidR="00244EE7" w:rsidRPr="00AD435F">
        <w:rPr>
          <w:lang w:val="fr-FR"/>
        </w:rPr>
        <w:t>X</w:t>
      </w:r>
      <w:proofErr w:type="gramEnd"/>
      <w:r w:rsidR="00244EE7" w:rsidRPr="00AD435F">
        <w:rPr>
          <w:lang w:val="fr-FR"/>
        </w:rPr>
        <w:t>.soar</w:t>
      </w:r>
      <w:proofErr w:type="spellEnd"/>
      <w:r w:rsidR="00244EE7" w:rsidRPr="00AD435F">
        <w:rPr>
          <w:lang w:val="fr-FR"/>
        </w:rPr>
        <w:t>-cc) (</w:t>
      </w:r>
      <w:hyperlink r:id="rId19" w:history="1">
        <w:r w:rsidR="00244EE7" w:rsidRPr="00AD435F">
          <w:rPr>
            <w:rStyle w:val="Hyperlink"/>
            <w:lang w:val="fr-FR"/>
          </w:rPr>
          <w:t>SG17-R32</w:t>
        </w:r>
      </w:hyperlink>
      <w:r w:rsidR="00244EE7" w:rsidRPr="00AD435F">
        <w:rPr>
          <w:lang w:val="fr-FR"/>
        </w:rPr>
        <w:t>)</w:t>
      </w:r>
    </w:p>
    <w:p w14:paraId="0B1524F3" w14:textId="77777777" w:rsidR="00244EE7" w:rsidRPr="00D43A7B" w:rsidRDefault="00244EE7" w:rsidP="00244EE7">
      <w:r w:rsidRPr="00D43A7B">
        <w:t>Framework of security orchestration, automation and response for cloud computing</w:t>
      </w:r>
    </w:p>
    <w:bookmarkEnd w:id="12"/>
    <w:p w14:paraId="6FE73D04" w14:textId="02C87165" w:rsidR="00244EE7" w:rsidRPr="00244EE7" w:rsidRDefault="00244EE7" w:rsidP="005C4DEB">
      <w:pPr>
        <w:pStyle w:val="Heading2"/>
      </w:pPr>
      <w:r w:rsidRPr="00D43A7B">
        <w:t>Summary</w:t>
      </w:r>
    </w:p>
    <w:p w14:paraId="1621C456" w14:textId="77777777" w:rsidR="003E01D1" w:rsidRDefault="003E01D1" w:rsidP="003E01D1">
      <w:r>
        <w:rPr>
          <w:lang w:eastAsia="zh-CN"/>
        </w:rPr>
        <w:t>Nowadays,</w:t>
      </w:r>
      <w:r>
        <w:t xml:space="preserve"> </w:t>
      </w:r>
      <w:r>
        <w:rPr>
          <w:lang w:eastAsia="zh-CN"/>
        </w:rPr>
        <w:t>as</w:t>
      </w:r>
      <w:r>
        <w:t xml:space="preserve"> network security strateg</w:t>
      </w:r>
      <w:r>
        <w:rPr>
          <w:lang w:eastAsia="zh-CN"/>
        </w:rPr>
        <w:t>ies continue to evolve</w:t>
      </w:r>
      <w:r>
        <w:t xml:space="preserve">, the security architecture for </w:t>
      </w:r>
      <w:r>
        <w:rPr>
          <w:rFonts w:eastAsia="MS Mincho"/>
        </w:rPr>
        <w:t>cloud service providers</w:t>
      </w:r>
      <w:r>
        <w:t xml:space="preserve"> (CSPs) or </w:t>
      </w:r>
      <w:r>
        <w:rPr>
          <w:rFonts w:eastAsia="MS Mincho"/>
        </w:rPr>
        <w:t>cloud service customers</w:t>
      </w:r>
      <w:r>
        <w:t xml:space="preserve"> (CSCs) has changed from a simple combination of prevention and recovery to a new stage integrating detection, prevention, and response. </w:t>
      </w:r>
      <w:r>
        <w:rPr>
          <w:lang w:eastAsia="zh-CN"/>
        </w:rPr>
        <w:t>L</w:t>
      </w:r>
      <w:r>
        <w:t xml:space="preserve">eading enterprises and organizations have </w:t>
      </w:r>
      <w:r>
        <w:rPr>
          <w:lang w:eastAsia="zh-CN"/>
        </w:rPr>
        <w:t>attached greater importance</w:t>
      </w:r>
      <w:r>
        <w:t xml:space="preserve"> to security orchestration, automation and response (SOAR). SOAR is regarded as the key technology to improve network elasticity and the efficiency of security operations for cloud computing, which can be detailed as follows:</w:t>
      </w:r>
    </w:p>
    <w:p w14:paraId="718E6564" w14:textId="77777777" w:rsidR="005C4DEB" w:rsidRDefault="005C4DEB" w:rsidP="003E01D1">
      <w:pPr>
        <w:rPr>
          <w:rFonts w:ascii="Times New Roman" w:hAnsi="Times New Roman"/>
        </w:rPr>
      </w:pPr>
    </w:p>
    <w:p w14:paraId="2875D549" w14:textId="77777777" w:rsidR="003E01D1" w:rsidRDefault="003E01D1" w:rsidP="003E01D1">
      <w:pPr>
        <w:numPr>
          <w:ilvl w:val="0"/>
          <w:numId w:val="14"/>
        </w:numPr>
        <w:tabs>
          <w:tab w:val="clear" w:pos="794"/>
          <w:tab w:val="clear" w:pos="1191"/>
          <w:tab w:val="clear" w:pos="1588"/>
          <w:tab w:val="clear" w:pos="1985"/>
        </w:tabs>
        <w:overflowPunct/>
        <w:autoSpaceDE/>
        <w:autoSpaceDN/>
        <w:adjustRightInd/>
        <w:spacing w:before="0"/>
        <w:contextualSpacing/>
        <w:textAlignment w:val="auto"/>
      </w:pPr>
      <w:r>
        <w:rPr>
          <w:lang w:eastAsia="zh-CN"/>
        </w:rPr>
        <w:t>By leveraging</w:t>
      </w:r>
      <w:r>
        <w:t xml:space="preserve"> artificial intelligence (AI), it is possible to </w:t>
      </w:r>
      <w:r>
        <w:rPr>
          <w:lang w:eastAsia="zh-CN"/>
        </w:rPr>
        <w:t>establish</w:t>
      </w:r>
      <w:r>
        <w:t xml:space="preserve"> a security operation </w:t>
      </w:r>
      <w:r>
        <w:rPr>
          <w:lang w:eastAsia="zh-CN"/>
        </w:rPr>
        <w:t>functionality</w:t>
      </w:r>
      <w:r>
        <w:t xml:space="preserve"> in the cloud that includes threat analysis and automatic response, which could greatly improve the efficiency of security operations.</w:t>
      </w:r>
    </w:p>
    <w:p w14:paraId="4B841448" w14:textId="77777777" w:rsidR="003E01D1" w:rsidRDefault="003E01D1" w:rsidP="003E01D1">
      <w:pPr>
        <w:numPr>
          <w:ilvl w:val="0"/>
          <w:numId w:val="14"/>
        </w:numPr>
        <w:tabs>
          <w:tab w:val="clear" w:pos="794"/>
          <w:tab w:val="clear" w:pos="1191"/>
          <w:tab w:val="clear" w:pos="1588"/>
          <w:tab w:val="clear" w:pos="1985"/>
        </w:tabs>
        <w:overflowPunct/>
        <w:autoSpaceDE/>
        <w:autoSpaceDN/>
        <w:adjustRightInd/>
        <w:spacing w:before="0"/>
        <w:contextualSpacing/>
        <w:textAlignment w:val="auto"/>
      </w:pPr>
      <w:r>
        <w:rPr>
          <w:rFonts w:eastAsia="MS Mincho"/>
        </w:rPr>
        <w:t xml:space="preserve">In cloud computing, SOAR has naturally a cost advantage. </w:t>
      </w:r>
    </w:p>
    <w:p w14:paraId="250AE1EE" w14:textId="77777777" w:rsidR="003E01D1" w:rsidRDefault="003E01D1" w:rsidP="003E01D1">
      <w:pPr>
        <w:numPr>
          <w:ilvl w:val="0"/>
          <w:numId w:val="14"/>
        </w:numPr>
        <w:tabs>
          <w:tab w:val="clear" w:pos="794"/>
          <w:tab w:val="clear" w:pos="1191"/>
          <w:tab w:val="clear" w:pos="1588"/>
          <w:tab w:val="clear" w:pos="1985"/>
        </w:tabs>
        <w:overflowPunct/>
        <w:autoSpaceDE/>
        <w:autoSpaceDN/>
        <w:adjustRightInd/>
        <w:spacing w:before="0"/>
        <w:contextualSpacing/>
        <w:textAlignment w:val="auto"/>
      </w:pPr>
      <w:r>
        <w:rPr>
          <w:lang w:eastAsia="zh-CN"/>
        </w:rPr>
        <w:t>With</w:t>
      </w:r>
      <w:r>
        <w:rPr>
          <w:rFonts w:eastAsia="MS Mincho"/>
        </w:rPr>
        <w:t xml:space="preserve"> the development of cloud native technology, there are new </w:t>
      </w:r>
      <w:r>
        <w:rPr>
          <w:lang w:eastAsia="zh-CN"/>
        </w:rPr>
        <w:t>approaches</w:t>
      </w:r>
      <w:r>
        <w:rPr>
          <w:rFonts w:eastAsia="MS Mincho"/>
        </w:rPr>
        <w:t xml:space="preserve"> to implementing incident response in cloud computing. </w:t>
      </w:r>
    </w:p>
    <w:p w14:paraId="07E9112B" w14:textId="28B66C89" w:rsidR="003E01D1" w:rsidRPr="00244EE7" w:rsidRDefault="003E01D1" w:rsidP="00CC69A9">
      <w:r>
        <w:t>This Recommendation describes the overview of SOAR for cloud computing, including the definition and the emerging background of SOAR, and analyses advantages of SOAR coping with security threats of cloud computing especially in incident responses. Then it also provides a framework of SOAR for cloud computing to improve the efficiency of security operations for both CSPs and CSCs.</w:t>
      </w:r>
    </w:p>
    <w:p w14:paraId="4D5807AF" w14:textId="737D134D" w:rsidR="00CC69A9" w:rsidRPr="00AD435F" w:rsidRDefault="008579A3" w:rsidP="00CC69A9">
      <w:pPr>
        <w:pStyle w:val="Heading1"/>
        <w:rPr>
          <w:lang w:val="fr-FR"/>
        </w:rPr>
      </w:pPr>
      <w:bookmarkStart w:id="13" w:name="_Hlk221695996"/>
      <w:r w:rsidRPr="00AD435F">
        <w:rPr>
          <w:lang w:val="fr-FR"/>
        </w:rPr>
        <w:t>9</w:t>
      </w:r>
      <w:r w:rsidRPr="00AD435F">
        <w:rPr>
          <w:lang w:val="fr-FR"/>
        </w:rPr>
        <w:tab/>
      </w:r>
      <w:r w:rsidR="00CC69A9" w:rsidRPr="00AD435F">
        <w:rPr>
          <w:lang w:val="fr-FR"/>
        </w:rPr>
        <w:t xml:space="preserve">Draft </w:t>
      </w:r>
      <w:proofErr w:type="spellStart"/>
      <w:r w:rsidR="00CC69A9" w:rsidRPr="00AD435F">
        <w:rPr>
          <w:lang w:val="fr-FR"/>
        </w:rPr>
        <w:t>Recommendation</w:t>
      </w:r>
      <w:proofErr w:type="spellEnd"/>
      <w:r w:rsidR="00CC69A9" w:rsidRPr="00AD435F">
        <w:rPr>
          <w:lang w:val="fr-FR"/>
        </w:rPr>
        <w:t xml:space="preserve"> ITU-T </w:t>
      </w:r>
      <w:bookmarkStart w:id="14" w:name="_Hlk221638693"/>
      <w:r w:rsidR="00CC69A9" w:rsidRPr="00AD435F">
        <w:rPr>
          <w:lang w:val="fr-FR"/>
        </w:rPr>
        <w:t>X.1607 (ex X.asm-cc)</w:t>
      </w:r>
      <w:bookmarkEnd w:id="14"/>
      <w:r w:rsidR="00CC69A9" w:rsidRPr="00AD435F">
        <w:rPr>
          <w:lang w:val="fr-FR"/>
        </w:rPr>
        <w:t xml:space="preserve"> (</w:t>
      </w:r>
      <w:hyperlink r:id="rId20" w:history="1">
        <w:r w:rsidR="00CC69A9" w:rsidRPr="00AD435F">
          <w:rPr>
            <w:rStyle w:val="Hyperlink"/>
            <w:lang w:val="fr-FR"/>
          </w:rPr>
          <w:t>SG17-R33</w:t>
        </w:r>
      </w:hyperlink>
      <w:r w:rsidR="00CC69A9" w:rsidRPr="00AD435F">
        <w:rPr>
          <w:lang w:val="fr-FR"/>
        </w:rPr>
        <w:t>)</w:t>
      </w:r>
    </w:p>
    <w:p w14:paraId="452BADB3" w14:textId="77777777" w:rsidR="00CC69A9" w:rsidRPr="00D43A7B" w:rsidRDefault="00CC69A9" w:rsidP="00CC69A9">
      <w:r w:rsidRPr="00D43A7B">
        <w:t>Requirements of attack surface management for cloud computing</w:t>
      </w:r>
    </w:p>
    <w:bookmarkEnd w:id="13"/>
    <w:p w14:paraId="37B37FCC" w14:textId="77777777" w:rsidR="00CC69A9" w:rsidRPr="00D43A7B" w:rsidRDefault="00CC69A9" w:rsidP="00CC69A9">
      <w:pPr>
        <w:pStyle w:val="Heading2"/>
      </w:pPr>
      <w:r w:rsidRPr="00D43A7B">
        <w:t>Summary</w:t>
      </w:r>
    </w:p>
    <w:p w14:paraId="144305F7" w14:textId="77777777" w:rsidR="003E01D1" w:rsidRPr="003E01D1" w:rsidRDefault="003E01D1" w:rsidP="003E01D1">
      <w:r w:rsidRPr="003E01D1">
        <w:t>This Recommendation outlines comprehensive requirements for attack surface management (ASM) in cloud computing environments. The key components of ASM include thorough cyber asset discovery, attack surface identification, in-depth analysis, and continuous monitoring. These processes are crucial for maintaining a robust security posture in cloud environments.</w:t>
      </w:r>
    </w:p>
    <w:p w14:paraId="7C3A91CB" w14:textId="0A632074" w:rsidR="00916D8F" w:rsidRDefault="003E01D1" w:rsidP="00CC69A9">
      <w:r w:rsidRPr="003E01D1">
        <w:t>To effectively manage attack surfaces, attack surface management (ASM) shall seamlessly integrate threat intelligence and collaborate with third-party tools. Additionally, it should provide detailed visualizations and mappings of assets, data flows, and network traffic. This enables organizations to identify and mitigate potential vulnerabilities proactively. By continuously evaluating, securely configuring, and protecting attack surfaces in both multi-cloud and hybrid environments, ASM ensures that evolving cyber threats are effectively countered. Furthermore, it facilitates the prioritization and remediation of risks, allowing organizations to maintain a secure and agile cloud infrastructure.</w:t>
      </w:r>
    </w:p>
    <w:p w14:paraId="17E0AF66" w14:textId="77777777" w:rsidR="00916D8F" w:rsidRDefault="00916D8F">
      <w:pPr>
        <w:tabs>
          <w:tab w:val="clear" w:pos="794"/>
          <w:tab w:val="clear" w:pos="1191"/>
          <w:tab w:val="clear" w:pos="1588"/>
          <w:tab w:val="clear" w:pos="1985"/>
        </w:tabs>
        <w:overflowPunct/>
        <w:autoSpaceDE/>
        <w:autoSpaceDN/>
        <w:adjustRightInd/>
        <w:spacing w:before="0"/>
        <w:textAlignment w:val="auto"/>
      </w:pPr>
      <w:r>
        <w:br w:type="page"/>
      </w:r>
    </w:p>
    <w:p w14:paraId="7EC7FB7E" w14:textId="269442C0" w:rsidR="00CC69A9" w:rsidRPr="00AD435F" w:rsidRDefault="00CC69A9" w:rsidP="00CC69A9">
      <w:pPr>
        <w:pStyle w:val="Heading1"/>
        <w:rPr>
          <w:lang w:val="fr-FR"/>
        </w:rPr>
      </w:pPr>
      <w:bookmarkStart w:id="15" w:name="_Hlk221696019"/>
      <w:r w:rsidRPr="00F372CF">
        <w:lastRenderedPageBreak/>
        <w:t xml:space="preserve"> </w:t>
      </w:r>
      <w:r w:rsidR="008579A3" w:rsidRPr="00AD435F">
        <w:rPr>
          <w:lang w:val="fr-FR"/>
        </w:rPr>
        <w:t>1</w:t>
      </w:r>
      <w:r>
        <w:rPr>
          <w:lang w:val="fr-FR"/>
        </w:rPr>
        <w:t>0</w:t>
      </w:r>
      <w:r w:rsidR="008579A3" w:rsidRPr="00AD435F">
        <w:rPr>
          <w:lang w:val="fr-FR"/>
        </w:rPr>
        <w:tab/>
      </w:r>
      <w:r w:rsidRPr="00AD435F">
        <w:rPr>
          <w:lang w:val="fr-FR"/>
        </w:rPr>
        <w:t xml:space="preserve">Draft </w:t>
      </w:r>
      <w:proofErr w:type="spellStart"/>
      <w:r w:rsidRPr="00AD435F">
        <w:rPr>
          <w:lang w:val="fr-FR"/>
        </w:rPr>
        <w:t>Recommendation</w:t>
      </w:r>
      <w:proofErr w:type="spellEnd"/>
      <w:r w:rsidRPr="00AD435F">
        <w:rPr>
          <w:lang w:val="fr-FR"/>
        </w:rPr>
        <w:t xml:space="preserve"> ITU-T X.1418 (</w:t>
      </w:r>
      <w:proofErr w:type="gramStart"/>
      <w:r w:rsidRPr="00AD435F">
        <w:rPr>
          <w:lang w:val="fr-FR"/>
        </w:rPr>
        <w:t>ex X</w:t>
      </w:r>
      <w:proofErr w:type="gramEnd"/>
      <w:r w:rsidRPr="00AD435F">
        <w:rPr>
          <w:lang w:val="fr-FR"/>
        </w:rPr>
        <w:t>.sg-</w:t>
      </w:r>
      <w:proofErr w:type="spellStart"/>
      <w:r w:rsidRPr="00AD435F">
        <w:rPr>
          <w:lang w:val="fr-FR"/>
        </w:rPr>
        <w:t>dcs</w:t>
      </w:r>
      <w:proofErr w:type="spellEnd"/>
      <w:r w:rsidRPr="00AD435F">
        <w:rPr>
          <w:lang w:val="fr-FR"/>
        </w:rPr>
        <w:t>) (</w:t>
      </w:r>
      <w:hyperlink r:id="rId21" w:history="1">
        <w:r w:rsidRPr="00AD435F">
          <w:rPr>
            <w:rStyle w:val="Hyperlink"/>
            <w:lang w:val="fr-FR"/>
          </w:rPr>
          <w:t>SG17-R34</w:t>
        </w:r>
      </w:hyperlink>
      <w:r w:rsidRPr="00AD435F">
        <w:rPr>
          <w:lang w:val="fr-FR"/>
        </w:rPr>
        <w:t>)</w:t>
      </w:r>
    </w:p>
    <w:p w14:paraId="5907FE05" w14:textId="77777777" w:rsidR="00CC69A9" w:rsidRPr="00D43A7B" w:rsidRDefault="00CC69A9" w:rsidP="00CC69A9">
      <w:r w:rsidRPr="00D43A7B">
        <w:t>Security guidelines for DLT-based digital collection services</w:t>
      </w:r>
    </w:p>
    <w:bookmarkEnd w:id="15"/>
    <w:p w14:paraId="22A8D95D" w14:textId="77777777" w:rsidR="00CC69A9" w:rsidRPr="00D43A7B" w:rsidRDefault="00CC69A9" w:rsidP="00CC69A9">
      <w:pPr>
        <w:pStyle w:val="Heading2"/>
      </w:pPr>
      <w:r w:rsidRPr="00D43A7B">
        <w:t>Summary</w:t>
      </w:r>
    </w:p>
    <w:p w14:paraId="3D1CC8FC" w14:textId="5022E2A1" w:rsidR="003E01D1" w:rsidRPr="003E01D1" w:rsidRDefault="003E01D1" w:rsidP="003E01D1">
      <w:pPr>
        <w:rPr>
          <w:lang w:val="en-US"/>
        </w:rPr>
      </w:pPr>
      <w:r w:rsidRPr="003E01D1">
        <w:rPr>
          <w:lang w:val="en-US"/>
        </w:rPr>
        <w:t>A distributed ledger technology (DLT)-based digital collection is a unique digital certificate registered on a private DLT system. It is utilized to denote ownership of assets such as artworks or collectibles. A DLT-based digital collection service system primarily includes three key stakeholders: a digital collection user, a digital collection asset provider, and a digital collection service platform operating the private DLT system. This system facilitates a range of activities related to digital collections, encompassing issuance, sales, purchase, auctions and transactions.</w:t>
      </w:r>
    </w:p>
    <w:p w14:paraId="3B32D4F8" w14:textId="7D77551E" w:rsidR="003E01D1" w:rsidRPr="003E01D1" w:rsidRDefault="003E01D1" w:rsidP="003E01D1">
      <w:pPr>
        <w:rPr>
          <w:lang w:val="en-US"/>
        </w:rPr>
      </w:pPr>
      <w:r w:rsidRPr="003E01D1">
        <w:rPr>
          <w:lang w:val="en-US"/>
        </w:rPr>
        <w:t>In the DLT-based digital collection service system, the stakeholders differ in each process, resulting in the creation and demand for various types of data. Each process introduces security risks with severe implications, including financial loss, reputational harm, market instability and exposure of personal information. To counter these risks, this Recommendation identifies potential security threats encountered during various activities related to digital collections and specifies security requirements and controls to mitigate them.</w:t>
      </w:r>
    </w:p>
    <w:p w14:paraId="63E3D9D2" w14:textId="73098F7A" w:rsidR="00883D42" w:rsidRPr="00AD435F" w:rsidRDefault="00CC69A9" w:rsidP="00883D42">
      <w:pPr>
        <w:pStyle w:val="Heading1"/>
        <w:rPr>
          <w:lang w:val="fr-FR"/>
        </w:rPr>
      </w:pPr>
      <w:bookmarkStart w:id="16" w:name="_Hlk221696048"/>
      <w:r w:rsidRPr="00AD435F">
        <w:rPr>
          <w:lang w:val="fr-FR"/>
        </w:rPr>
        <w:t>1</w:t>
      </w:r>
      <w:r>
        <w:rPr>
          <w:lang w:val="fr-FR"/>
        </w:rPr>
        <w:t>1</w:t>
      </w:r>
      <w:r w:rsidRPr="00AD435F">
        <w:rPr>
          <w:lang w:val="fr-FR"/>
        </w:rPr>
        <w:tab/>
      </w:r>
      <w:r w:rsidR="00883D42" w:rsidRPr="00AD435F">
        <w:rPr>
          <w:lang w:val="fr-FR"/>
        </w:rPr>
        <w:t xml:space="preserve">Draft </w:t>
      </w:r>
      <w:proofErr w:type="spellStart"/>
      <w:r w:rsidR="00883D42" w:rsidRPr="00AD435F">
        <w:rPr>
          <w:lang w:val="fr-FR"/>
        </w:rPr>
        <w:t>Recommendation</w:t>
      </w:r>
      <w:proofErr w:type="spellEnd"/>
      <w:r w:rsidR="00883D42" w:rsidRPr="00AD435F">
        <w:rPr>
          <w:lang w:val="fr-FR"/>
        </w:rPr>
        <w:t xml:space="preserve"> ITU-T X.1417 (</w:t>
      </w:r>
      <w:proofErr w:type="gramStart"/>
      <w:r w:rsidR="00883D42" w:rsidRPr="00AD435F">
        <w:rPr>
          <w:lang w:val="fr-FR"/>
        </w:rPr>
        <w:t>ex X</w:t>
      </w:r>
      <w:proofErr w:type="gramEnd"/>
      <w:r w:rsidR="00883D42" w:rsidRPr="00AD435F">
        <w:rPr>
          <w:lang w:val="fr-FR"/>
        </w:rPr>
        <w:t>.sr-dpts) (</w:t>
      </w:r>
      <w:hyperlink r:id="rId22" w:history="1">
        <w:r w:rsidR="00883D42" w:rsidRPr="00AD435F">
          <w:rPr>
            <w:rStyle w:val="Hyperlink"/>
            <w:lang w:val="fr-FR"/>
          </w:rPr>
          <w:t>SG17-R35</w:t>
        </w:r>
      </w:hyperlink>
      <w:r w:rsidR="00883D42" w:rsidRPr="00AD435F">
        <w:rPr>
          <w:lang w:val="fr-FR"/>
        </w:rPr>
        <w:t>)</w:t>
      </w:r>
    </w:p>
    <w:p w14:paraId="372826D4" w14:textId="77777777" w:rsidR="00883D42" w:rsidRPr="00D43A7B" w:rsidRDefault="00883D42" w:rsidP="00883D42">
      <w:r w:rsidRPr="00D43A7B">
        <w:t>Security requirements for distributed ledger technology (DLT) data on permissioned DLT-based distributed power trading systems</w:t>
      </w:r>
    </w:p>
    <w:bookmarkEnd w:id="16"/>
    <w:p w14:paraId="1A666F2E" w14:textId="77777777" w:rsidR="00883D42" w:rsidRPr="00D43A7B" w:rsidRDefault="00883D42" w:rsidP="00883D42">
      <w:pPr>
        <w:pStyle w:val="Heading2"/>
      </w:pPr>
      <w:r w:rsidRPr="00D43A7B">
        <w:t>Summary</w:t>
      </w:r>
    </w:p>
    <w:p w14:paraId="7D7DAAAE" w14:textId="77777777" w:rsidR="003E01D1" w:rsidRPr="003E01D1" w:rsidRDefault="003E01D1" w:rsidP="003E01D1">
      <w:r w:rsidRPr="003E01D1">
        <w:t xml:space="preserve">A distributed power trading (DPT) system based on permissioned distributed ledger technology (DLT) is a system designed for peer-to-peer trading of energy in a smart grid. Permissioned DLT has been applied to power trading systems to address issues in conventional power trading systems. However, challenges still exist in permissioned DLT-based DPT systems. </w:t>
      </w:r>
    </w:p>
    <w:p w14:paraId="5909E0CD" w14:textId="77777777" w:rsidR="003E01D1" w:rsidRPr="003E01D1" w:rsidRDefault="003E01D1" w:rsidP="003E01D1">
      <w:r w:rsidRPr="003E01D1">
        <w:t>This Recommendation identifies security threats to the data processed in permissioned DLT-based DPT systems, particularly sensitive data related to participants in the systems, such as user identifier (ID), energy resource composition, operational status and energy production/consumption schedules. It also provides security requirements to mitigate these security threats and protect sensitive data from external exposure. This Recommendation can be utilized in the design, development and operation of DPT systems using permissioned DLT.</w:t>
      </w:r>
    </w:p>
    <w:p w14:paraId="572CBA54" w14:textId="77777777" w:rsidR="009A1A66" w:rsidRPr="00D43A7B" w:rsidRDefault="009A1A66" w:rsidP="00692261">
      <w:pPr>
        <w:pStyle w:val="Annextitle"/>
        <w:spacing w:before="120"/>
        <w:rPr>
          <w:rFonts w:cs="Calibri"/>
          <w:sz w:val="22"/>
          <w:szCs w:val="22"/>
        </w:rPr>
      </w:pPr>
      <w:r w:rsidRPr="00D43A7B">
        <w:rPr>
          <w:rFonts w:cs="Calibri"/>
          <w:sz w:val="22"/>
          <w:szCs w:val="22"/>
          <w:highlight w:val="cyan"/>
        </w:rPr>
        <w:br w:type="page"/>
      </w:r>
      <w:r w:rsidR="00C13D40" w:rsidRPr="00D43A7B">
        <w:rPr>
          <w:rFonts w:cs="Calibri"/>
          <w:sz w:val="22"/>
          <w:szCs w:val="22"/>
        </w:rPr>
        <w:lastRenderedPageBreak/>
        <w:t>Annex 2</w:t>
      </w:r>
    </w:p>
    <w:p w14:paraId="69F51BD4" w14:textId="73A9988A" w:rsidR="008F14F3" w:rsidRPr="00916D8F" w:rsidRDefault="008F14F3" w:rsidP="0006765F">
      <w:pPr>
        <w:pStyle w:val="Annextitle"/>
        <w:rPr>
          <w:rFonts w:cs="Calibri"/>
          <w:sz w:val="24"/>
          <w:szCs w:val="24"/>
        </w:rPr>
      </w:pPr>
      <w:r w:rsidRPr="00916D8F">
        <w:rPr>
          <w:rFonts w:cs="Calibri"/>
          <w:sz w:val="24"/>
          <w:szCs w:val="24"/>
        </w:rPr>
        <w:t xml:space="preserve">Subject: </w:t>
      </w:r>
      <w:r w:rsidR="00692261" w:rsidRPr="00916D8F">
        <w:rPr>
          <w:rFonts w:cs="Calibri"/>
          <w:sz w:val="24"/>
          <w:szCs w:val="24"/>
        </w:rPr>
        <w:t>Member State response</w:t>
      </w:r>
      <w:r w:rsidRPr="00916D8F">
        <w:rPr>
          <w:rFonts w:cs="Calibri"/>
          <w:sz w:val="24"/>
          <w:szCs w:val="24"/>
        </w:rPr>
        <w:t xml:space="preserve"> to TSB Circular 104</w:t>
      </w:r>
      <w:r w:rsidR="00692261" w:rsidRPr="00916D8F">
        <w:rPr>
          <w:rFonts w:cs="Calibri"/>
          <w:sz w:val="24"/>
          <w:szCs w:val="24"/>
        </w:rPr>
        <w:t>:</w:t>
      </w:r>
      <w:r w:rsidR="00692261" w:rsidRPr="00916D8F">
        <w:rPr>
          <w:rFonts w:cs="Calibri"/>
          <w:sz w:val="24"/>
          <w:szCs w:val="24"/>
        </w:rPr>
        <w:br/>
      </w:r>
      <w:r w:rsidR="0016049B" w:rsidRPr="00916D8F">
        <w:rPr>
          <w:rFonts w:cs="Calibri"/>
          <w:sz w:val="24"/>
          <w:szCs w:val="24"/>
        </w:rPr>
        <w:t xml:space="preserve">Consultation on </w:t>
      </w:r>
      <w:r w:rsidR="00574690" w:rsidRPr="00916D8F">
        <w:rPr>
          <w:sz w:val="24"/>
          <w:szCs w:val="24"/>
        </w:rPr>
        <w:t xml:space="preserve">Determined revised Recommendation ITU-T X.1280 and draft new Recommendations X.1286 (ex </w:t>
      </w:r>
      <w:proofErr w:type="spellStart"/>
      <w:r w:rsidR="00574690" w:rsidRPr="00916D8F">
        <w:rPr>
          <w:sz w:val="24"/>
          <w:szCs w:val="24"/>
        </w:rPr>
        <w:t>X.accsadlt</w:t>
      </w:r>
      <w:proofErr w:type="spellEnd"/>
      <w:r w:rsidR="00574690" w:rsidRPr="00916D8F">
        <w:rPr>
          <w:sz w:val="24"/>
          <w:szCs w:val="24"/>
        </w:rPr>
        <w:t>), X.1821 (ex X.5Gsec-asra), X.1350 (ex X.sr-</w:t>
      </w:r>
      <w:proofErr w:type="spellStart"/>
      <w:r w:rsidR="00574690" w:rsidRPr="00916D8F">
        <w:rPr>
          <w:sz w:val="24"/>
          <w:szCs w:val="24"/>
        </w:rPr>
        <w:t>iiot</w:t>
      </w:r>
      <w:proofErr w:type="spellEnd"/>
      <w:r w:rsidR="00574690" w:rsidRPr="00916D8F">
        <w:rPr>
          <w:sz w:val="24"/>
          <w:szCs w:val="24"/>
        </w:rPr>
        <w:t>), X.2105 (ex X.st-</w:t>
      </w:r>
      <w:proofErr w:type="spellStart"/>
      <w:r w:rsidR="00574690" w:rsidRPr="00916D8F">
        <w:rPr>
          <w:sz w:val="24"/>
          <w:szCs w:val="24"/>
        </w:rPr>
        <w:t>ssc</w:t>
      </w:r>
      <w:proofErr w:type="spellEnd"/>
      <w:r w:rsidR="00574690" w:rsidRPr="00916D8F">
        <w:rPr>
          <w:sz w:val="24"/>
          <w:szCs w:val="24"/>
        </w:rPr>
        <w:t xml:space="preserve">), X.2210 (ex </w:t>
      </w:r>
      <w:proofErr w:type="spellStart"/>
      <w:r w:rsidR="00574690" w:rsidRPr="00916D8F">
        <w:rPr>
          <w:sz w:val="24"/>
          <w:szCs w:val="24"/>
        </w:rPr>
        <w:t>X.ig-dw</w:t>
      </w:r>
      <w:proofErr w:type="spellEnd"/>
      <w:r w:rsidR="00574690" w:rsidRPr="00916D8F">
        <w:rPr>
          <w:sz w:val="24"/>
          <w:szCs w:val="24"/>
        </w:rPr>
        <w:t>), X.1910 (ex X.tc-</w:t>
      </w:r>
      <w:proofErr w:type="spellStart"/>
      <w:r w:rsidR="00574690" w:rsidRPr="00916D8F">
        <w:rPr>
          <w:sz w:val="24"/>
          <w:szCs w:val="24"/>
        </w:rPr>
        <w:t>ifd</w:t>
      </w:r>
      <w:proofErr w:type="spellEnd"/>
      <w:r w:rsidR="00574690" w:rsidRPr="00916D8F">
        <w:rPr>
          <w:sz w:val="24"/>
          <w:szCs w:val="24"/>
        </w:rPr>
        <w:t xml:space="preserve">), X.1651 (ex </w:t>
      </w:r>
      <w:proofErr w:type="spellStart"/>
      <w:r w:rsidR="00574690" w:rsidRPr="00916D8F">
        <w:rPr>
          <w:sz w:val="24"/>
          <w:szCs w:val="24"/>
        </w:rPr>
        <w:t>X.soar</w:t>
      </w:r>
      <w:proofErr w:type="spellEnd"/>
      <w:r w:rsidR="00574690" w:rsidRPr="00916D8F">
        <w:rPr>
          <w:sz w:val="24"/>
          <w:szCs w:val="24"/>
        </w:rPr>
        <w:t>-cc), X.1607 (ex X.asm-cc), X.1418 (ex X.sg-</w:t>
      </w:r>
      <w:proofErr w:type="spellStart"/>
      <w:r w:rsidR="00574690" w:rsidRPr="00916D8F">
        <w:rPr>
          <w:sz w:val="24"/>
          <w:szCs w:val="24"/>
        </w:rPr>
        <w:t>dcs</w:t>
      </w:r>
      <w:proofErr w:type="spellEnd"/>
      <w:r w:rsidR="00574690" w:rsidRPr="00916D8F">
        <w:rPr>
          <w:sz w:val="24"/>
          <w:szCs w:val="24"/>
        </w:rPr>
        <w:t>) and X.1417 (ex X.sr-</w:t>
      </w:r>
      <w:proofErr w:type="spellStart"/>
      <w:r w:rsidR="00574690" w:rsidRPr="00916D8F">
        <w:rPr>
          <w:sz w:val="24"/>
          <w:szCs w:val="24"/>
        </w:rPr>
        <w:t>dpts</w:t>
      </w:r>
      <w:proofErr w:type="spellEnd"/>
      <w:r w:rsidR="00574690" w:rsidRPr="00916D8F">
        <w:rPr>
          <w:sz w:val="24"/>
          <w:szCs w:val="24"/>
        </w:rPr>
        <w:t>)</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D43A7B" w14:paraId="31A7862C" w14:textId="77777777" w:rsidTr="00780D16">
        <w:tc>
          <w:tcPr>
            <w:tcW w:w="1005" w:type="dxa"/>
          </w:tcPr>
          <w:p w14:paraId="7B3982C2" w14:textId="77777777" w:rsidR="009A1A66" w:rsidRPr="00D43A7B" w:rsidRDefault="009A1A66" w:rsidP="001B1770">
            <w:pPr>
              <w:jc w:val="right"/>
              <w:rPr>
                <w:rFonts w:cs="Calibri"/>
                <w:sz w:val="22"/>
                <w:szCs w:val="22"/>
              </w:rPr>
            </w:pPr>
            <w:r w:rsidRPr="00D43A7B">
              <w:rPr>
                <w:rFonts w:cs="Calibri"/>
                <w:b/>
                <w:bCs/>
                <w:sz w:val="22"/>
                <w:szCs w:val="22"/>
              </w:rPr>
              <w:t>To</w:t>
            </w:r>
            <w:r w:rsidRPr="00D43A7B">
              <w:rPr>
                <w:rFonts w:cs="Calibri"/>
                <w:sz w:val="22"/>
                <w:szCs w:val="22"/>
              </w:rPr>
              <w:t>:</w:t>
            </w:r>
          </w:p>
        </w:tc>
        <w:tc>
          <w:tcPr>
            <w:tcW w:w="4558" w:type="dxa"/>
            <w:tcBorders>
              <w:right w:val="single" w:sz="8" w:space="0" w:color="auto"/>
            </w:tcBorders>
          </w:tcPr>
          <w:p w14:paraId="685A3825" w14:textId="77777777" w:rsidR="009A1A66" w:rsidRPr="00D43A7B" w:rsidRDefault="009A1A66" w:rsidP="004B50B2">
            <w:pPr>
              <w:rPr>
                <w:rFonts w:cs="Calibri"/>
                <w:sz w:val="22"/>
                <w:szCs w:val="22"/>
              </w:rPr>
            </w:pPr>
            <w:r w:rsidRPr="00D43A7B">
              <w:rPr>
                <w:rFonts w:cs="Calibri"/>
                <w:sz w:val="22"/>
                <w:szCs w:val="22"/>
              </w:rPr>
              <w:t>Director</w:t>
            </w:r>
            <w:r w:rsidR="002A4977" w:rsidRPr="00D43A7B">
              <w:rPr>
                <w:rFonts w:cs="Calibri"/>
                <w:sz w:val="22"/>
                <w:szCs w:val="22"/>
              </w:rPr>
              <w:t xml:space="preserve"> of the</w:t>
            </w:r>
            <w:r w:rsidRPr="00D43A7B">
              <w:rPr>
                <w:rFonts w:cs="Calibri"/>
                <w:sz w:val="22"/>
                <w:szCs w:val="22"/>
              </w:rPr>
              <w:t xml:space="preserve"> </w:t>
            </w:r>
            <w:r w:rsidR="002A4977" w:rsidRPr="00D43A7B">
              <w:rPr>
                <w:rFonts w:cs="Calibri"/>
                <w:sz w:val="22"/>
                <w:szCs w:val="22"/>
              </w:rPr>
              <w:br/>
            </w:r>
            <w:r w:rsidRPr="00D43A7B">
              <w:rPr>
                <w:rFonts w:cs="Calibri"/>
                <w:sz w:val="22"/>
                <w:szCs w:val="22"/>
              </w:rPr>
              <w:t>Telecommunication Standardization Bureau</w:t>
            </w:r>
            <w:r w:rsidR="00964A6B" w:rsidRPr="00D43A7B">
              <w:rPr>
                <w:rFonts w:cs="Calibri"/>
                <w:sz w:val="22"/>
                <w:szCs w:val="22"/>
              </w:rPr>
              <w:t>,</w:t>
            </w:r>
          </w:p>
          <w:p w14:paraId="6828E464" w14:textId="77777777" w:rsidR="008A779C" w:rsidRPr="00AD435F" w:rsidRDefault="008A779C" w:rsidP="008F14F3">
            <w:pPr>
              <w:spacing w:before="0"/>
              <w:rPr>
                <w:rFonts w:cs="Calibri"/>
                <w:sz w:val="22"/>
                <w:szCs w:val="22"/>
                <w:lang w:val="fr-FR"/>
              </w:rPr>
            </w:pPr>
            <w:r w:rsidRPr="00AD435F">
              <w:rPr>
                <w:rFonts w:cs="Calibri"/>
                <w:sz w:val="22"/>
                <w:szCs w:val="22"/>
                <w:lang w:val="fr-FR"/>
              </w:rPr>
              <w:t xml:space="preserve">International </w:t>
            </w:r>
            <w:proofErr w:type="spellStart"/>
            <w:r w:rsidRPr="00AD435F">
              <w:rPr>
                <w:rFonts w:cs="Calibri"/>
                <w:sz w:val="22"/>
                <w:szCs w:val="22"/>
                <w:lang w:val="fr-FR"/>
              </w:rPr>
              <w:t>Telecommunication</w:t>
            </w:r>
            <w:proofErr w:type="spellEnd"/>
            <w:r w:rsidRPr="00AD435F">
              <w:rPr>
                <w:rFonts w:cs="Calibri"/>
                <w:sz w:val="22"/>
                <w:szCs w:val="22"/>
                <w:lang w:val="fr-FR"/>
              </w:rPr>
              <w:t xml:space="preserve"> Union</w:t>
            </w:r>
          </w:p>
          <w:p w14:paraId="03CEC153" w14:textId="77777777" w:rsidR="008A779C" w:rsidRPr="00AD435F" w:rsidRDefault="008A779C" w:rsidP="008F14F3">
            <w:pPr>
              <w:spacing w:before="0"/>
              <w:rPr>
                <w:rFonts w:cs="Calibri"/>
                <w:sz w:val="22"/>
                <w:szCs w:val="22"/>
                <w:lang w:val="fr-FR"/>
              </w:rPr>
            </w:pPr>
            <w:r w:rsidRPr="00AD435F">
              <w:rPr>
                <w:rFonts w:cs="Calibri"/>
                <w:sz w:val="22"/>
                <w:szCs w:val="22"/>
                <w:lang w:val="fr-FR"/>
              </w:rPr>
              <w:t>Place des Nations</w:t>
            </w:r>
          </w:p>
          <w:p w14:paraId="2DDB3D55" w14:textId="77777777" w:rsidR="008A779C" w:rsidRPr="00D43A7B" w:rsidRDefault="008A779C" w:rsidP="008F14F3">
            <w:pPr>
              <w:spacing w:before="0"/>
              <w:rPr>
                <w:rFonts w:cs="Calibri"/>
                <w:sz w:val="22"/>
                <w:szCs w:val="22"/>
              </w:rPr>
            </w:pPr>
            <w:r w:rsidRPr="00D43A7B">
              <w:rPr>
                <w:rFonts w:cs="Calibri"/>
                <w:sz w:val="22"/>
                <w:szCs w:val="22"/>
              </w:rPr>
              <w:t>CH 1211 Geneva 20, Switzerland</w:t>
            </w:r>
          </w:p>
        </w:tc>
        <w:tc>
          <w:tcPr>
            <w:tcW w:w="992" w:type="dxa"/>
            <w:tcBorders>
              <w:left w:val="single" w:sz="8" w:space="0" w:color="auto"/>
            </w:tcBorders>
          </w:tcPr>
          <w:p w14:paraId="4ECCB7DA" w14:textId="77777777" w:rsidR="009A1A66" w:rsidRPr="00D43A7B" w:rsidRDefault="009A1A66" w:rsidP="001B1770">
            <w:pPr>
              <w:jc w:val="right"/>
              <w:rPr>
                <w:rFonts w:cs="Calibri"/>
                <w:sz w:val="22"/>
                <w:szCs w:val="22"/>
              </w:rPr>
            </w:pPr>
            <w:r w:rsidRPr="00D43A7B">
              <w:rPr>
                <w:rFonts w:cs="Calibri"/>
                <w:b/>
                <w:bCs/>
                <w:sz w:val="22"/>
                <w:szCs w:val="22"/>
              </w:rPr>
              <w:t>From</w:t>
            </w:r>
            <w:r w:rsidRPr="00D43A7B">
              <w:rPr>
                <w:rFonts w:cs="Calibri"/>
                <w:sz w:val="22"/>
                <w:szCs w:val="22"/>
              </w:rPr>
              <w:t>:</w:t>
            </w:r>
          </w:p>
        </w:tc>
        <w:tc>
          <w:tcPr>
            <w:tcW w:w="3402" w:type="dxa"/>
          </w:tcPr>
          <w:p w14:paraId="1EB5F519" w14:textId="77777777" w:rsidR="009A1A66" w:rsidRPr="00D43A7B" w:rsidRDefault="008A779C" w:rsidP="009A1A66">
            <w:pPr>
              <w:rPr>
                <w:rFonts w:cs="Calibri"/>
                <w:sz w:val="22"/>
                <w:szCs w:val="22"/>
                <w:highlight w:val="green"/>
              </w:rPr>
            </w:pPr>
            <w:r w:rsidRPr="00D43A7B">
              <w:rPr>
                <w:rFonts w:cs="Calibri"/>
                <w:sz w:val="22"/>
                <w:szCs w:val="22"/>
                <w:highlight w:val="green"/>
              </w:rPr>
              <w:t>[Name]</w:t>
            </w:r>
          </w:p>
          <w:p w14:paraId="45887DD3" w14:textId="77777777" w:rsidR="008A779C" w:rsidRPr="00D43A7B" w:rsidRDefault="008A779C" w:rsidP="008F14F3">
            <w:pPr>
              <w:spacing w:before="0"/>
              <w:rPr>
                <w:rFonts w:cs="Calibri"/>
                <w:sz w:val="22"/>
                <w:szCs w:val="22"/>
                <w:highlight w:val="green"/>
              </w:rPr>
            </w:pPr>
            <w:r w:rsidRPr="00D43A7B">
              <w:rPr>
                <w:rFonts w:cs="Calibri"/>
                <w:sz w:val="22"/>
                <w:szCs w:val="22"/>
                <w:highlight w:val="green"/>
              </w:rPr>
              <w:t>[Official role/title]</w:t>
            </w:r>
          </w:p>
          <w:p w14:paraId="204FD4E8" w14:textId="77777777" w:rsidR="008A779C" w:rsidRPr="00D43A7B" w:rsidRDefault="008A779C" w:rsidP="009B72DB">
            <w:pPr>
              <w:spacing w:before="0"/>
              <w:rPr>
                <w:rFonts w:cs="Calibri"/>
                <w:sz w:val="22"/>
                <w:szCs w:val="22"/>
              </w:rPr>
            </w:pPr>
            <w:r w:rsidRPr="00D43A7B">
              <w:rPr>
                <w:rFonts w:cs="Calibri"/>
                <w:sz w:val="22"/>
                <w:szCs w:val="22"/>
                <w:highlight w:val="green"/>
              </w:rPr>
              <w:t>[Address]</w:t>
            </w:r>
          </w:p>
        </w:tc>
      </w:tr>
      <w:tr w:rsidR="00FB2510" w:rsidRPr="00D43A7B" w14:paraId="0720CBE7" w14:textId="77777777" w:rsidTr="00625B58">
        <w:tc>
          <w:tcPr>
            <w:tcW w:w="1005" w:type="dxa"/>
          </w:tcPr>
          <w:p w14:paraId="02D3212D" w14:textId="77777777" w:rsidR="00FB2510" w:rsidRPr="00D43A7B" w:rsidRDefault="00FB2510" w:rsidP="00A432F0">
            <w:pPr>
              <w:spacing w:before="0"/>
              <w:jc w:val="right"/>
              <w:rPr>
                <w:rFonts w:cs="Calibri"/>
                <w:sz w:val="22"/>
                <w:szCs w:val="22"/>
              </w:rPr>
            </w:pPr>
            <w:r w:rsidRPr="00D43A7B">
              <w:rPr>
                <w:rFonts w:cs="Calibri"/>
                <w:b/>
                <w:bCs/>
                <w:sz w:val="22"/>
                <w:szCs w:val="22"/>
              </w:rPr>
              <w:t>Fax</w:t>
            </w:r>
            <w:r w:rsidRPr="00D43A7B">
              <w:rPr>
                <w:rFonts w:cs="Calibri"/>
                <w:sz w:val="22"/>
                <w:szCs w:val="22"/>
              </w:rPr>
              <w:t>:</w:t>
            </w:r>
          </w:p>
        </w:tc>
        <w:tc>
          <w:tcPr>
            <w:tcW w:w="4558" w:type="dxa"/>
            <w:tcBorders>
              <w:right w:val="single" w:sz="8" w:space="0" w:color="auto"/>
            </w:tcBorders>
          </w:tcPr>
          <w:p w14:paraId="78AC70FE" w14:textId="77777777" w:rsidR="00FB2510" w:rsidRPr="00D43A7B" w:rsidRDefault="00FB2510" w:rsidP="00625B58">
            <w:pPr>
              <w:spacing w:before="0"/>
              <w:rPr>
                <w:rFonts w:cs="Calibri"/>
                <w:sz w:val="22"/>
                <w:szCs w:val="22"/>
              </w:rPr>
            </w:pPr>
            <w:r w:rsidRPr="00D43A7B">
              <w:rPr>
                <w:rFonts w:cs="Calibri"/>
                <w:sz w:val="22"/>
                <w:szCs w:val="22"/>
              </w:rPr>
              <w:t>+41-22-730-5853</w:t>
            </w:r>
          </w:p>
        </w:tc>
        <w:tc>
          <w:tcPr>
            <w:tcW w:w="992" w:type="dxa"/>
            <w:tcBorders>
              <w:left w:val="single" w:sz="8" w:space="0" w:color="auto"/>
            </w:tcBorders>
          </w:tcPr>
          <w:p w14:paraId="0A77C294" w14:textId="77777777" w:rsidR="00FB2510" w:rsidRPr="00D43A7B" w:rsidRDefault="00FB2510" w:rsidP="00FB2510">
            <w:pPr>
              <w:spacing w:before="0"/>
              <w:jc w:val="right"/>
              <w:rPr>
                <w:rFonts w:cs="Calibri"/>
                <w:sz w:val="22"/>
                <w:szCs w:val="22"/>
              </w:rPr>
            </w:pPr>
            <w:r w:rsidRPr="00D43A7B">
              <w:rPr>
                <w:rFonts w:cs="Calibri"/>
                <w:b/>
                <w:bCs/>
                <w:sz w:val="22"/>
                <w:szCs w:val="22"/>
              </w:rPr>
              <w:t>Fax</w:t>
            </w:r>
            <w:r w:rsidRPr="00D43A7B">
              <w:rPr>
                <w:rFonts w:cs="Calibri"/>
                <w:sz w:val="22"/>
                <w:szCs w:val="22"/>
              </w:rPr>
              <w:t>:</w:t>
            </w:r>
          </w:p>
        </w:tc>
        <w:tc>
          <w:tcPr>
            <w:tcW w:w="3402" w:type="dxa"/>
          </w:tcPr>
          <w:p w14:paraId="2F706D60" w14:textId="77777777" w:rsidR="00FB2510" w:rsidRPr="00D43A7B" w:rsidRDefault="00FB2510" w:rsidP="00625B58">
            <w:pPr>
              <w:spacing w:before="0"/>
              <w:rPr>
                <w:rFonts w:cs="Calibri"/>
                <w:sz w:val="22"/>
                <w:szCs w:val="22"/>
              </w:rPr>
            </w:pPr>
          </w:p>
        </w:tc>
      </w:tr>
      <w:tr w:rsidR="009A1A66" w:rsidRPr="00D43A7B" w14:paraId="40C1F6AE" w14:textId="77777777" w:rsidTr="00780D16">
        <w:tc>
          <w:tcPr>
            <w:tcW w:w="1005" w:type="dxa"/>
          </w:tcPr>
          <w:p w14:paraId="103B1019" w14:textId="77777777" w:rsidR="008A779C" w:rsidRPr="00D43A7B" w:rsidRDefault="008A779C" w:rsidP="00692261">
            <w:pPr>
              <w:spacing w:before="0"/>
              <w:jc w:val="right"/>
              <w:rPr>
                <w:rFonts w:cs="Calibri"/>
                <w:sz w:val="22"/>
                <w:szCs w:val="22"/>
              </w:rPr>
            </w:pPr>
            <w:r w:rsidRPr="00D43A7B">
              <w:rPr>
                <w:rFonts w:cs="Calibri"/>
                <w:b/>
                <w:bCs/>
                <w:sz w:val="22"/>
                <w:szCs w:val="22"/>
              </w:rPr>
              <w:t>E</w:t>
            </w:r>
            <w:r w:rsidR="008F14F3" w:rsidRPr="00D43A7B">
              <w:rPr>
                <w:rFonts w:cs="Calibri"/>
                <w:b/>
                <w:bCs/>
                <w:sz w:val="22"/>
                <w:szCs w:val="22"/>
              </w:rPr>
              <w:t>-</w:t>
            </w:r>
            <w:r w:rsidRPr="00D43A7B">
              <w:rPr>
                <w:rFonts w:cs="Calibri"/>
                <w:b/>
                <w:bCs/>
                <w:sz w:val="22"/>
                <w:szCs w:val="22"/>
              </w:rPr>
              <w:t>mail</w:t>
            </w:r>
            <w:r w:rsidRPr="00D43A7B">
              <w:rPr>
                <w:rFonts w:cs="Calibri"/>
                <w:sz w:val="22"/>
                <w:szCs w:val="22"/>
              </w:rPr>
              <w:t>:</w:t>
            </w:r>
          </w:p>
        </w:tc>
        <w:tc>
          <w:tcPr>
            <w:tcW w:w="4558" w:type="dxa"/>
            <w:tcBorders>
              <w:right w:val="single" w:sz="8" w:space="0" w:color="auto"/>
            </w:tcBorders>
          </w:tcPr>
          <w:p w14:paraId="44E544E1" w14:textId="77777777" w:rsidR="008A779C" w:rsidRPr="00D43A7B" w:rsidRDefault="008A779C" w:rsidP="00692261">
            <w:pPr>
              <w:spacing w:before="0"/>
              <w:rPr>
                <w:rFonts w:cs="Calibri"/>
                <w:sz w:val="22"/>
                <w:szCs w:val="22"/>
              </w:rPr>
            </w:pPr>
            <w:hyperlink r:id="rId23" w:history="1">
              <w:r w:rsidRPr="00D43A7B">
                <w:rPr>
                  <w:rStyle w:val="Hyperlink"/>
                  <w:rFonts w:cs="Calibri"/>
                  <w:sz w:val="22"/>
                  <w:szCs w:val="22"/>
                </w:rPr>
                <w:t>tsbdir@itu.int</w:t>
              </w:r>
            </w:hyperlink>
            <w:r w:rsidRPr="00D43A7B">
              <w:rPr>
                <w:rFonts w:cs="Calibri"/>
                <w:sz w:val="22"/>
                <w:szCs w:val="22"/>
              </w:rPr>
              <w:t xml:space="preserve"> </w:t>
            </w:r>
          </w:p>
        </w:tc>
        <w:tc>
          <w:tcPr>
            <w:tcW w:w="992" w:type="dxa"/>
            <w:tcBorders>
              <w:left w:val="single" w:sz="8" w:space="0" w:color="auto"/>
            </w:tcBorders>
          </w:tcPr>
          <w:p w14:paraId="2A90559D" w14:textId="77777777" w:rsidR="008A779C" w:rsidRPr="00D43A7B" w:rsidRDefault="008A779C" w:rsidP="00692261">
            <w:pPr>
              <w:spacing w:before="0"/>
              <w:jc w:val="right"/>
              <w:rPr>
                <w:rFonts w:cs="Calibri"/>
                <w:sz w:val="22"/>
                <w:szCs w:val="22"/>
              </w:rPr>
            </w:pPr>
            <w:r w:rsidRPr="00D43A7B">
              <w:rPr>
                <w:rFonts w:cs="Calibri"/>
                <w:b/>
                <w:bCs/>
                <w:sz w:val="22"/>
                <w:szCs w:val="22"/>
              </w:rPr>
              <w:t>E</w:t>
            </w:r>
            <w:r w:rsidR="008F14F3" w:rsidRPr="00D43A7B">
              <w:rPr>
                <w:rFonts w:cs="Calibri"/>
                <w:b/>
                <w:bCs/>
                <w:sz w:val="22"/>
                <w:szCs w:val="22"/>
              </w:rPr>
              <w:t>-</w:t>
            </w:r>
            <w:r w:rsidRPr="00D43A7B">
              <w:rPr>
                <w:rFonts w:cs="Calibri"/>
                <w:b/>
                <w:bCs/>
                <w:sz w:val="22"/>
                <w:szCs w:val="22"/>
              </w:rPr>
              <w:t>mail</w:t>
            </w:r>
            <w:r w:rsidRPr="00D43A7B">
              <w:rPr>
                <w:rFonts w:cs="Calibri"/>
                <w:sz w:val="22"/>
                <w:szCs w:val="22"/>
              </w:rPr>
              <w:t>:</w:t>
            </w:r>
          </w:p>
        </w:tc>
        <w:tc>
          <w:tcPr>
            <w:tcW w:w="3402" w:type="dxa"/>
          </w:tcPr>
          <w:p w14:paraId="7E3134C2" w14:textId="77777777" w:rsidR="009A1A66" w:rsidRPr="00D43A7B" w:rsidRDefault="009A1A66" w:rsidP="00692261">
            <w:pPr>
              <w:spacing w:before="0"/>
              <w:rPr>
                <w:rFonts w:cs="Calibri"/>
                <w:sz w:val="22"/>
                <w:szCs w:val="22"/>
              </w:rPr>
            </w:pPr>
          </w:p>
        </w:tc>
      </w:tr>
      <w:tr w:rsidR="009A1A66" w:rsidRPr="00D43A7B" w14:paraId="7D86C73D" w14:textId="77777777" w:rsidTr="00780D16">
        <w:tc>
          <w:tcPr>
            <w:tcW w:w="1005" w:type="dxa"/>
          </w:tcPr>
          <w:p w14:paraId="6C2142F5" w14:textId="77777777" w:rsidR="009A1A66" w:rsidRPr="00D43A7B" w:rsidRDefault="009A1A66" w:rsidP="00692261">
            <w:pPr>
              <w:spacing w:before="0"/>
              <w:jc w:val="right"/>
              <w:rPr>
                <w:rFonts w:cs="Calibri"/>
                <w:sz w:val="22"/>
                <w:szCs w:val="22"/>
              </w:rPr>
            </w:pPr>
          </w:p>
        </w:tc>
        <w:tc>
          <w:tcPr>
            <w:tcW w:w="4558" w:type="dxa"/>
            <w:tcBorders>
              <w:right w:val="single" w:sz="8" w:space="0" w:color="auto"/>
            </w:tcBorders>
          </w:tcPr>
          <w:p w14:paraId="5312915C" w14:textId="77777777" w:rsidR="009A1A66" w:rsidRPr="00D43A7B" w:rsidRDefault="009A1A66" w:rsidP="00692261">
            <w:pPr>
              <w:spacing w:before="0"/>
              <w:rPr>
                <w:rFonts w:cs="Calibri"/>
                <w:sz w:val="22"/>
                <w:szCs w:val="22"/>
              </w:rPr>
            </w:pPr>
          </w:p>
        </w:tc>
        <w:tc>
          <w:tcPr>
            <w:tcW w:w="992" w:type="dxa"/>
            <w:tcBorders>
              <w:left w:val="single" w:sz="8" w:space="0" w:color="auto"/>
            </w:tcBorders>
          </w:tcPr>
          <w:p w14:paraId="0A5F670B" w14:textId="77777777" w:rsidR="009A1A66" w:rsidRPr="00D43A7B" w:rsidRDefault="008A779C" w:rsidP="00692261">
            <w:pPr>
              <w:spacing w:before="0"/>
              <w:jc w:val="right"/>
              <w:rPr>
                <w:rFonts w:cs="Calibri"/>
                <w:sz w:val="22"/>
                <w:szCs w:val="22"/>
              </w:rPr>
            </w:pPr>
            <w:r w:rsidRPr="00D43A7B">
              <w:rPr>
                <w:rFonts w:cs="Calibri"/>
                <w:b/>
                <w:bCs/>
                <w:sz w:val="22"/>
                <w:szCs w:val="22"/>
              </w:rPr>
              <w:t>Date</w:t>
            </w:r>
            <w:r w:rsidRPr="00D43A7B">
              <w:rPr>
                <w:rFonts w:cs="Calibri"/>
                <w:sz w:val="22"/>
                <w:szCs w:val="22"/>
              </w:rPr>
              <w:t>:</w:t>
            </w:r>
          </w:p>
        </w:tc>
        <w:tc>
          <w:tcPr>
            <w:tcW w:w="3402" w:type="dxa"/>
          </w:tcPr>
          <w:p w14:paraId="0900C4B3" w14:textId="77777777" w:rsidR="009A1A66" w:rsidRPr="00D43A7B" w:rsidRDefault="0018632F" w:rsidP="00692261">
            <w:pPr>
              <w:spacing w:before="0"/>
              <w:rPr>
                <w:rFonts w:cs="Calibri"/>
                <w:sz w:val="22"/>
                <w:szCs w:val="22"/>
              </w:rPr>
            </w:pPr>
            <w:r w:rsidRPr="00D43A7B">
              <w:rPr>
                <w:rFonts w:cs="Calibri"/>
                <w:sz w:val="22"/>
                <w:szCs w:val="22"/>
                <w:highlight w:val="green"/>
              </w:rPr>
              <w:t xml:space="preserve">[Place,] </w:t>
            </w:r>
            <w:r w:rsidR="008A779C" w:rsidRPr="00D43A7B">
              <w:rPr>
                <w:rFonts w:cs="Calibri"/>
                <w:sz w:val="22"/>
                <w:szCs w:val="22"/>
                <w:highlight w:val="green"/>
              </w:rPr>
              <w:t>[Date]</w:t>
            </w:r>
          </w:p>
        </w:tc>
      </w:tr>
    </w:tbl>
    <w:p w14:paraId="3696628D" w14:textId="77777777" w:rsidR="00C51F4B" w:rsidRPr="00D43A7B" w:rsidRDefault="00C51F4B" w:rsidP="008F14F3">
      <w:pPr>
        <w:spacing w:before="360"/>
        <w:rPr>
          <w:rFonts w:cs="Calibri"/>
          <w:sz w:val="22"/>
          <w:szCs w:val="22"/>
        </w:rPr>
      </w:pPr>
      <w:r w:rsidRPr="00D43A7B">
        <w:rPr>
          <w:rFonts w:cs="Calibri"/>
          <w:sz w:val="22"/>
          <w:szCs w:val="22"/>
        </w:rPr>
        <w:t xml:space="preserve">Dear </w:t>
      </w:r>
      <w:r w:rsidR="00964A6B" w:rsidRPr="00D43A7B">
        <w:rPr>
          <w:rFonts w:cs="Calibri"/>
          <w:sz w:val="22"/>
          <w:szCs w:val="22"/>
        </w:rPr>
        <w:t>Sir/Madam</w:t>
      </w:r>
      <w:r w:rsidR="00692261" w:rsidRPr="00D43A7B">
        <w:rPr>
          <w:rFonts w:cs="Calibri"/>
          <w:sz w:val="22"/>
          <w:szCs w:val="22"/>
        </w:rPr>
        <w:t>,</w:t>
      </w:r>
    </w:p>
    <w:p w14:paraId="424F8A92" w14:textId="6B69CBA5" w:rsidR="00C51F4B" w:rsidRPr="00D43A7B" w:rsidRDefault="006D7724" w:rsidP="0016049B">
      <w:pPr>
        <w:rPr>
          <w:rFonts w:cs="Calibri"/>
          <w:sz w:val="22"/>
          <w:szCs w:val="22"/>
        </w:rPr>
      </w:pPr>
      <w:r w:rsidRPr="00D43A7B">
        <w:rPr>
          <w:rFonts w:cs="Calibri"/>
          <w:sz w:val="22"/>
          <w:szCs w:val="22"/>
        </w:rPr>
        <w:t>With respect to the</w:t>
      </w:r>
      <w:r w:rsidR="0016049B" w:rsidRPr="00D43A7B">
        <w:rPr>
          <w:rFonts w:cs="Calibri"/>
          <w:sz w:val="22"/>
          <w:szCs w:val="22"/>
        </w:rPr>
        <w:t xml:space="preserve"> Member State consultation on the</w:t>
      </w:r>
      <w:r w:rsidRPr="00D43A7B">
        <w:rPr>
          <w:rFonts w:cs="Calibri"/>
          <w:sz w:val="22"/>
          <w:szCs w:val="22"/>
        </w:rPr>
        <w:t xml:space="preserve"> </w:t>
      </w:r>
      <w:r w:rsidR="0006765F" w:rsidRPr="00D43A7B">
        <w:rPr>
          <w:rFonts w:cs="Calibri"/>
          <w:sz w:val="22"/>
          <w:szCs w:val="22"/>
        </w:rPr>
        <w:t xml:space="preserve">Determined </w:t>
      </w:r>
      <w:r w:rsidRPr="00D43A7B">
        <w:rPr>
          <w:rFonts w:cs="Calibri"/>
          <w:sz w:val="22"/>
          <w:szCs w:val="22"/>
        </w:rPr>
        <w:t xml:space="preserve">draft texts listed in </w:t>
      </w:r>
      <w:hyperlink r:id="rId24" w:history="1">
        <w:r w:rsidRPr="00916D8F">
          <w:rPr>
            <w:rStyle w:val="Hyperlink"/>
            <w:rFonts w:cs="Calibri"/>
            <w:b/>
            <w:bCs/>
            <w:sz w:val="22"/>
            <w:szCs w:val="22"/>
          </w:rPr>
          <w:t>TSB Circular 104</w:t>
        </w:r>
      </w:hyperlink>
      <w:r w:rsidRPr="00D43A7B">
        <w:rPr>
          <w:rFonts w:cs="Calibri"/>
          <w:sz w:val="22"/>
          <w:szCs w:val="22"/>
        </w:rPr>
        <w:t xml:space="preserve">, </w:t>
      </w:r>
      <w:r w:rsidR="008F14F3" w:rsidRPr="00D43A7B">
        <w:rPr>
          <w:rFonts w:cs="Calibri"/>
          <w:sz w:val="22"/>
          <w:szCs w:val="22"/>
        </w:rPr>
        <w:t>I would like to advise you of the opinion of this Administration, which is set out in the table below.</w:t>
      </w:r>
    </w:p>
    <w:p w14:paraId="4B585CBE" w14:textId="77777777" w:rsidR="00211B70" w:rsidRPr="00D43A7B" w:rsidRDefault="00211B70" w:rsidP="0016049B">
      <w:pPr>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BC4AC3" w:rsidRPr="00D43A7B" w14:paraId="1CA3C887" w14:textId="77777777" w:rsidTr="00593449">
        <w:trPr>
          <w:tblHeader/>
        </w:trPr>
        <w:tc>
          <w:tcPr>
            <w:tcW w:w="2067" w:type="dxa"/>
            <w:vAlign w:val="center"/>
          </w:tcPr>
          <w:p w14:paraId="0083EA98" w14:textId="77777777" w:rsidR="00BC4AC3" w:rsidRPr="00916D8F" w:rsidRDefault="00BC4AC3" w:rsidP="00BC4AC3">
            <w:pPr>
              <w:spacing w:after="120"/>
              <w:jc w:val="center"/>
              <w:rPr>
                <w:rFonts w:cs="Calibri"/>
                <w:b/>
                <w:bCs/>
                <w:sz w:val="22"/>
                <w:szCs w:val="22"/>
              </w:rPr>
            </w:pPr>
          </w:p>
        </w:tc>
        <w:tc>
          <w:tcPr>
            <w:tcW w:w="7652" w:type="dxa"/>
            <w:vAlign w:val="center"/>
          </w:tcPr>
          <w:p w14:paraId="5FCB7DBE" w14:textId="77777777" w:rsidR="00BC4AC3" w:rsidRPr="00D43A7B" w:rsidRDefault="00BC4AC3" w:rsidP="00BC4AC3">
            <w:pPr>
              <w:tabs>
                <w:tab w:val="clear" w:pos="794"/>
                <w:tab w:val="clear" w:pos="1191"/>
                <w:tab w:val="clear" w:pos="1588"/>
                <w:tab w:val="clear" w:pos="1985"/>
              </w:tabs>
              <w:spacing w:after="120"/>
              <w:ind w:left="939" w:hanging="459"/>
              <w:jc w:val="center"/>
              <w:rPr>
                <w:rFonts w:cs="Calibri"/>
                <w:b/>
                <w:bCs/>
                <w:sz w:val="22"/>
                <w:szCs w:val="22"/>
              </w:rPr>
            </w:pPr>
            <w:r w:rsidRPr="00D43A7B">
              <w:rPr>
                <w:rFonts w:cs="Calibri"/>
                <w:b/>
                <w:bCs/>
                <w:sz w:val="22"/>
                <w:szCs w:val="22"/>
              </w:rPr>
              <w:t>Select one of the two boxes</w:t>
            </w:r>
          </w:p>
        </w:tc>
      </w:tr>
      <w:tr w:rsidR="00BC4AC3" w:rsidRPr="00D43A7B" w14:paraId="2DC5CEFD" w14:textId="77777777" w:rsidTr="00593449">
        <w:trPr>
          <w:trHeight w:val="748"/>
        </w:trPr>
        <w:tc>
          <w:tcPr>
            <w:tcW w:w="2067" w:type="dxa"/>
            <w:vMerge w:val="restart"/>
            <w:vAlign w:val="center"/>
          </w:tcPr>
          <w:p w14:paraId="5250B490" w14:textId="4C3D92A8" w:rsidR="00BC4AC3" w:rsidRPr="00916D8F" w:rsidRDefault="00BC4AC3" w:rsidP="00BC4AC3">
            <w:pPr>
              <w:spacing w:before="60" w:after="60"/>
              <w:jc w:val="center"/>
              <w:rPr>
                <w:rFonts w:cs="Calibri"/>
                <w:b/>
                <w:bCs/>
                <w:sz w:val="22"/>
                <w:szCs w:val="22"/>
              </w:rPr>
            </w:pPr>
            <w:r w:rsidRPr="00D43A7B">
              <w:rPr>
                <w:rFonts w:cs="Calibri"/>
                <w:b/>
                <w:bCs/>
                <w:sz w:val="22"/>
                <w:szCs w:val="22"/>
              </w:rPr>
              <w:t>Draft revised</w:t>
            </w:r>
            <w:r w:rsidR="00211B70" w:rsidRPr="00D43A7B">
              <w:rPr>
                <w:rFonts w:cs="Calibri"/>
                <w:b/>
                <w:bCs/>
                <w:sz w:val="22"/>
                <w:szCs w:val="22"/>
              </w:rPr>
              <w:t xml:space="preserve"> X.1280</w:t>
            </w:r>
          </w:p>
        </w:tc>
        <w:tc>
          <w:tcPr>
            <w:tcW w:w="7652" w:type="dxa"/>
            <w:vAlign w:val="center"/>
          </w:tcPr>
          <w:p w14:paraId="7D2BEA20" w14:textId="77777777" w:rsidR="00BC4AC3" w:rsidRPr="00D43A7B" w:rsidRDefault="000A572D" w:rsidP="00BC4AC3">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00BC4AC3"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00BC4AC3" w:rsidRPr="00D43A7B">
              <w:rPr>
                <w:rFonts w:cs="Calibri"/>
                <w:sz w:val="22"/>
                <w:szCs w:val="22"/>
              </w:rPr>
              <w:tab/>
            </w:r>
            <w:r w:rsidR="00BC4AC3" w:rsidRPr="00D43A7B">
              <w:rPr>
                <w:rFonts w:cs="Calibri"/>
                <w:b/>
                <w:bCs/>
                <w:sz w:val="22"/>
                <w:szCs w:val="22"/>
              </w:rPr>
              <w:t>assigns authority</w:t>
            </w:r>
            <w:r w:rsidR="00BC4AC3" w:rsidRPr="00D43A7B">
              <w:rPr>
                <w:rFonts w:cs="Calibri"/>
                <w:sz w:val="22"/>
                <w:szCs w:val="22"/>
              </w:rPr>
              <w:t xml:space="preserve"> to ITU-T Study Group 17 to consider this text for approval (in which case, select one of the two options ⃝):</w:t>
            </w:r>
          </w:p>
          <w:p w14:paraId="18C1CA75" w14:textId="77777777" w:rsidR="00BC4AC3" w:rsidRPr="00D43A7B" w:rsidRDefault="000A572D" w:rsidP="00BC4AC3">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00886781"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00BC4AC3" w:rsidRPr="00D43A7B">
              <w:rPr>
                <w:rFonts w:cs="Calibri"/>
                <w:sz w:val="22"/>
                <w:szCs w:val="22"/>
              </w:rPr>
              <w:tab/>
              <w:t>No comments or suggested changes</w:t>
            </w:r>
          </w:p>
          <w:p w14:paraId="5D80B5A8" w14:textId="77777777" w:rsidR="00BC4AC3" w:rsidRPr="00D43A7B" w:rsidRDefault="000A572D" w:rsidP="00BC4AC3">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00886781"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00BC4AC3" w:rsidRPr="00D43A7B">
              <w:rPr>
                <w:rFonts w:cs="Calibri"/>
                <w:sz w:val="22"/>
                <w:szCs w:val="22"/>
              </w:rPr>
              <w:tab/>
              <w:t>Comments and suggested changes are attached</w:t>
            </w:r>
          </w:p>
        </w:tc>
      </w:tr>
      <w:tr w:rsidR="00BC4AC3" w:rsidRPr="00D43A7B" w14:paraId="294F1E38" w14:textId="77777777" w:rsidTr="00593449">
        <w:trPr>
          <w:trHeight w:val="747"/>
        </w:trPr>
        <w:tc>
          <w:tcPr>
            <w:tcW w:w="2067" w:type="dxa"/>
            <w:vMerge/>
            <w:vAlign w:val="center"/>
          </w:tcPr>
          <w:p w14:paraId="18A29B66" w14:textId="77777777" w:rsidR="00BC4AC3" w:rsidRPr="00916D8F" w:rsidRDefault="00BC4AC3" w:rsidP="00BC4AC3">
            <w:pPr>
              <w:spacing w:before="60" w:after="60"/>
              <w:jc w:val="center"/>
              <w:rPr>
                <w:rFonts w:cs="Calibri"/>
                <w:b/>
                <w:bCs/>
                <w:sz w:val="22"/>
                <w:szCs w:val="22"/>
              </w:rPr>
            </w:pPr>
          </w:p>
        </w:tc>
        <w:tc>
          <w:tcPr>
            <w:tcW w:w="7652" w:type="dxa"/>
            <w:vAlign w:val="center"/>
          </w:tcPr>
          <w:p w14:paraId="31306994" w14:textId="77777777" w:rsidR="00BC4AC3" w:rsidRPr="00D43A7B" w:rsidRDefault="000A572D" w:rsidP="00BC4AC3">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00BC4AC3"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00BC4AC3" w:rsidRPr="00D43A7B">
              <w:rPr>
                <w:rFonts w:cs="Calibri"/>
                <w:sz w:val="22"/>
                <w:szCs w:val="22"/>
              </w:rPr>
              <w:tab/>
            </w:r>
            <w:r w:rsidR="00BC4AC3" w:rsidRPr="00D43A7B">
              <w:rPr>
                <w:rFonts w:cs="Calibri"/>
                <w:b/>
                <w:bCs/>
                <w:sz w:val="22"/>
                <w:szCs w:val="22"/>
              </w:rPr>
              <w:t>does not assign authority</w:t>
            </w:r>
            <w:r w:rsidR="00BC4AC3"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1DB569ED" w14:textId="77777777" w:rsidTr="00A045D2">
        <w:trPr>
          <w:trHeight w:val="748"/>
        </w:trPr>
        <w:tc>
          <w:tcPr>
            <w:tcW w:w="2067" w:type="dxa"/>
            <w:vMerge w:val="restart"/>
            <w:vAlign w:val="center"/>
          </w:tcPr>
          <w:p w14:paraId="47DC22EC" w14:textId="65D4E431"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Pr="00916D8F">
              <w:rPr>
                <w:rFonts w:cs="Calibri"/>
                <w:b/>
                <w:bCs/>
                <w:sz w:val="22"/>
                <w:szCs w:val="22"/>
              </w:rPr>
              <w:t xml:space="preserve">X.1286 (ex </w:t>
            </w:r>
            <w:proofErr w:type="spellStart"/>
            <w:proofErr w:type="gramStart"/>
            <w:r w:rsidRPr="00916D8F">
              <w:rPr>
                <w:rFonts w:cs="Calibri"/>
                <w:b/>
                <w:bCs/>
                <w:sz w:val="22"/>
                <w:szCs w:val="22"/>
              </w:rPr>
              <w:t>X.accsadlt</w:t>
            </w:r>
            <w:proofErr w:type="spellEnd"/>
            <w:proofErr w:type="gramEnd"/>
            <w:r w:rsidRPr="00916D8F">
              <w:rPr>
                <w:rFonts w:cs="Calibri"/>
                <w:b/>
                <w:bCs/>
                <w:sz w:val="22"/>
                <w:szCs w:val="22"/>
              </w:rPr>
              <w:t>)</w:t>
            </w:r>
          </w:p>
        </w:tc>
        <w:tc>
          <w:tcPr>
            <w:tcW w:w="7652" w:type="dxa"/>
            <w:vAlign w:val="center"/>
          </w:tcPr>
          <w:p w14:paraId="633490F9"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72AA871B"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130E112B"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0241FE92" w14:textId="77777777" w:rsidTr="00A045D2">
        <w:trPr>
          <w:trHeight w:val="747"/>
        </w:trPr>
        <w:tc>
          <w:tcPr>
            <w:tcW w:w="2067" w:type="dxa"/>
            <w:vMerge/>
            <w:vAlign w:val="center"/>
          </w:tcPr>
          <w:p w14:paraId="53AD71A1" w14:textId="77777777" w:rsidR="00211B70" w:rsidRPr="00916D8F" w:rsidRDefault="00211B70" w:rsidP="00A045D2">
            <w:pPr>
              <w:spacing w:before="60" w:after="60"/>
              <w:jc w:val="center"/>
              <w:rPr>
                <w:rFonts w:cs="Calibri"/>
                <w:b/>
                <w:bCs/>
                <w:sz w:val="22"/>
                <w:szCs w:val="22"/>
              </w:rPr>
            </w:pPr>
          </w:p>
        </w:tc>
        <w:tc>
          <w:tcPr>
            <w:tcW w:w="7652" w:type="dxa"/>
            <w:vAlign w:val="center"/>
          </w:tcPr>
          <w:p w14:paraId="3FED00BC"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0BAC75DB" w14:textId="77777777" w:rsidTr="00A045D2">
        <w:trPr>
          <w:trHeight w:val="748"/>
        </w:trPr>
        <w:tc>
          <w:tcPr>
            <w:tcW w:w="2067" w:type="dxa"/>
            <w:vMerge w:val="restart"/>
            <w:vAlign w:val="center"/>
          </w:tcPr>
          <w:p w14:paraId="19A6E451" w14:textId="7A53E270" w:rsidR="00211B70" w:rsidRPr="00916D8F" w:rsidRDefault="00211B70" w:rsidP="00211B70">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X.1821 (ex X.5Gsec-asra)</w:t>
            </w:r>
          </w:p>
        </w:tc>
        <w:tc>
          <w:tcPr>
            <w:tcW w:w="7652" w:type="dxa"/>
            <w:vAlign w:val="center"/>
          </w:tcPr>
          <w:p w14:paraId="3291A954"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1919D44F"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0EF2978B"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3C37A5A3" w14:textId="77777777" w:rsidTr="00A045D2">
        <w:trPr>
          <w:trHeight w:val="747"/>
        </w:trPr>
        <w:tc>
          <w:tcPr>
            <w:tcW w:w="2067" w:type="dxa"/>
            <w:vMerge/>
            <w:vAlign w:val="center"/>
          </w:tcPr>
          <w:p w14:paraId="72321B89" w14:textId="77777777" w:rsidR="00211B70" w:rsidRPr="00916D8F" w:rsidRDefault="00211B70" w:rsidP="00A045D2">
            <w:pPr>
              <w:spacing w:before="60" w:after="60"/>
              <w:jc w:val="center"/>
              <w:rPr>
                <w:rFonts w:cs="Calibri"/>
                <w:b/>
                <w:bCs/>
                <w:sz w:val="22"/>
                <w:szCs w:val="22"/>
              </w:rPr>
            </w:pPr>
          </w:p>
        </w:tc>
        <w:tc>
          <w:tcPr>
            <w:tcW w:w="7652" w:type="dxa"/>
            <w:vAlign w:val="center"/>
          </w:tcPr>
          <w:p w14:paraId="075753D4"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2305C98C" w14:textId="77777777" w:rsidTr="00A045D2">
        <w:trPr>
          <w:trHeight w:val="748"/>
        </w:trPr>
        <w:tc>
          <w:tcPr>
            <w:tcW w:w="2067" w:type="dxa"/>
            <w:vMerge w:val="restart"/>
            <w:vAlign w:val="center"/>
          </w:tcPr>
          <w:p w14:paraId="2A1E4E49" w14:textId="4BD72A9B"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X.1350 (ex X.sr-</w:t>
            </w:r>
            <w:proofErr w:type="spellStart"/>
            <w:r w:rsidR="00916D8F" w:rsidRPr="00916D8F">
              <w:rPr>
                <w:rFonts w:cs="Calibri"/>
                <w:b/>
                <w:bCs/>
                <w:sz w:val="22"/>
                <w:szCs w:val="22"/>
              </w:rPr>
              <w:t>iiot</w:t>
            </w:r>
            <w:proofErr w:type="spellEnd"/>
            <w:r w:rsidR="00916D8F" w:rsidRPr="00916D8F">
              <w:rPr>
                <w:rFonts w:cs="Calibri"/>
                <w:b/>
                <w:bCs/>
                <w:sz w:val="22"/>
                <w:szCs w:val="22"/>
              </w:rPr>
              <w:t>)</w:t>
            </w:r>
          </w:p>
        </w:tc>
        <w:tc>
          <w:tcPr>
            <w:tcW w:w="7652" w:type="dxa"/>
            <w:vAlign w:val="center"/>
          </w:tcPr>
          <w:p w14:paraId="67AE1EEF"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1DE59D8E"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0CDA0530"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4360AE4C" w14:textId="77777777" w:rsidTr="00A045D2">
        <w:trPr>
          <w:trHeight w:val="747"/>
        </w:trPr>
        <w:tc>
          <w:tcPr>
            <w:tcW w:w="2067" w:type="dxa"/>
            <w:vMerge/>
            <w:vAlign w:val="center"/>
          </w:tcPr>
          <w:p w14:paraId="3011C1CC" w14:textId="77777777" w:rsidR="00211B70" w:rsidRPr="00916D8F" w:rsidRDefault="00211B70" w:rsidP="00A045D2">
            <w:pPr>
              <w:spacing w:before="60" w:after="60"/>
              <w:jc w:val="center"/>
              <w:rPr>
                <w:rFonts w:cs="Calibri"/>
                <w:b/>
                <w:bCs/>
                <w:sz w:val="22"/>
                <w:szCs w:val="22"/>
              </w:rPr>
            </w:pPr>
          </w:p>
        </w:tc>
        <w:tc>
          <w:tcPr>
            <w:tcW w:w="7652" w:type="dxa"/>
            <w:vAlign w:val="center"/>
          </w:tcPr>
          <w:p w14:paraId="344482F5"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1FFA4F04" w14:textId="77777777" w:rsidTr="00A045D2">
        <w:trPr>
          <w:trHeight w:val="748"/>
        </w:trPr>
        <w:tc>
          <w:tcPr>
            <w:tcW w:w="2067" w:type="dxa"/>
            <w:vMerge w:val="restart"/>
            <w:vAlign w:val="center"/>
          </w:tcPr>
          <w:p w14:paraId="498CCB9F" w14:textId="0BA75860"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X.2105 (ex X.st-</w:t>
            </w:r>
            <w:proofErr w:type="spellStart"/>
            <w:r w:rsidR="00916D8F" w:rsidRPr="00916D8F">
              <w:rPr>
                <w:rFonts w:cs="Calibri"/>
                <w:b/>
                <w:bCs/>
                <w:sz w:val="22"/>
                <w:szCs w:val="22"/>
              </w:rPr>
              <w:t>ssc</w:t>
            </w:r>
            <w:proofErr w:type="spellEnd"/>
            <w:r w:rsidR="00916D8F" w:rsidRPr="00916D8F">
              <w:rPr>
                <w:rFonts w:cs="Calibri"/>
                <w:b/>
                <w:bCs/>
                <w:sz w:val="22"/>
                <w:szCs w:val="22"/>
              </w:rPr>
              <w:t>)</w:t>
            </w:r>
          </w:p>
        </w:tc>
        <w:tc>
          <w:tcPr>
            <w:tcW w:w="7652" w:type="dxa"/>
            <w:vAlign w:val="center"/>
          </w:tcPr>
          <w:p w14:paraId="396C5C7E"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0D251D6D"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63E6954B"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253B6214" w14:textId="77777777" w:rsidTr="00A045D2">
        <w:trPr>
          <w:trHeight w:val="747"/>
        </w:trPr>
        <w:tc>
          <w:tcPr>
            <w:tcW w:w="2067" w:type="dxa"/>
            <w:vMerge/>
            <w:vAlign w:val="center"/>
          </w:tcPr>
          <w:p w14:paraId="60B60E17" w14:textId="77777777" w:rsidR="00211B70" w:rsidRPr="00916D8F" w:rsidRDefault="00211B70" w:rsidP="00A045D2">
            <w:pPr>
              <w:spacing w:before="60" w:after="60"/>
              <w:jc w:val="center"/>
              <w:rPr>
                <w:rFonts w:cs="Calibri"/>
                <w:b/>
                <w:bCs/>
                <w:sz w:val="22"/>
                <w:szCs w:val="22"/>
              </w:rPr>
            </w:pPr>
          </w:p>
        </w:tc>
        <w:tc>
          <w:tcPr>
            <w:tcW w:w="7652" w:type="dxa"/>
            <w:vAlign w:val="center"/>
          </w:tcPr>
          <w:p w14:paraId="434766B1"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301E30EB" w14:textId="77777777" w:rsidTr="00A045D2">
        <w:trPr>
          <w:trHeight w:val="748"/>
        </w:trPr>
        <w:tc>
          <w:tcPr>
            <w:tcW w:w="2067" w:type="dxa"/>
            <w:vMerge w:val="restart"/>
            <w:vAlign w:val="center"/>
          </w:tcPr>
          <w:p w14:paraId="726E2844" w14:textId="39D7B35D"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 xml:space="preserve">X.2210 (ex </w:t>
            </w:r>
            <w:proofErr w:type="spellStart"/>
            <w:proofErr w:type="gramStart"/>
            <w:r w:rsidR="00916D8F" w:rsidRPr="00916D8F">
              <w:rPr>
                <w:rFonts w:cs="Calibri"/>
                <w:b/>
                <w:bCs/>
                <w:sz w:val="22"/>
                <w:szCs w:val="22"/>
              </w:rPr>
              <w:t>X.ig</w:t>
            </w:r>
            <w:proofErr w:type="gramEnd"/>
            <w:r w:rsidR="00916D8F" w:rsidRPr="00916D8F">
              <w:rPr>
                <w:rFonts w:cs="Calibri"/>
                <w:b/>
                <w:bCs/>
                <w:sz w:val="22"/>
                <w:szCs w:val="22"/>
              </w:rPr>
              <w:t>-dw</w:t>
            </w:r>
            <w:proofErr w:type="spellEnd"/>
            <w:r w:rsidR="00916D8F" w:rsidRPr="00916D8F">
              <w:rPr>
                <w:rFonts w:cs="Calibri"/>
                <w:b/>
                <w:bCs/>
                <w:sz w:val="22"/>
                <w:szCs w:val="22"/>
              </w:rPr>
              <w:t>)</w:t>
            </w:r>
          </w:p>
        </w:tc>
        <w:tc>
          <w:tcPr>
            <w:tcW w:w="7652" w:type="dxa"/>
            <w:vAlign w:val="center"/>
          </w:tcPr>
          <w:p w14:paraId="070B9AF0"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6343A1C2"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34A16EA3"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4AB69C06" w14:textId="77777777" w:rsidTr="00A045D2">
        <w:trPr>
          <w:trHeight w:val="747"/>
        </w:trPr>
        <w:tc>
          <w:tcPr>
            <w:tcW w:w="2067" w:type="dxa"/>
            <w:vMerge/>
            <w:vAlign w:val="center"/>
          </w:tcPr>
          <w:p w14:paraId="114768B6" w14:textId="77777777" w:rsidR="00211B70" w:rsidRPr="00916D8F" w:rsidRDefault="00211B70" w:rsidP="00A045D2">
            <w:pPr>
              <w:spacing w:before="60" w:after="60"/>
              <w:jc w:val="center"/>
              <w:rPr>
                <w:rFonts w:cs="Calibri"/>
                <w:b/>
                <w:bCs/>
                <w:sz w:val="22"/>
                <w:szCs w:val="22"/>
              </w:rPr>
            </w:pPr>
          </w:p>
        </w:tc>
        <w:tc>
          <w:tcPr>
            <w:tcW w:w="7652" w:type="dxa"/>
            <w:vAlign w:val="center"/>
          </w:tcPr>
          <w:p w14:paraId="7B88D093"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45E19F35" w14:textId="77777777" w:rsidTr="00A045D2">
        <w:trPr>
          <w:trHeight w:val="748"/>
        </w:trPr>
        <w:tc>
          <w:tcPr>
            <w:tcW w:w="2067" w:type="dxa"/>
            <w:vMerge w:val="restart"/>
            <w:vAlign w:val="center"/>
          </w:tcPr>
          <w:p w14:paraId="42E93DB8" w14:textId="1149FFD2"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X.1910 (ex X.tc-</w:t>
            </w:r>
            <w:proofErr w:type="spellStart"/>
            <w:r w:rsidR="00916D8F" w:rsidRPr="00916D8F">
              <w:rPr>
                <w:rFonts w:cs="Calibri"/>
                <w:b/>
                <w:bCs/>
                <w:sz w:val="22"/>
                <w:szCs w:val="22"/>
              </w:rPr>
              <w:t>ifd</w:t>
            </w:r>
            <w:proofErr w:type="spellEnd"/>
            <w:r w:rsidR="00916D8F" w:rsidRPr="00916D8F">
              <w:rPr>
                <w:rFonts w:cs="Calibri"/>
                <w:b/>
                <w:bCs/>
                <w:sz w:val="22"/>
                <w:szCs w:val="22"/>
              </w:rPr>
              <w:t>)</w:t>
            </w:r>
          </w:p>
        </w:tc>
        <w:tc>
          <w:tcPr>
            <w:tcW w:w="7652" w:type="dxa"/>
            <w:vAlign w:val="center"/>
          </w:tcPr>
          <w:p w14:paraId="08F19563"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36FCACC4"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167C9EB7"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20A0D5DF" w14:textId="77777777" w:rsidTr="00A045D2">
        <w:trPr>
          <w:trHeight w:val="747"/>
        </w:trPr>
        <w:tc>
          <w:tcPr>
            <w:tcW w:w="2067" w:type="dxa"/>
            <w:vMerge/>
            <w:vAlign w:val="center"/>
          </w:tcPr>
          <w:p w14:paraId="7BA58E17" w14:textId="77777777" w:rsidR="00211B70" w:rsidRPr="00916D8F" w:rsidRDefault="00211B70" w:rsidP="00A045D2">
            <w:pPr>
              <w:spacing w:before="60" w:after="60"/>
              <w:jc w:val="center"/>
              <w:rPr>
                <w:rFonts w:cs="Calibri"/>
                <w:b/>
                <w:bCs/>
                <w:sz w:val="22"/>
                <w:szCs w:val="22"/>
              </w:rPr>
            </w:pPr>
          </w:p>
        </w:tc>
        <w:tc>
          <w:tcPr>
            <w:tcW w:w="7652" w:type="dxa"/>
            <w:vAlign w:val="center"/>
          </w:tcPr>
          <w:p w14:paraId="19490065"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757A503D" w14:textId="77777777" w:rsidTr="00A045D2">
        <w:trPr>
          <w:trHeight w:val="748"/>
        </w:trPr>
        <w:tc>
          <w:tcPr>
            <w:tcW w:w="2067" w:type="dxa"/>
            <w:vMerge w:val="restart"/>
            <w:vAlign w:val="center"/>
          </w:tcPr>
          <w:p w14:paraId="1CE2C1A2" w14:textId="482C2098"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 xml:space="preserve">X.1651 (ex </w:t>
            </w:r>
            <w:proofErr w:type="spellStart"/>
            <w:proofErr w:type="gramStart"/>
            <w:r w:rsidR="00916D8F" w:rsidRPr="00916D8F">
              <w:rPr>
                <w:rFonts w:cs="Calibri"/>
                <w:b/>
                <w:bCs/>
                <w:sz w:val="22"/>
                <w:szCs w:val="22"/>
              </w:rPr>
              <w:t>X.soar</w:t>
            </w:r>
            <w:proofErr w:type="spellEnd"/>
            <w:proofErr w:type="gramEnd"/>
            <w:r w:rsidR="00916D8F" w:rsidRPr="00916D8F">
              <w:rPr>
                <w:rFonts w:cs="Calibri"/>
                <w:b/>
                <w:bCs/>
                <w:sz w:val="22"/>
                <w:szCs w:val="22"/>
              </w:rPr>
              <w:t>-cc)</w:t>
            </w:r>
          </w:p>
        </w:tc>
        <w:tc>
          <w:tcPr>
            <w:tcW w:w="7652" w:type="dxa"/>
            <w:vAlign w:val="center"/>
          </w:tcPr>
          <w:p w14:paraId="422B1754"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0A2AC331"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258EE1D4"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33A36F65" w14:textId="77777777" w:rsidTr="00A045D2">
        <w:trPr>
          <w:trHeight w:val="747"/>
        </w:trPr>
        <w:tc>
          <w:tcPr>
            <w:tcW w:w="2067" w:type="dxa"/>
            <w:vMerge/>
            <w:vAlign w:val="center"/>
          </w:tcPr>
          <w:p w14:paraId="70652646" w14:textId="77777777" w:rsidR="00211B70" w:rsidRPr="00916D8F" w:rsidRDefault="00211B70" w:rsidP="00A045D2">
            <w:pPr>
              <w:spacing w:before="60" w:after="60"/>
              <w:jc w:val="center"/>
              <w:rPr>
                <w:rFonts w:cs="Calibri"/>
                <w:b/>
                <w:bCs/>
                <w:sz w:val="22"/>
                <w:szCs w:val="22"/>
              </w:rPr>
            </w:pPr>
          </w:p>
        </w:tc>
        <w:tc>
          <w:tcPr>
            <w:tcW w:w="7652" w:type="dxa"/>
            <w:vAlign w:val="center"/>
          </w:tcPr>
          <w:p w14:paraId="737A3DD8"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6A764795" w14:textId="77777777" w:rsidTr="00A045D2">
        <w:trPr>
          <w:trHeight w:val="748"/>
        </w:trPr>
        <w:tc>
          <w:tcPr>
            <w:tcW w:w="2067" w:type="dxa"/>
            <w:vMerge w:val="restart"/>
            <w:vAlign w:val="center"/>
          </w:tcPr>
          <w:p w14:paraId="3ED22A27" w14:textId="15AAFB45" w:rsidR="00211B70" w:rsidRPr="00916D8F" w:rsidRDefault="00211B70" w:rsidP="00A045D2">
            <w:pPr>
              <w:spacing w:before="60" w:after="60"/>
              <w:jc w:val="center"/>
              <w:rPr>
                <w:rFonts w:cs="Calibri"/>
                <w:b/>
                <w:bCs/>
                <w:sz w:val="22"/>
                <w:szCs w:val="22"/>
              </w:rPr>
            </w:pPr>
            <w:r w:rsidRPr="00D43A7B">
              <w:rPr>
                <w:rFonts w:cs="Calibri"/>
                <w:b/>
                <w:bCs/>
                <w:sz w:val="22"/>
                <w:szCs w:val="22"/>
              </w:rPr>
              <w:t xml:space="preserve">Draft new </w:t>
            </w:r>
            <w:r w:rsidR="00916D8F" w:rsidRPr="00916D8F">
              <w:rPr>
                <w:rFonts w:cs="Calibri"/>
                <w:b/>
                <w:bCs/>
                <w:sz w:val="22"/>
                <w:szCs w:val="22"/>
              </w:rPr>
              <w:t>X.1607 (ex X.asm-cc)</w:t>
            </w:r>
          </w:p>
        </w:tc>
        <w:tc>
          <w:tcPr>
            <w:tcW w:w="7652" w:type="dxa"/>
            <w:vAlign w:val="center"/>
          </w:tcPr>
          <w:p w14:paraId="1FA802C5"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0B7F08ED"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238618E8"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4D7D5ADE" w14:textId="77777777" w:rsidTr="00A045D2">
        <w:trPr>
          <w:trHeight w:val="747"/>
        </w:trPr>
        <w:tc>
          <w:tcPr>
            <w:tcW w:w="2067" w:type="dxa"/>
            <w:vMerge/>
            <w:vAlign w:val="center"/>
          </w:tcPr>
          <w:p w14:paraId="56A50E06" w14:textId="77777777" w:rsidR="00211B70" w:rsidRPr="00916D8F" w:rsidRDefault="00211B70" w:rsidP="00A045D2">
            <w:pPr>
              <w:spacing w:before="60" w:after="60"/>
              <w:jc w:val="center"/>
              <w:rPr>
                <w:rFonts w:cs="Calibri"/>
                <w:b/>
                <w:bCs/>
                <w:sz w:val="22"/>
                <w:szCs w:val="22"/>
              </w:rPr>
            </w:pPr>
          </w:p>
        </w:tc>
        <w:tc>
          <w:tcPr>
            <w:tcW w:w="7652" w:type="dxa"/>
            <w:vAlign w:val="center"/>
          </w:tcPr>
          <w:p w14:paraId="1517CF6E"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716A975B" w14:textId="77777777" w:rsidTr="00A045D2">
        <w:trPr>
          <w:trHeight w:val="748"/>
        </w:trPr>
        <w:tc>
          <w:tcPr>
            <w:tcW w:w="2067" w:type="dxa"/>
            <w:vMerge w:val="restart"/>
            <w:vAlign w:val="center"/>
          </w:tcPr>
          <w:p w14:paraId="63BC034E" w14:textId="2E01DC94" w:rsidR="00211B70" w:rsidRPr="00916D8F" w:rsidRDefault="00211B70" w:rsidP="00A045D2">
            <w:pPr>
              <w:spacing w:before="60" w:after="60"/>
              <w:jc w:val="center"/>
              <w:rPr>
                <w:rFonts w:cs="Calibri"/>
                <w:b/>
                <w:bCs/>
                <w:sz w:val="22"/>
                <w:szCs w:val="22"/>
              </w:rPr>
            </w:pPr>
            <w:r w:rsidRPr="00916D8F">
              <w:rPr>
                <w:rFonts w:cs="Calibri"/>
                <w:b/>
                <w:bCs/>
                <w:sz w:val="22"/>
                <w:szCs w:val="22"/>
              </w:rPr>
              <w:t xml:space="preserve">Draft new </w:t>
            </w:r>
            <w:r w:rsidR="00916D8F" w:rsidRPr="00916D8F">
              <w:rPr>
                <w:rFonts w:cs="Calibri"/>
                <w:b/>
                <w:bCs/>
                <w:sz w:val="22"/>
                <w:szCs w:val="22"/>
              </w:rPr>
              <w:t>X.1418 (ex X.sg-</w:t>
            </w:r>
            <w:proofErr w:type="spellStart"/>
            <w:r w:rsidR="00916D8F" w:rsidRPr="00916D8F">
              <w:rPr>
                <w:rFonts w:cs="Calibri"/>
                <w:b/>
                <w:bCs/>
                <w:sz w:val="22"/>
                <w:szCs w:val="22"/>
              </w:rPr>
              <w:t>dcs</w:t>
            </w:r>
            <w:proofErr w:type="spellEnd"/>
            <w:r w:rsidR="00916D8F" w:rsidRPr="00916D8F">
              <w:rPr>
                <w:rFonts w:cs="Calibri"/>
                <w:b/>
                <w:bCs/>
                <w:sz w:val="22"/>
                <w:szCs w:val="22"/>
              </w:rPr>
              <w:t>)</w:t>
            </w:r>
          </w:p>
        </w:tc>
        <w:tc>
          <w:tcPr>
            <w:tcW w:w="7652" w:type="dxa"/>
            <w:vAlign w:val="center"/>
          </w:tcPr>
          <w:p w14:paraId="3ED7C3DE"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7681F123"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720CD595"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230826EB" w14:textId="77777777" w:rsidTr="00A045D2">
        <w:trPr>
          <w:trHeight w:val="747"/>
        </w:trPr>
        <w:tc>
          <w:tcPr>
            <w:tcW w:w="2067" w:type="dxa"/>
            <w:vMerge/>
            <w:vAlign w:val="center"/>
          </w:tcPr>
          <w:p w14:paraId="213D835C" w14:textId="77777777" w:rsidR="00211B70" w:rsidRPr="00916D8F" w:rsidRDefault="00211B70" w:rsidP="00A045D2">
            <w:pPr>
              <w:spacing w:before="60" w:after="60"/>
              <w:jc w:val="center"/>
              <w:rPr>
                <w:rFonts w:cs="Calibri"/>
                <w:b/>
                <w:bCs/>
                <w:sz w:val="22"/>
                <w:szCs w:val="22"/>
              </w:rPr>
            </w:pPr>
          </w:p>
        </w:tc>
        <w:tc>
          <w:tcPr>
            <w:tcW w:w="7652" w:type="dxa"/>
            <w:vAlign w:val="center"/>
          </w:tcPr>
          <w:p w14:paraId="4FE5194B"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r w:rsidR="00211B70" w:rsidRPr="00D43A7B" w14:paraId="184949B9" w14:textId="77777777" w:rsidTr="00A045D2">
        <w:trPr>
          <w:trHeight w:val="748"/>
        </w:trPr>
        <w:tc>
          <w:tcPr>
            <w:tcW w:w="2067" w:type="dxa"/>
            <w:vMerge w:val="restart"/>
            <w:vAlign w:val="center"/>
          </w:tcPr>
          <w:p w14:paraId="6257AA0A" w14:textId="3096D4EA" w:rsidR="00211B70" w:rsidRPr="00916D8F" w:rsidRDefault="00211B70" w:rsidP="00A045D2">
            <w:pPr>
              <w:spacing w:before="60" w:after="60"/>
              <w:jc w:val="center"/>
              <w:rPr>
                <w:rFonts w:cs="Calibri"/>
                <w:b/>
                <w:bCs/>
                <w:sz w:val="22"/>
                <w:szCs w:val="22"/>
              </w:rPr>
            </w:pPr>
            <w:r w:rsidRPr="00D43A7B">
              <w:rPr>
                <w:rFonts w:cs="Calibri"/>
                <w:b/>
                <w:bCs/>
                <w:sz w:val="22"/>
                <w:szCs w:val="22"/>
              </w:rPr>
              <w:lastRenderedPageBreak/>
              <w:t xml:space="preserve">Draft new </w:t>
            </w:r>
            <w:r w:rsidR="00916D8F" w:rsidRPr="00916D8F">
              <w:rPr>
                <w:rFonts w:cs="Calibri"/>
                <w:b/>
                <w:bCs/>
                <w:sz w:val="22"/>
                <w:szCs w:val="22"/>
              </w:rPr>
              <w:t>X.1417 (ex X.sr-</w:t>
            </w:r>
            <w:proofErr w:type="spellStart"/>
            <w:r w:rsidR="00916D8F" w:rsidRPr="00916D8F">
              <w:rPr>
                <w:rFonts w:cs="Calibri"/>
                <w:b/>
                <w:bCs/>
                <w:sz w:val="22"/>
                <w:szCs w:val="22"/>
              </w:rPr>
              <w:t>dpts</w:t>
            </w:r>
            <w:proofErr w:type="spellEnd"/>
            <w:r w:rsidR="00916D8F" w:rsidRPr="00916D8F">
              <w:rPr>
                <w:rFonts w:cs="Calibri"/>
                <w:b/>
                <w:bCs/>
                <w:sz w:val="22"/>
                <w:szCs w:val="22"/>
              </w:rPr>
              <w:t>)</w:t>
            </w:r>
          </w:p>
        </w:tc>
        <w:tc>
          <w:tcPr>
            <w:tcW w:w="7652" w:type="dxa"/>
            <w:vAlign w:val="center"/>
          </w:tcPr>
          <w:p w14:paraId="58231A46" w14:textId="77777777" w:rsidR="00211B70" w:rsidRPr="00D43A7B" w:rsidRDefault="00211B70" w:rsidP="00A045D2">
            <w:pPr>
              <w:tabs>
                <w:tab w:val="clear" w:pos="794"/>
                <w:tab w:val="clear" w:pos="1191"/>
                <w:tab w:val="clear" w:pos="1588"/>
                <w:tab w:val="clear" w:pos="1985"/>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assigns authority</w:t>
            </w:r>
            <w:r w:rsidRPr="00D43A7B">
              <w:rPr>
                <w:rFonts w:cs="Calibri"/>
                <w:sz w:val="22"/>
                <w:szCs w:val="22"/>
              </w:rPr>
              <w:t xml:space="preserve"> to ITU-T Study Group 17 to consider this text for approval (in which case, select one of the two options ⃝):</w:t>
            </w:r>
          </w:p>
          <w:p w14:paraId="55B3C4B2"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No comments or suggested changes</w:t>
            </w:r>
          </w:p>
          <w:p w14:paraId="6C8DD5A0" w14:textId="77777777" w:rsidR="00211B70" w:rsidRPr="00D43A7B" w:rsidRDefault="00211B70" w:rsidP="00A045D2">
            <w:pPr>
              <w:tabs>
                <w:tab w:val="clear" w:pos="794"/>
                <w:tab w:val="clear" w:pos="1191"/>
                <w:tab w:val="clear" w:pos="1588"/>
                <w:tab w:val="clear" w:pos="1985"/>
              </w:tabs>
              <w:spacing w:before="60" w:after="60"/>
              <w:ind w:left="93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t>Comments and suggested changes are attached</w:t>
            </w:r>
          </w:p>
        </w:tc>
      </w:tr>
      <w:tr w:rsidR="00211B70" w:rsidRPr="00D43A7B" w14:paraId="4E240497" w14:textId="77777777" w:rsidTr="00A045D2">
        <w:trPr>
          <w:trHeight w:val="747"/>
        </w:trPr>
        <w:tc>
          <w:tcPr>
            <w:tcW w:w="2067" w:type="dxa"/>
            <w:vMerge/>
            <w:vAlign w:val="center"/>
          </w:tcPr>
          <w:p w14:paraId="4E9DF594" w14:textId="77777777" w:rsidR="00211B70" w:rsidRPr="00916D8F" w:rsidRDefault="00211B70" w:rsidP="00A045D2">
            <w:pPr>
              <w:spacing w:before="60" w:after="60"/>
              <w:jc w:val="center"/>
              <w:rPr>
                <w:rFonts w:cs="Calibri"/>
                <w:b/>
                <w:bCs/>
                <w:sz w:val="22"/>
                <w:szCs w:val="22"/>
              </w:rPr>
            </w:pPr>
          </w:p>
        </w:tc>
        <w:tc>
          <w:tcPr>
            <w:tcW w:w="7652" w:type="dxa"/>
            <w:vAlign w:val="center"/>
          </w:tcPr>
          <w:p w14:paraId="1CE31186" w14:textId="77777777" w:rsidR="00211B70" w:rsidRPr="00D43A7B" w:rsidRDefault="00211B70" w:rsidP="00A045D2">
            <w:pPr>
              <w:tabs>
                <w:tab w:val="clear" w:pos="794"/>
                <w:tab w:val="clear" w:pos="1191"/>
                <w:tab w:val="clear" w:pos="1588"/>
                <w:tab w:val="clear" w:pos="1985"/>
                <w:tab w:val="left" w:pos="250"/>
              </w:tabs>
              <w:spacing w:before="60" w:after="60"/>
              <w:ind w:left="459" w:hanging="459"/>
              <w:rPr>
                <w:rFonts w:cs="Calibri"/>
                <w:sz w:val="22"/>
                <w:szCs w:val="22"/>
              </w:rPr>
            </w:pPr>
            <w:r w:rsidRPr="00D43A7B">
              <w:rPr>
                <w:rFonts w:cs="Calibri"/>
                <w:sz w:val="22"/>
                <w:szCs w:val="22"/>
              </w:rPr>
              <w:fldChar w:fldCharType="begin">
                <w:ffData>
                  <w:name w:val="Check1"/>
                  <w:enabled/>
                  <w:calcOnExit w:val="0"/>
                  <w:checkBox>
                    <w:sizeAuto/>
                    <w:default w:val="0"/>
                  </w:checkBox>
                </w:ffData>
              </w:fldChar>
            </w:r>
            <w:r w:rsidRPr="00D43A7B">
              <w:rPr>
                <w:rFonts w:cs="Calibri"/>
                <w:sz w:val="22"/>
                <w:szCs w:val="22"/>
              </w:rPr>
              <w:instrText xml:space="preserve"> FORMCHECKBOX </w:instrText>
            </w:r>
            <w:r w:rsidRPr="00D43A7B">
              <w:rPr>
                <w:rFonts w:cs="Calibri"/>
                <w:sz w:val="22"/>
                <w:szCs w:val="22"/>
              </w:rPr>
            </w:r>
            <w:r w:rsidRPr="00D43A7B">
              <w:rPr>
                <w:rFonts w:cs="Calibri"/>
                <w:sz w:val="22"/>
                <w:szCs w:val="22"/>
              </w:rPr>
              <w:fldChar w:fldCharType="separate"/>
            </w:r>
            <w:r w:rsidRPr="00D43A7B">
              <w:rPr>
                <w:rFonts w:cs="Calibri"/>
                <w:sz w:val="22"/>
                <w:szCs w:val="22"/>
              </w:rPr>
              <w:fldChar w:fldCharType="end"/>
            </w:r>
            <w:r w:rsidRPr="00D43A7B">
              <w:rPr>
                <w:rFonts w:cs="Calibri"/>
                <w:sz w:val="22"/>
                <w:szCs w:val="22"/>
              </w:rPr>
              <w:tab/>
            </w:r>
            <w:r w:rsidRPr="00D43A7B">
              <w:rPr>
                <w:rFonts w:cs="Calibri"/>
                <w:b/>
                <w:bCs/>
                <w:sz w:val="22"/>
                <w:szCs w:val="22"/>
              </w:rPr>
              <w:t>does not assign authority</w:t>
            </w:r>
            <w:r w:rsidRPr="00D43A7B">
              <w:rPr>
                <w:rFonts w:cs="Calibri"/>
                <w:sz w:val="22"/>
                <w:szCs w:val="22"/>
              </w:rPr>
              <w:t xml:space="preserve"> to ITU-T Study Group 17 to consider this text for approval (reasons for this opinion and an outline of possible changes that would enable the work to progress are attached)</w:t>
            </w:r>
          </w:p>
        </w:tc>
      </w:tr>
    </w:tbl>
    <w:p w14:paraId="0E29BC15" w14:textId="77777777" w:rsidR="00211B70" w:rsidRPr="00D43A7B" w:rsidRDefault="00211B70" w:rsidP="009A1A66">
      <w:pPr>
        <w:rPr>
          <w:rFonts w:cs="Calibri"/>
          <w:sz w:val="22"/>
          <w:szCs w:val="22"/>
        </w:rPr>
      </w:pPr>
    </w:p>
    <w:p w14:paraId="52C29691" w14:textId="77777777" w:rsidR="008F14F3" w:rsidRPr="00D43A7B" w:rsidRDefault="008F14F3" w:rsidP="00692261">
      <w:pPr>
        <w:spacing w:before="0"/>
        <w:rPr>
          <w:rFonts w:cs="Calibri"/>
          <w:sz w:val="22"/>
          <w:szCs w:val="22"/>
        </w:rPr>
      </w:pPr>
      <w:r w:rsidRPr="00D43A7B">
        <w:rPr>
          <w:rFonts w:cs="Calibri"/>
          <w:sz w:val="22"/>
          <w:szCs w:val="22"/>
        </w:rPr>
        <w:t>Yours faithfully,</w:t>
      </w:r>
    </w:p>
    <w:p w14:paraId="0E170BB3" w14:textId="77777777" w:rsidR="008F14F3" w:rsidRDefault="008F14F3" w:rsidP="008F14F3">
      <w:pPr>
        <w:rPr>
          <w:rFonts w:cs="Calibri"/>
          <w:sz w:val="22"/>
          <w:szCs w:val="22"/>
        </w:rPr>
      </w:pPr>
    </w:p>
    <w:p w14:paraId="2AD958AE" w14:textId="77777777" w:rsidR="00916D8F" w:rsidRDefault="00916D8F" w:rsidP="008F14F3">
      <w:pPr>
        <w:rPr>
          <w:rFonts w:cs="Calibri"/>
          <w:sz w:val="22"/>
          <w:szCs w:val="22"/>
        </w:rPr>
      </w:pPr>
    </w:p>
    <w:p w14:paraId="7FC5CEFF" w14:textId="77777777" w:rsidR="00916D8F" w:rsidRPr="00D43A7B" w:rsidRDefault="00916D8F" w:rsidP="008F14F3">
      <w:pPr>
        <w:rPr>
          <w:rFonts w:cs="Calibri"/>
          <w:sz w:val="22"/>
          <w:szCs w:val="22"/>
        </w:rPr>
      </w:pPr>
    </w:p>
    <w:p w14:paraId="25288F65" w14:textId="77777777" w:rsidR="00692261" w:rsidRPr="00D43A7B" w:rsidRDefault="00692261" w:rsidP="00692261">
      <w:pPr>
        <w:rPr>
          <w:rFonts w:cs="Calibri"/>
          <w:sz w:val="22"/>
          <w:szCs w:val="22"/>
          <w:highlight w:val="green"/>
        </w:rPr>
      </w:pPr>
      <w:r w:rsidRPr="00D43A7B">
        <w:rPr>
          <w:rFonts w:cs="Calibri"/>
          <w:sz w:val="22"/>
          <w:szCs w:val="22"/>
          <w:highlight w:val="green"/>
        </w:rPr>
        <w:t>[Name]</w:t>
      </w:r>
    </w:p>
    <w:p w14:paraId="2011E677" w14:textId="77777777" w:rsidR="00692261" w:rsidRPr="00D43A7B" w:rsidRDefault="00692261" w:rsidP="00692261">
      <w:pPr>
        <w:rPr>
          <w:rFonts w:cs="Calibri"/>
          <w:sz w:val="22"/>
          <w:szCs w:val="22"/>
        </w:rPr>
      </w:pPr>
      <w:r w:rsidRPr="00D43A7B">
        <w:rPr>
          <w:rFonts w:cs="Calibri"/>
          <w:sz w:val="22"/>
          <w:szCs w:val="22"/>
          <w:highlight w:val="green"/>
        </w:rPr>
        <w:t>[Official role/title]</w:t>
      </w:r>
    </w:p>
    <w:p w14:paraId="69C335B9" w14:textId="77777777" w:rsidR="009B72DB" w:rsidRPr="00D43A7B" w:rsidRDefault="009B72DB" w:rsidP="00692261">
      <w:pPr>
        <w:rPr>
          <w:rFonts w:cs="Calibri"/>
          <w:sz w:val="22"/>
          <w:szCs w:val="22"/>
        </w:rPr>
      </w:pPr>
      <w:r w:rsidRPr="00D43A7B">
        <w:rPr>
          <w:rFonts w:cs="Calibri"/>
          <w:sz w:val="22"/>
          <w:szCs w:val="22"/>
        </w:rPr>
        <w:t xml:space="preserve">Administration of </w:t>
      </w:r>
      <w:r w:rsidRPr="00D43A7B">
        <w:rPr>
          <w:rFonts w:cs="Calibri"/>
          <w:sz w:val="22"/>
          <w:szCs w:val="22"/>
          <w:highlight w:val="green"/>
        </w:rPr>
        <w:t>[Member State]</w:t>
      </w:r>
    </w:p>
    <w:p w14:paraId="00F0F9E4" w14:textId="77777777" w:rsidR="00852B82" w:rsidRPr="001F4132" w:rsidRDefault="00691DAA" w:rsidP="008F14F3">
      <w:pPr>
        <w:jc w:val="center"/>
        <w:rPr>
          <w:rFonts w:cs="Calibri"/>
          <w:sz w:val="22"/>
          <w:szCs w:val="22"/>
        </w:rPr>
      </w:pPr>
      <w:r w:rsidRPr="00D43A7B">
        <w:rPr>
          <w:rFonts w:cs="Calibri"/>
          <w:sz w:val="22"/>
          <w:szCs w:val="22"/>
        </w:rPr>
        <w:t>___________</w:t>
      </w:r>
    </w:p>
    <w:sectPr w:rsidR="00852B82" w:rsidRPr="001F4132" w:rsidSect="00DF1EDE">
      <w:headerReference w:type="default" r:id="rId25"/>
      <w:footerReference w:type="first" r:id="rId26"/>
      <w:type w:val="oddPage"/>
      <w:pgSz w:w="11907" w:h="16834" w:code="9"/>
      <w:pgMar w:top="1134" w:right="1089" w:bottom="567" w:left="1089" w:header="567" w:footer="254"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1C17" w14:textId="77777777" w:rsidR="00346E50" w:rsidRPr="00D43A7B" w:rsidRDefault="00346E50">
      <w:r w:rsidRPr="00D43A7B">
        <w:separator/>
      </w:r>
    </w:p>
  </w:endnote>
  <w:endnote w:type="continuationSeparator" w:id="0">
    <w:p w14:paraId="2D677C03" w14:textId="77777777" w:rsidR="00346E50" w:rsidRPr="00D43A7B" w:rsidRDefault="00346E50">
      <w:r w:rsidRPr="00D43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2CE7" w14:textId="77777777" w:rsidR="008F14F3" w:rsidRPr="00916D8F" w:rsidRDefault="008F14F3" w:rsidP="00F763C8">
    <w:pPr>
      <w:tabs>
        <w:tab w:val="left" w:pos="5954"/>
        <w:tab w:val="right" w:pos="9639"/>
      </w:tabs>
      <w:jc w:val="center"/>
      <w:rPr>
        <w:caps/>
        <w:sz w:val="16"/>
      </w:rPr>
    </w:pPr>
    <w:r w:rsidRPr="00686994">
      <w:rPr>
        <w:rFonts w:cs="Calibri"/>
        <w:color w:val="0070C0"/>
        <w:sz w:val="18"/>
        <w:szCs w:val="18"/>
      </w:rPr>
      <w:t>International Telecommunication Union • Place des Nations • CH-1211 Geneva 20 • Switzerland</w:t>
    </w:r>
    <w:r w:rsidRPr="00686994">
      <w:rPr>
        <w:rFonts w:cs="Calibri"/>
        <w:caps/>
        <w:color w:val="0070C0"/>
        <w:sz w:val="18"/>
        <w:szCs w:val="18"/>
      </w:rPr>
      <w:br/>
    </w:r>
    <w:r w:rsidRPr="00686994">
      <w:rPr>
        <w:rFonts w:cs="Calibri"/>
        <w:color w:val="0070C0"/>
        <w:sz w:val="18"/>
        <w:szCs w:val="18"/>
      </w:rPr>
      <w:t xml:space="preserve">Tel: +41 22 730 5111 • Fax: +41 22 733 7256 • E-mail: </w:t>
    </w:r>
    <w:hyperlink r:id="rId1" w:history="1">
      <w:r w:rsidRPr="00686994">
        <w:rPr>
          <w:rFonts w:cs="Calibri"/>
          <w:color w:val="0070C0"/>
          <w:sz w:val="18"/>
          <w:szCs w:val="18"/>
          <w:u w:val="single"/>
        </w:rPr>
        <w:t>itumail@itu.int</w:t>
      </w:r>
    </w:hyperlink>
    <w:r w:rsidRPr="00686994">
      <w:rPr>
        <w:rFonts w:cs="Calibri"/>
        <w:color w:val="0070C0"/>
        <w:sz w:val="18"/>
        <w:szCs w:val="18"/>
      </w:rPr>
      <w:t xml:space="preserve"> • </w:t>
    </w:r>
    <w:hyperlink r:id="rId2" w:history="1">
      <w:r w:rsidRPr="00686994">
        <w:rPr>
          <w:rFonts w:cs="Calibri"/>
          <w:color w:val="0070C0"/>
          <w:sz w:val="18"/>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01B2" w14:textId="77777777" w:rsidR="00346E50" w:rsidRPr="00D43A7B" w:rsidRDefault="00346E50">
      <w:r w:rsidRPr="00D43A7B">
        <w:t>____________________</w:t>
      </w:r>
    </w:p>
  </w:footnote>
  <w:footnote w:type="continuationSeparator" w:id="0">
    <w:p w14:paraId="7E005922" w14:textId="77777777" w:rsidR="00346E50" w:rsidRPr="00D43A7B" w:rsidRDefault="00346E50">
      <w:r w:rsidRPr="00D43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4F1" w14:textId="77777777" w:rsidR="008F14F3" w:rsidRPr="00D43A7B" w:rsidRDefault="008F14F3" w:rsidP="00F763C8">
    <w:pPr>
      <w:pStyle w:val="Header"/>
    </w:pPr>
    <w:r w:rsidRPr="00D43A7B">
      <w:t xml:space="preserve">- </w:t>
    </w:r>
    <w:r w:rsidR="000A572D" w:rsidRPr="00686994">
      <w:fldChar w:fldCharType="begin"/>
    </w:r>
    <w:r w:rsidRPr="00D43A7B">
      <w:instrText xml:space="preserve"> PAGE   \* MERGEFORMAT </w:instrText>
    </w:r>
    <w:r w:rsidR="000A572D" w:rsidRPr="00686994">
      <w:fldChar w:fldCharType="separate"/>
    </w:r>
    <w:r w:rsidR="00425273" w:rsidRPr="00686994">
      <w:t>4</w:t>
    </w:r>
    <w:r w:rsidR="000A572D" w:rsidRPr="00686994">
      <w:fldChar w:fldCharType="end"/>
    </w:r>
    <w:r w:rsidRPr="00686994">
      <w:t xml:space="preserve"> -</w:t>
    </w:r>
    <w:r w:rsidRPr="00686994">
      <w:br/>
    </w:r>
    <w:r w:rsidRPr="00D43A7B">
      <w:t>TSB Circular 104</w:t>
    </w:r>
  </w:p>
  <w:p w14:paraId="60C74FF4" w14:textId="77777777" w:rsidR="008F14F3" w:rsidRPr="00916D8F" w:rsidRDefault="008F1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76DFA"/>
    <w:multiLevelType w:val="hybridMultilevel"/>
    <w:tmpl w:val="BE4E62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8C1604"/>
    <w:multiLevelType w:val="multilevel"/>
    <w:tmpl w:val="688C16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65136646">
    <w:abstractNumId w:val="9"/>
  </w:num>
  <w:num w:numId="2" w16cid:durableId="889995853">
    <w:abstractNumId w:val="7"/>
  </w:num>
  <w:num w:numId="3" w16cid:durableId="1687293888">
    <w:abstractNumId w:val="6"/>
  </w:num>
  <w:num w:numId="4" w16cid:durableId="551384555">
    <w:abstractNumId w:val="5"/>
  </w:num>
  <w:num w:numId="5" w16cid:durableId="1397509563">
    <w:abstractNumId w:val="4"/>
  </w:num>
  <w:num w:numId="6" w16cid:durableId="750739573">
    <w:abstractNumId w:val="8"/>
  </w:num>
  <w:num w:numId="7" w16cid:durableId="1203203507">
    <w:abstractNumId w:val="3"/>
  </w:num>
  <w:num w:numId="8" w16cid:durableId="596014328">
    <w:abstractNumId w:val="2"/>
  </w:num>
  <w:num w:numId="9" w16cid:durableId="184176886">
    <w:abstractNumId w:val="1"/>
  </w:num>
  <w:num w:numId="10" w16cid:durableId="1508787918">
    <w:abstractNumId w:val="0"/>
  </w:num>
  <w:num w:numId="11" w16cid:durableId="1142843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1024890">
    <w:abstractNumId w:val="10"/>
  </w:num>
  <w:num w:numId="13" w16cid:durableId="582420038">
    <w:abstractNumId w:val="11"/>
  </w:num>
  <w:num w:numId="14" w16cid:durableId="1420322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AC"/>
    <w:rsid w:val="0001652F"/>
    <w:rsid w:val="00017507"/>
    <w:rsid w:val="00041231"/>
    <w:rsid w:val="000528FF"/>
    <w:rsid w:val="000657AC"/>
    <w:rsid w:val="0006765F"/>
    <w:rsid w:val="00067FDC"/>
    <w:rsid w:val="00076B60"/>
    <w:rsid w:val="00087690"/>
    <w:rsid w:val="000A572D"/>
    <w:rsid w:val="000E7066"/>
    <w:rsid w:val="0016049B"/>
    <w:rsid w:val="00164419"/>
    <w:rsid w:val="00166BFA"/>
    <w:rsid w:val="0018039E"/>
    <w:rsid w:val="0018632F"/>
    <w:rsid w:val="001B1770"/>
    <w:rsid w:val="001E17EA"/>
    <w:rsid w:val="001E32E7"/>
    <w:rsid w:val="001E399F"/>
    <w:rsid w:val="001F3BDD"/>
    <w:rsid w:val="001F4132"/>
    <w:rsid w:val="001F426F"/>
    <w:rsid w:val="001F4FBE"/>
    <w:rsid w:val="00211B70"/>
    <w:rsid w:val="002414F2"/>
    <w:rsid w:val="00244EE7"/>
    <w:rsid w:val="00290976"/>
    <w:rsid w:val="002A4977"/>
    <w:rsid w:val="002B3E1F"/>
    <w:rsid w:val="002E0E8B"/>
    <w:rsid w:val="0032281F"/>
    <w:rsid w:val="00334A43"/>
    <w:rsid w:val="00346E50"/>
    <w:rsid w:val="003C7BEF"/>
    <w:rsid w:val="003D3458"/>
    <w:rsid w:val="003D4331"/>
    <w:rsid w:val="003E01D1"/>
    <w:rsid w:val="003E07CD"/>
    <w:rsid w:val="003F1773"/>
    <w:rsid w:val="00425273"/>
    <w:rsid w:val="00440CB5"/>
    <w:rsid w:val="0045007E"/>
    <w:rsid w:val="00450779"/>
    <w:rsid w:val="0045092F"/>
    <w:rsid w:val="004B1587"/>
    <w:rsid w:val="004B50B2"/>
    <w:rsid w:val="004D6DD0"/>
    <w:rsid w:val="004E1841"/>
    <w:rsid w:val="00520612"/>
    <w:rsid w:val="00524224"/>
    <w:rsid w:val="005461BD"/>
    <w:rsid w:val="00574690"/>
    <w:rsid w:val="005C4DEB"/>
    <w:rsid w:val="005D124E"/>
    <w:rsid w:val="005D297E"/>
    <w:rsid w:val="00607E07"/>
    <w:rsid w:val="00612D12"/>
    <w:rsid w:val="00626967"/>
    <w:rsid w:val="00630BA3"/>
    <w:rsid w:val="006763CA"/>
    <w:rsid w:val="006812CD"/>
    <w:rsid w:val="00686994"/>
    <w:rsid w:val="00691DAA"/>
    <w:rsid w:val="00692261"/>
    <w:rsid w:val="006A2FAB"/>
    <w:rsid w:val="006D7724"/>
    <w:rsid w:val="006E0281"/>
    <w:rsid w:val="006E0FCB"/>
    <w:rsid w:val="006E7431"/>
    <w:rsid w:val="0072062B"/>
    <w:rsid w:val="00720A5D"/>
    <w:rsid w:val="007311BA"/>
    <w:rsid w:val="00733B5C"/>
    <w:rsid w:val="00763B08"/>
    <w:rsid w:val="00765253"/>
    <w:rsid w:val="00770EF1"/>
    <w:rsid w:val="00780D16"/>
    <w:rsid w:val="007A0105"/>
    <w:rsid w:val="007C7DA8"/>
    <w:rsid w:val="007F76BF"/>
    <w:rsid w:val="00805760"/>
    <w:rsid w:val="00831BAA"/>
    <w:rsid w:val="00850C20"/>
    <w:rsid w:val="00852B82"/>
    <w:rsid w:val="008579A3"/>
    <w:rsid w:val="00860AE1"/>
    <w:rsid w:val="00867BC3"/>
    <w:rsid w:val="00883D42"/>
    <w:rsid w:val="00886781"/>
    <w:rsid w:val="00897E1E"/>
    <w:rsid w:val="008A540B"/>
    <w:rsid w:val="008A779C"/>
    <w:rsid w:val="008E5C2F"/>
    <w:rsid w:val="008F14F3"/>
    <w:rsid w:val="00901734"/>
    <w:rsid w:val="00916D8F"/>
    <w:rsid w:val="00944A88"/>
    <w:rsid w:val="0094539E"/>
    <w:rsid w:val="00964A6B"/>
    <w:rsid w:val="00985B35"/>
    <w:rsid w:val="009A1A66"/>
    <w:rsid w:val="009B63C8"/>
    <w:rsid w:val="009B72DB"/>
    <w:rsid w:val="009F7B79"/>
    <w:rsid w:val="00A271AB"/>
    <w:rsid w:val="00A35A06"/>
    <w:rsid w:val="00A432F0"/>
    <w:rsid w:val="00A4376F"/>
    <w:rsid w:val="00A43CA0"/>
    <w:rsid w:val="00AD435F"/>
    <w:rsid w:val="00AD57FB"/>
    <w:rsid w:val="00B33034"/>
    <w:rsid w:val="00B45C37"/>
    <w:rsid w:val="00B50B87"/>
    <w:rsid w:val="00B6629C"/>
    <w:rsid w:val="00B66EFD"/>
    <w:rsid w:val="00B84AE5"/>
    <w:rsid w:val="00B86BF0"/>
    <w:rsid w:val="00B86D06"/>
    <w:rsid w:val="00B94A59"/>
    <w:rsid w:val="00BA28E3"/>
    <w:rsid w:val="00BC4AC3"/>
    <w:rsid w:val="00BE47ED"/>
    <w:rsid w:val="00C007D7"/>
    <w:rsid w:val="00C13D40"/>
    <w:rsid w:val="00C23D2B"/>
    <w:rsid w:val="00C50517"/>
    <w:rsid w:val="00C51F4B"/>
    <w:rsid w:val="00C65B9E"/>
    <w:rsid w:val="00CC69A9"/>
    <w:rsid w:val="00CF3418"/>
    <w:rsid w:val="00D01349"/>
    <w:rsid w:val="00D02492"/>
    <w:rsid w:val="00D22D78"/>
    <w:rsid w:val="00D31359"/>
    <w:rsid w:val="00D43A7B"/>
    <w:rsid w:val="00D62CEF"/>
    <w:rsid w:val="00D7384A"/>
    <w:rsid w:val="00D92917"/>
    <w:rsid w:val="00D92E49"/>
    <w:rsid w:val="00DB770A"/>
    <w:rsid w:val="00DF1780"/>
    <w:rsid w:val="00DF1EDE"/>
    <w:rsid w:val="00DF664C"/>
    <w:rsid w:val="00E17F4C"/>
    <w:rsid w:val="00E32F10"/>
    <w:rsid w:val="00E36B12"/>
    <w:rsid w:val="00E54801"/>
    <w:rsid w:val="00E55E1F"/>
    <w:rsid w:val="00E5707D"/>
    <w:rsid w:val="00E72D24"/>
    <w:rsid w:val="00EA3D68"/>
    <w:rsid w:val="00ED76A0"/>
    <w:rsid w:val="00F11BC5"/>
    <w:rsid w:val="00F21679"/>
    <w:rsid w:val="00F372CF"/>
    <w:rsid w:val="00F57B80"/>
    <w:rsid w:val="00F751B3"/>
    <w:rsid w:val="00F763C8"/>
    <w:rsid w:val="00F96117"/>
    <w:rsid w:val="00FA4BEF"/>
    <w:rsid w:val="00FB2510"/>
    <w:rsid w:val="00FC56DF"/>
    <w:rsid w:val="00FF1132"/>
    <w:rsid w:val="00FF5C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134C"/>
  <w15:docId w15:val="{624A5401-FAFB-4957-B601-392B1431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rPr>
  </w:style>
  <w:style w:type="paragraph" w:styleId="Heading1">
    <w:name w:val="heading 1"/>
    <w:basedOn w:val="Normal"/>
    <w:next w:val="Normal"/>
    <w:autoRedefine/>
    <w:qFormat/>
    <w:rsid w:val="00211B70"/>
    <w:pPr>
      <w:keepNext/>
      <w:keepLines/>
      <w:spacing w:before="280"/>
      <w:ind w:left="1134" w:hanging="1134"/>
      <w:outlineLvl w:val="0"/>
    </w:pPr>
    <w:rPr>
      <w:b/>
    </w:rPr>
  </w:style>
  <w:style w:type="paragraph" w:styleId="Heading2">
    <w:name w:val="heading 2"/>
    <w:basedOn w:val="Heading1"/>
    <w:next w:val="Normal"/>
    <w:qFormat/>
    <w:rsid w:val="00E63C59"/>
    <w:pPr>
      <w:spacing w:before="200"/>
      <w:outlineLvl w:val="1"/>
    </w:pPr>
  </w:style>
  <w:style w:type="paragraph" w:styleId="Heading3">
    <w:name w:val="heading 3"/>
    <w:basedOn w:val="Heading1"/>
    <w:next w:val="Normal"/>
    <w:qFormat/>
    <w:rsid w:val="00E63C59"/>
    <w:pPr>
      <w:spacing w:before="200"/>
      <w:outlineLvl w:val="2"/>
    </w:p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rPr>
  </w:style>
  <w:style w:type="character" w:styleId="PlaceholderText">
    <w:name w:val="Placeholder Text"/>
    <w:rsid w:val="000657AC"/>
    <w:rPr>
      <w:color w:val="666666"/>
    </w:rPr>
  </w:style>
  <w:style w:type="character" w:styleId="UnresolvedMention">
    <w:name w:val="Unresolved Mention"/>
    <w:rsid w:val="004D6DD0"/>
    <w:rPr>
      <w:color w:val="605E5C"/>
      <w:shd w:val="clear" w:color="auto" w:fill="E1DFDD"/>
    </w:rPr>
  </w:style>
  <w:style w:type="paragraph" w:styleId="ListParagraph">
    <w:name w:val="List Paragraph"/>
    <w:basedOn w:val="Normal"/>
    <w:qFormat/>
    <w:rsid w:val="00D43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17@itu.int" TargetMode="External"/><Relationship Id="rId13" Type="http://schemas.openxmlformats.org/officeDocument/2006/relationships/hyperlink" Target="http://www.itu.int/md/T25-SG17-R-0026" TargetMode="External"/><Relationship Id="rId18" Type="http://schemas.openxmlformats.org/officeDocument/2006/relationships/hyperlink" Target="http://www.itu.int/md/T25-SG17-R-003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tu.int/md/T25-SG17-R-0034" TargetMode="External"/><Relationship Id="rId7" Type="http://schemas.openxmlformats.org/officeDocument/2006/relationships/image" Target="media/image1.png"/><Relationship Id="rId12" Type="http://schemas.openxmlformats.org/officeDocument/2006/relationships/hyperlink" Target="http://www.itu.int/md/T25-SG17-R-0025" TargetMode="External"/><Relationship Id="rId17" Type="http://schemas.openxmlformats.org/officeDocument/2006/relationships/hyperlink" Target="http://www.itu.int/md/T25-SG17-R-003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tu.int/md/T25-SG17-R-0029" TargetMode="External"/><Relationship Id="rId20" Type="http://schemas.openxmlformats.org/officeDocument/2006/relationships/hyperlink" Target="http://www.itu.int/md/T25-SG17-R-0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pr/" TargetMode="External"/><Relationship Id="rId24" Type="http://schemas.openxmlformats.org/officeDocument/2006/relationships/hyperlink" Target="https://www.itu.int/md/meetingdoc.asp?lang=en&amp;parent=T25-TSB-CIR&amp;destination=SG17" TargetMode="External"/><Relationship Id="rId5" Type="http://schemas.openxmlformats.org/officeDocument/2006/relationships/footnotes" Target="footnotes.xml"/><Relationship Id="rId15" Type="http://schemas.openxmlformats.org/officeDocument/2006/relationships/hyperlink" Target="http://www.itu.int/md/T25-SG17-R-0028" TargetMode="External"/><Relationship Id="rId23" Type="http://schemas.openxmlformats.org/officeDocument/2006/relationships/hyperlink" Target="mailto:tsbdir@itu.int" TargetMode="External"/><Relationship Id="rId28" Type="http://schemas.openxmlformats.org/officeDocument/2006/relationships/theme" Target="theme/theme1.xml"/><Relationship Id="rId10" Type="http://schemas.openxmlformats.org/officeDocument/2006/relationships/hyperlink" Target="https://www.itu.int/md/T25-SG17-COL-0008/en" TargetMode="External"/><Relationship Id="rId19" Type="http://schemas.openxmlformats.org/officeDocument/2006/relationships/hyperlink" Target="http://www.itu.int/md/T25-SG17-R-0032" TargetMode="External"/><Relationship Id="rId4" Type="http://schemas.openxmlformats.org/officeDocument/2006/relationships/webSettings" Target="webSettings.xml"/><Relationship Id="rId9" Type="http://schemas.openxmlformats.org/officeDocument/2006/relationships/hyperlink" Target="https://www.itu.int/dms_pub/itu-t/opb/res/T-RES-T.1-2022-PDF-E.pdf" TargetMode="External"/><Relationship Id="rId14" Type="http://schemas.openxmlformats.org/officeDocument/2006/relationships/hyperlink" Target="http://www.itu.int/md/T25-SG17-R-0027" TargetMode="External"/><Relationship Id="rId22" Type="http://schemas.openxmlformats.org/officeDocument/2006/relationships/hyperlink" Target="http://www.itu.int/md/T25-SG17-R-003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ano\AppData\Roaming\Microsoft\Templates\ITU-T%20SG\TSB_Circular_TAP_MS_Consultation-E_v2022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TSB_Circular_TAP_MS_Consultation-E_v20220322.dotx</Template>
  <TotalTime>0</TotalTime>
  <Pages>9</Pages>
  <Words>3710</Words>
  <Characters>22041</Characters>
  <Application>Microsoft Office Word</Application>
  <DocSecurity>0</DocSecurity>
  <Lines>449</Lines>
  <Paragraphs>227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dc:creator>
  <cp:keywords/>
  <dc:description/>
  <cp:lastModifiedBy>Maguire, Mairéad</cp:lastModifiedBy>
  <cp:revision>2</cp:revision>
  <dcterms:created xsi:type="dcterms:W3CDTF">2026-02-13T09:02:00Z</dcterms:created>
  <dcterms:modified xsi:type="dcterms:W3CDTF">2026-02-13T09:02:00Z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