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80"/>
        <w:tblW w:w="9720" w:type="dxa"/>
        <w:tblLayout w:type="fixed"/>
        <w:tblCellMar>
          <w:left w:w="0" w:type="dxa"/>
          <w:right w:w="0" w:type="dxa"/>
        </w:tblCellMar>
        <w:tblLook w:val="0000" w:firstRow="0" w:lastRow="0" w:firstColumn="0" w:lastColumn="0" w:noHBand="0" w:noVBand="0"/>
      </w:tblPr>
      <w:tblGrid>
        <w:gridCol w:w="1350"/>
        <w:gridCol w:w="3527"/>
        <w:gridCol w:w="4843"/>
      </w:tblGrid>
      <w:tr w:rsidR="007B6316" w14:paraId="07B290F4" w14:textId="77777777" w:rsidTr="008B1670">
        <w:trPr>
          <w:cantSplit/>
          <w:trHeight w:val="340"/>
        </w:trPr>
        <w:tc>
          <w:tcPr>
            <w:tcW w:w="1350" w:type="dxa"/>
          </w:tcPr>
          <w:p w14:paraId="6F89492E" w14:textId="77777777" w:rsidR="007B6316" w:rsidRDefault="007B6316" w:rsidP="008B1670">
            <w:pPr>
              <w:tabs>
                <w:tab w:val="left" w:pos="4111"/>
              </w:tabs>
              <w:spacing w:before="10"/>
              <w:ind w:left="57"/>
              <w:rPr>
                <w:sz w:val="22"/>
              </w:rPr>
            </w:pPr>
            <w:r w:rsidRPr="00F1238A">
              <w:rPr>
                <w:noProof/>
                <w:lang w:val="en-US" w:eastAsia="zh-CN"/>
              </w:rPr>
              <w:drawing>
                <wp:inline distT="0" distB="0" distL="0" distR="0" wp14:anchorId="251F1EBD" wp14:editId="35EAF787">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70" w:type="dxa"/>
            <w:gridSpan w:val="2"/>
            <w:vAlign w:val="center"/>
          </w:tcPr>
          <w:p w14:paraId="00C96772" w14:textId="77777777" w:rsidR="007B6316" w:rsidRPr="00081FE5" w:rsidRDefault="007B6316" w:rsidP="008B1670">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9922C19" w14:textId="77777777" w:rsidR="007B6316" w:rsidRDefault="007B6316" w:rsidP="008B1670">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8B1670" w14:paraId="0FDA2FD7" w14:textId="77777777" w:rsidTr="008B1670">
        <w:trPr>
          <w:cantSplit/>
          <w:trHeight w:val="340"/>
        </w:trPr>
        <w:tc>
          <w:tcPr>
            <w:tcW w:w="1350" w:type="dxa"/>
          </w:tcPr>
          <w:p w14:paraId="686FA5B9" w14:textId="77777777" w:rsidR="007B6316" w:rsidRPr="008B1670" w:rsidRDefault="007B6316" w:rsidP="008B1670">
            <w:pPr>
              <w:tabs>
                <w:tab w:val="left" w:pos="4111"/>
              </w:tabs>
              <w:spacing w:before="10"/>
              <w:ind w:left="57"/>
              <w:rPr>
                <w:b/>
                <w:bCs/>
                <w:sz w:val="22"/>
                <w:szCs w:val="22"/>
              </w:rPr>
            </w:pPr>
          </w:p>
        </w:tc>
        <w:tc>
          <w:tcPr>
            <w:tcW w:w="3527" w:type="dxa"/>
          </w:tcPr>
          <w:p w14:paraId="1E35962E" w14:textId="77777777" w:rsidR="007B6316" w:rsidRPr="008B1670" w:rsidRDefault="007B6316" w:rsidP="008B1670">
            <w:pPr>
              <w:tabs>
                <w:tab w:val="left" w:pos="4111"/>
              </w:tabs>
              <w:spacing w:before="0"/>
              <w:ind w:left="57"/>
              <w:rPr>
                <w:b/>
                <w:sz w:val="22"/>
                <w:szCs w:val="22"/>
              </w:rPr>
            </w:pPr>
          </w:p>
        </w:tc>
        <w:tc>
          <w:tcPr>
            <w:tcW w:w="4843" w:type="dxa"/>
          </w:tcPr>
          <w:p w14:paraId="08CF32BD" w14:textId="249DBF8C" w:rsidR="007B6316" w:rsidRPr="008B1670" w:rsidRDefault="007B6316" w:rsidP="008B1670">
            <w:pPr>
              <w:tabs>
                <w:tab w:val="clear" w:pos="794"/>
                <w:tab w:val="clear" w:pos="1191"/>
                <w:tab w:val="clear" w:pos="1588"/>
                <w:tab w:val="clear" w:pos="1985"/>
                <w:tab w:val="left" w:pos="284"/>
              </w:tabs>
              <w:spacing w:after="120"/>
              <w:ind w:left="284" w:hanging="227"/>
              <w:rPr>
                <w:sz w:val="22"/>
                <w:szCs w:val="22"/>
              </w:rPr>
            </w:pPr>
            <w:r w:rsidRPr="008B1670">
              <w:rPr>
                <w:sz w:val="22"/>
                <w:szCs w:val="22"/>
              </w:rPr>
              <w:t>Ginebra,</w:t>
            </w:r>
            <w:r w:rsidR="00AC335B" w:rsidRPr="008B1670">
              <w:rPr>
                <w:sz w:val="22"/>
                <w:szCs w:val="22"/>
              </w:rPr>
              <w:t xml:space="preserve"> 3 de febrero de 2026</w:t>
            </w:r>
          </w:p>
        </w:tc>
      </w:tr>
      <w:tr w:rsidR="001350B9" w:rsidRPr="008B1670" w14:paraId="50D9914E" w14:textId="77777777" w:rsidTr="008B1670">
        <w:trPr>
          <w:cantSplit/>
          <w:trHeight w:val="340"/>
        </w:trPr>
        <w:tc>
          <w:tcPr>
            <w:tcW w:w="1350" w:type="dxa"/>
          </w:tcPr>
          <w:p w14:paraId="406A00E7" w14:textId="77777777" w:rsidR="001350B9" w:rsidRPr="008B1670" w:rsidRDefault="001350B9" w:rsidP="008B1670">
            <w:pPr>
              <w:tabs>
                <w:tab w:val="left" w:pos="4111"/>
              </w:tabs>
              <w:spacing w:before="10"/>
              <w:rPr>
                <w:sz w:val="22"/>
                <w:szCs w:val="22"/>
              </w:rPr>
            </w:pPr>
            <w:r w:rsidRPr="008B1670">
              <w:rPr>
                <w:b/>
                <w:bCs/>
                <w:sz w:val="22"/>
                <w:szCs w:val="22"/>
              </w:rPr>
              <w:t>Ref</w:t>
            </w:r>
            <w:r w:rsidRPr="008B1670">
              <w:rPr>
                <w:sz w:val="22"/>
                <w:szCs w:val="22"/>
              </w:rPr>
              <w:t>.:</w:t>
            </w:r>
          </w:p>
          <w:p w14:paraId="3DB187CB" w14:textId="77777777" w:rsidR="001350B9" w:rsidRPr="008B1670" w:rsidRDefault="001350B9" w:rsidP="008B1670">
            <w:pPr>
              <w:tabs>
                <w:tab w:val="left" w:pos="4111"/>
              </w:tabs>
              <w:spacing w:before="10"/>
              <w:rPr>
                <w:sz w:val="22"/>
                <w:szCs w:val="22"/>
              </w:rPr>
            </w:pPr>
          </w:p>
        </w:tc>
        <w:tc>
          <w:tcPr>
            <w:tcW w:w="3527" w:type="dxa"/>
          </w:tcPr>
          <w:p w14:paraId="5EB34379" w14:textId="0DC234BE" w:rsidR="001350B9" w:rsidRPr="008B1670" w:rsidRDefault="001350B9" w:rsidP="008B1670">
            <w:pPr>
              <w:tabs>
                <w:tab w:val="left" w:pos="4111"/>
              </w:tabs>
              <w:spacing w:before="0"/>
              <w:ind w:left="57"/>
              <w:rPr>
                <w:b/>
                <w:sz w:val="22"/>
                <w:szCs w:val="22"/>
              </w:rPr>
            </w:pPr>
            <w:r w:rsidRPr="008B1670">
              <w:rPr>
                <w:b/>
                <w:sz w:val="22"/>
                <w:szCs w:val="22"/>
              </w:rPr>
              <w:t xml:space="preserve">Circular TSB </w:t>
            </w:r>
            <w:r w:rsidR="00AC335B" w:rsidRPr="008B1670">
              <w:rPr>
                <w:b/>
                <w:sz w:val="22"/>
                <w:szCs w:val="22"/>
              </w:rPr>
              <w:t>101</w:t>
            </w:r>
          </w:p>
          <w:p w14:paraId="3EE52DC8" w14:textId="6F04E232" w:rsidR="001350B9" w:rsidRPr="008B1670" w:rsidRDefault="00AC335B" w:rsidP="008B1670">
            <w:pPr>
              <w:tabs>
                <w:tab w:val="left" w:pos="4111"/>
              </w:tabs>
              <w:spacing w:before="0"/>
              <w:ind w:left="57"/>
              <w:rPr>
                <w:sz w:val="22"/>
                <w:szCs w:val="22"/>
              </w:rPr>
            </w:pPr>
            <w:r w:rsidRPr="008B1670">
              <w:rPr>
                <w:rFonts w:cstheme="minorHAnsi"/>
                <w:sz w:val="22"/>
                <w:szCs w:val="22"/>
              </w:rPr>
              <w:t>SG17/XY</w:t>
            </w:r>
            <w:r w:rsidRPr="008B1670">
              <w:rPr>
                <w:sz w:val="22"/>
                <w:szCs w:val="22"/>
              </w:rPr>
              <w:t xml:space="preserve"> </w:t>
            </w:r>
          </w:p>
        </w:tc>
        <w:tc>
          <w:tcPr>
            <w:tcW w:w="4843" w:type="dxa"/>
            <w:vMerge w:val="restart"/>
          </w:tcPr>
          <w:p w14:paraId="791A2B0B" w14:textId="32A7798C" w:rsidR="001350B9" w:rsidRPr="008B1670" w:rsidRDefault="00C03B5D" w:rsidP="008B1670">
            <w:pPr>
              <w:tabs>
                <w:tab w:val="clear" w:pos="794"/>
                <w:tab w:val="clear" w:pos="1191"/>
                <w:tab w:val="clear" w:pos="1588"/>
                <w:tab w:val="clear" w:pos="1985"/>
                <w:tab w:val="left" w:pos="284"/>
              </w:tabs>
              <w:spacing w:before="0"/>
              <w:ind w:left="284" w:hanging="227"/>
              <w:rPr>
                <w:sz w:val="22"/>
                <w:szCs w:val="22"/>
              </w:rPr>
            </w:pPr>
            <w:bookmarkStart w:id="0" w:name="Addressee_S"/>
            <w:bookmarkEnd w:id="0"/>
            <w:r w:rsidRPr="008B1670">
              <w:rPr>
                <w:sz w:val="22"/>
                <w:szCs w:val="22"/>
              </w:rPr>
              <w:t>–</w:t>
            </w:r>
            <w:r w:rsidR="001350B9" w:rsidRPr="008B1670">
              <w:rPr>
                <w:sz w:val="22"/>
                <w:szCs w:val="22"/>
              </w:rPr>
              <w:tab/>
              <w:t>A las Administraciones de los Estados Miembros de la Unión</w:t>
            </w:r>
            <w:r w:rsidR="00AC335B" w:rsidRPr="008B1670">
              <w:rPr>
                <w:sz w:val="22"/>
                <w:szCs w:val="22"/>
              </w:rPr>
              <w:t>;</w:t>
            </w:r>
          </w:p>
          <w:p w14:paraId="6F879512" w14:textId="59378380"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AC335B" w:rsidRPr="008B1670">
              <w:rPr>
                <w:sz w:val="22"/>
                <w:szCs w:val="22"/>
              </w:rPr>
              <w:tab/>
              <w:t>Al Estado de Palestina (Res. 99 (Rev. Dubái, 2018))</w:t>
            </w:r>
          </w:p>
          <w:p w14:paraId="262F6982" w14:textId="43774FDE" w:rsidR="00AC335B" w:rsidRPr="008B1670" w:rsidRDefault="00AC335B" w:rsidP="008B1670">
            <w:pPr>
              <w:tabs>
                <w:tab w:val="clear" w:pos="794"/>
                <w:tab w:val="clear" w:pos="1191"/>
                <w:tab w:val="clear" w:pos="1588"/>
                <w:tab w:val="clear" w:pos="1985"/>
                <w:tab w:val="left" w:pos="284"/>
              </w:tabs>
              <w:spacing w:after="120"/>
              <w:ind w:left="284" w:hanging="227"/>
              <w:rPr>
                <w:b/>
                <w:bCs/>
                <w:sz w:val="22"/>
                <w:szCs w:val="22"/>
              </w:rPr>
            </w:pPr>
            <w:r w:rsidRPr="008B1670">
              <w:rPr>
                <w:b/>
                <w:bCs/>
                <w:sz w:val="22"/>
                <w:szCs w:val="22"/>
              </w:rPr>
              <w:t>Copia:</w:t>
            </w:r>
          </w:p>
          <w:p w14:paraId="7E2951B4" w14:textId="00640E4D"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 xml:space="preserve">A los Miembros de Sector </w:t>
            </w:r>
            <w:r w:rsidR="00AC335B" w:rsidRPr="008B1670">
              <w:rPr>
                <w:sz w:val="22"/>
                <w:szCs w:val="22"/>
              </w:rPr>
              <w:t xml:space="preserve">del </w:t>
            </w:r>
            <w:r w:rsidR="001350B9" w:rsidRPr="008B1670">
              <w:rPr>
                <w:sz w:val="22"/>
                <w:szCs w:val="22"/>
              </w:rPr>
              <w:t>UIT</w:t>
            </w:r>
            <w:r w:rsidR="001350B9" w:rsidRPr="008B1670">
              <w:rPr>
                <w:sz w:val="22"/>
                <w:szCs w:val="22"/>
              </w:rPr>
              <w:noBreakHyphen/>
              <w:t>T;</w:t>
            </w:r>
          </w:p>
          <w:p w14:paraId="10A167AD" w14:textId="39BD043B"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A los Asociados de</w:t>
            </w:r>
            <w:r w:rsidR="00AC335B" w:rsidRPr="008B1670">
              <w:rPr>
                <w:sz w:val="22"/>
                <w:szCs w:val="22"/>
              </w:rPr>
              <w:t xml:space="preserve"> </w:t>
            </w:r>
            <w:r w:rsidR="001350B9" w:rsidRPr="008B1670">
              <w:rPr>
                <w:sz w:val="22"/>
                <w:szCs w:val="22"/>
              </w:rPr>
              <w:t>l</w:t>
            </w:r>
            <w:r w:rsidR="00AC335B" w:rsidRPr="008B1670">
              <w:rPr>
                <w:sz w:val="22"/>
                <w:szCs w:val="22"/>
              </w:rPr>
              <w:t>a Comisión de Estudio</w:t>
            </w:r>
            <w:r w:rsidR="00D51F7E" w:rsidRPr="008B1670">
              <w:rPr>
                <w:sz w:val="22"/>
                <w:szCs w:val="22"/>
              </w:rPr>
              <w:t> </w:t>
            </w:r>
            <w:r w:rsidR="00AC335B" w:rsidRPr="008B1670">
              <w:rPr>
                <w:sz w:val="22"/>
                <w:szCs w:val="22"/>
              </w:rPr>
              <w:t>17 del</w:t>
            </w:r>
            <w:r w:rsidRPr="008B1670">
              <w:rPr>
                <w:sz w:val="22"/>
                <w:szCs w:val="22"/>
              </w:rPr>
              <w:t> </w:t>
            </w:r>
            <w:r w:rsidR="00AC335B" w:rsidRPr="008B1670">
              <w:rPr>
                <w:sz w:val="22"/>
                <w:szCs w:val="22"/>
              </w:rPr>
              <w:t>UIT</w:t>
            </w:r>
            <w:r w:rsidR="001350B9" w:rsidRPr="008B1670">
              <w:rPr>
                <w:sz w:val="22"/>
                <w:szCs w:val="22"/>
              </w:rPr>
              <w:noBreakHyphen/>
              <w:t>T;</w:t>
            </w:r>
          </w:p>
          <w:p w14:paraId="6DB5B458" w14:textId="107B8210"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A las Instituciones Académicas de</w:t>
            </w:r>
            <w:r w:rsidR="00AC335B" w:rsidRPr="008B1670">
              <w:rPr>
                <w:sz w:val="22"/>
                <w:szCs w:val="22"/>
              </w:rPr>
              <w:t xml:space="preserve"> </w:t>
            </w:r>
            <w:r w:rsidR="001350B9" w:rsidRPr="008B1670">
              <w:rPr>
                <w:sz w:val="22"/>
                <w:szCs w:val="22"/>
              </w:rPr>
              <w:t>l</w:t>
            </w:r>
            <w:r w:rsidR="00AC335B" w:rsidRPr="008B1670">
              <w:rPr>
                <w:sz w:val="22"/>
                <w:szCs w:val="22"/>
              </w:rPr>
              <w:t>a</w:t>
            </w:r>
            <w:r w:rsidR="001350B9" w:rsidRPr="008B1670">
              <w:rPr>
                <w:sz w:val="22"/>
                <w:szCs w:val="22"/>
              </w:rPr>
              <w:t xml:space="preserve"> UIT;</w:t>
            </w:r>
          </w:p>
          <w:p w14:paraId="76C85D04" w14:textId="49C7605E"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 xml:space="preserve">Al </w:t>
            </w:r>
            <w:proofErr w:type="gramStart"/>
            <w:r w:rsidR="001350B9" w:rsidRPr="008B1670">
              <w:rPr>
                <w:sz w:val="22"/>
                <w:szCs w:val="22"/>
              </w:rPr>
              <w:t>Presidente</w:t>
            </w:r>
            <w:proofErr w:type="gramEnd"/>
            <w:r w:rsidR="001350B9" w:rsidRPr="008B1670">
              <w:rPr>
                <w:sz w:val="22"/>
                <w:szCs w:val="22"/>
              </w:rPr>
              <w:t xml:space="preserve"> y a los </w:t>
            </w:r>
            <w:proofErr w:type="gramStart"/>
            <w:r w:rsidR="001350B9" w:rsidRPr="008B1670">
              <w:rPr>
                <w:sz w:val="22"/>
                <w:szCs w:val="22"/>
              </w:rPr>
              <w:t>Vicepresidentes</w:t>
            </w:r>
            <w:proofErr w:type="gramEnd"/>
            <w:r w:rsidR="001350B9" w:rsidRPr="008B1670">
              <w:rPr>
                <w:sz w:val="22"/>
                <w:szCs w:val="22"/>
              </w:rPr>
              <w:t xml:space="preserve"> de la</w:t>
            </w:r>
            <w:r w:rsidR="00AC335B" w:rsidRPr="008B1670">
              <w:rPr>
                <w:sz w:val="22"/>
                <w:szCs w:val="22"/>
              </w:rPr>
              <w:t xml:space="preserve"> </w:t>
            </w:r>
            <w:r w:rsidR="001350B9" w:rsidRPr="008B1670">
              <w:rPr>
                <w:sz w:val="22"/>
                <w:szCs w:val="22"/>
              </w:rPr>
              <w:t xml:space="preserve">Comisión de Estudio </w:t>
            </w:r>
            <w:r w:rsidR="00AC335B" w:rsidRPr="008B1670">
              <w:rPr>
                <w:sz w:val="22"/>
                <w:szCs w:val="22"/>
              </w:rPr>
              <w:t>17 del UIT-T</w:t>
            </w:r>
            <w:r w:rsidR="001350B9" w:rsidRPr="008B1670">
              <w:rPr>
                <w:sz w:val="22"/>
                <w:szCs w:val="22"/>
              </w:rPr>
              <w:t>;</w:t>
            </w:r>
          </w:p>
          <w:p w14:paraId="70E4FA61" w14:textId="71B414C0" w:rsidR="00AC335B"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 xml:space="preserve">Al </w:t>
            </w:r>
            <w:proofErr w:type="gramStart"/>
            <w:r w:rsidR="001350B9" w:rsidRPr="008B1670">
              <w:rPr>
                <w:sz w:val="22"/>
                <w:szCs w:val="22"/>
              </w:rPr>
              <w:t>Director</w:t>
            </w:r>
            <w:proofErr w:type="gramEnd"/>
            <w:r w:rsidR="001350B9" w:rsidRPr="008B1670">
              <w:rPr>
                <w:sz w:val="22"/>
                <w:szCs w:val="22"/>
              </w:rPr>
              <w:t xml:space="preserve"> de la Oficina de Desarrollo de las Telecomunicaciones;</w:t>
            </w:r>
          </w:p>
          <w:p w14:paraId="37479987" w14:textId="4EA1AB65" w:rsidR="001350B9" w:rsidRPr="008B1670" w:rsidRDefault="00C03B5D" w:rsidP="008B1670">
            <w:pPr>
              <w:tabs>
                <w:tab w:val="clear" w:pos="794"/>
                <w:tab w:val="clear" w:pos="1191"/>
                <w:tab w:val="clear" w:pos="1588"/>
                <w:tab w:val="clear" w:pos="1985"/>
                <w:tab w:val="left" w:pos="284"/>
              </w:tabs>
              <w:spacing w:before="0"/>
              <w:ind w:left="284" w:hanging="227"/>
              <w:rPr>
                <w:sz w:val="22"/>
                <w:szCs w:val="22"/>
              </w:rPr>
            </w:pPr>
            <w:r w:rsidRPr="008B1670">
              <w:rPr>
                <w:sz w:val="22"/>
                <w:szCs w:val="22"/>
              </w:rPr>
              <w:t>–</w:t>
            </w:r>
            <w:r w:rsidR="001350B9" w:rsidRPr="008B1670">
              <w:rPr>
                <w:sz w:val="22"/>
                <w:szCs w:val="22"/>
              </w:rPr>
              <w:tab/>
              <w:t xml:space="preserve">Al </w:t>
            </w:r>
            <w:proofErr w:type="gramStart"/>
            <w:r w:rsidR="001350B9" w:rsidRPr="008B1670">
              <w:rPr>
                <w:sz w:val="22"/>
                <w:szCs w:val="22"/>
              </w:rPr>
              <w:t>Director</w:t>
            </w:r>
            <w:proofErr w:type="gramEnd"/>
            <w:r w:rsidR="001350B9" w:rsidRPr="008B1670">
              <w:rPr>
                <w:sz w:val="22"/>
                <w:szCs w:val="22"/>
              </w:rPr>
              <w:t xml:space="preserve"> de la Oficina de Radiocomunicaciones</w:t>
            </w:r>
          </w:p>
        </w:tc>
      </w:tr>
      <w:tr w:rsidR="001350B9" w:rsidRPr="008B1670" w14:paraId="148DFD2E" w14:textId="77777777" w:rsidTr="008B1670">
        <w:trPr>
          <w:cantSplit/>
        </w:trPr>
        <w:tc>
          <w:tcPr>
            <w:tcW w:w="1350" w:type="dxa"/>
          </w:tcPr>
          <w:p w14:paraId="45A83F31" w14:textId="77777777" w:rsidR="001350B9" w:rsidRPr="008B1670" w:rsidRDefault="001350B9" w:rsidP="008B1670">
            <w:pPr>
              <w:tabs>
                <w:tab w:val="left" w:pos="4111"/>
              </w:tabs>
              <w:spacing w:before="10"/>
              <w:rPr>
                <w:sz w:val="22"/>
                <w:szCs w:val="22"/>
              </w:rPr>
            </w:pPr>
            <w:r w:rsidRPr="008B1670">
              <w:rPr>
                <w:sz w:val="22"/>
                <w:szCs w:val="22"/>
              </w:rPr>
              <w:t>Tel.:</w:t>
            </w:r>
          </w:p>
        </w:tc>
        <w:tc>
          <w:tcPr>
            <w:tcW w:w="3527" w:type="dxa"/>
          </w:tcPr>
          <w:p w14:paraId="628D1D2E" w14:textId="3D7010F7" w:rsidR="001350B9" w:rsidRPr="008B1670" w:rsidRDefault="001350B9" w:rsidP="008B1670">
            <w:pPr>
              <w:tabs>
                <w:tab w:val="left" w:pos="4111"/>
              </w:tabs>
              <w:spacing w:before="0"/>
              <w:ind w:left="57"/>
              <w:rPr>
                <w:rStyle w:val="Hyperlink"/>
                <w:sz w:val="22"/>
                <w:szCs w:val="22"/>
              </w:rPr>
            </w:pPr>
            <w:r w:rsidRPr="008B1670">
              <w:rPr>
                <w:sz w:val="22"/>
                <w:szCs w:val="22"/>
              </w:rPr>
              <w:t>+41 22 730</w:t>
            </w:r>
            <w:r w:rsidR="00AC335B" w:rsidRPr="008B1670">
              <w:rPr>
                <w:sz w:val="22"/>
                <w:szCs w:val="22"/>
              </w:rPr>
              <w:t xml:space="preserve"> 6206</w:t>
            </w:r>
          </w:p>
        </w:tc>
        <w:tc>
          <w:tcPr>
            <w:tcW w:w="4843" w:type="dxa"/>
            <w:vMerge/>
          </w:tcPr>
          <w:p w14:paraId="5AA55A81" w14:textId="77777777" w:rsidR="001350B9" w:rsidRPr="008B1670" w:rsidRDefault="001350B9" w:rsidP="008B1670">
            <w:pPr>
              <w:tabs>
                <w:tab w:val="left" w:pos="226"/>
                <w:tab w:val="left" w:pos="510"/>
              </w:tabs>
              <w:spacing w:before="0"/>
              <w:ind w:left="226" w:hanging="169"/>
              <w:rPr>
                <w:b/>
                <w:sz w:val="22"/>
                <w:szCs w:val="22"/>
              </w:rPr>
            </w:pPr>
          </w:p>
        </w:tc>
      </w:tr>
      <w:tr w:rsidR="001350B9" w:rsidRPr="008B1670" w14:paraId="24D0DDDF" w14:textId="77777777" w:rsidTr="008B1670">
        <w:trPr>
          <w:cantSplit/>
        </w:trPr>
        <w:tc>
          <w:tcPr>
            <w:tcW w:w="1350" w:type="dxa"/>
          </w:tcPr>
          <w:p w14:paraId="263679EC" w14:textId="77777777" w:rsidR="001350B9" w:rsidRPr="008B1670" w:rsidRDefault="001350B9" w:rsidP="008B1670">
            <w:pPr>
              <w:tabs>
                <w:tab w:val="left" w:pos="4111"/>
              </w:tabs>
              <w:spacing w:before="10"/>
              <w:rPr>
                <w:sz w:val="22"/>
                <w:szCs w:val="22"/>
              </w:rPr>
            </w:pPr>
            <w:r w:rsidRPr="008B1670">
              <w:rPr>
                <w:sz w:val="22"/>
                <w:szCs w:val="22"/>
              </w:rPr>
              <w:t>Fax:</w:t>
            </w:r>
          </w:p>
        </w:tc>
        <w:tc>
          <w:tcPr>
            <w:tcW w:w="3527" w:type="dxa"/>
          </w:tcPr>
          <w:p w14:paraId="12F00CA8" w14:textId="77777777" w:rsidR="001350B9" w:rsidRPr="008B1670" w:rsidRDefault="001350B9" w:rsidP="008B1670">
            <w:pPr>
              <w:tabs>
                <w:tab w:val="left" w:pos="4111"/>
              </w:tabs>
              <w:spacing w:before="0"/>
              <w:ind w:left="57"/>
              <w:rPr>
                <w:rStyle w:val="Hyperlink"/>
                <w:sz w:val="22"/>
                <w:szCs w:val="22"/>
              </w:rPr>
            </w:pPr>
            <w:r w:rsidRPr="008B1670">
              <w:rPr>
                <w:sz w:val="22"/>
                <w:szCs w:val="22"/>
              </w:rPr>
              <w:t>+41 22 730 5853</w:t>
            </w:r>
          </w:p>
        </w:tc>
        <w:tc>
          <w:tcPr>
            <w:tcW w:w="4843" w:type="dxa"/>
            <w:vMerge/>
          </w:tcPr>
          <w:p w14:paraId="1E224C2B" w14:textId="77777777" w:rsidR="001350B9" w:rsidRPr="008B1670" w:rsidRDefault="001350B9" w:rsidP="008B1670">
            <w:pPr>
              <w:tabs>
                <w:tab w:val="left" w:pos="226"/>
                <w:tab w:val="left" w:pos="510"/>
              </w:tabs>
              <w:spacing w:before="0"/>
              <w:ind w:left="226" w:hanging="169"/>
              <w:rPr>
                <w:b/>
                <w:sz w:val="22"/>
                <w:szCs w:val="22"/>
              </w:rPr>
            </w:pPr>
          </w:p>
        </w:tc>
      </w:tr>
      <w:tr w:rsidR="001350B9" w:rsidRPr="008B1670" w14:paraId="2558F0AD" w14:textId="77777777" w:rsidTr="008B1670">
        <w:trPr>
          <w:cantSplit/>
          <w:trHeight w:val="2759"/>
        </w:trPr>
        <w:tc>
          <w:tcPr>
            <w:tcW w:w="1350" w:type="dxa"/>
          </w:tcPr>
          <w:p w14:paraId="7BDC7C17" w14:textId="77777777" w:rsidR="001350B9" w:rsidRPr="008B1670" w:rsidRDefault="001350B9" w:rsidP="008B1670">
            <w:pPr>
              <w:tabs>
                <w:tab w:val="left" w:pos="4111"/>
              </w:tabs>
              <w:spacing w:before="10"/>
              <w:rPr>
                <w:sz w:val="22"/>
                <w:szCs w:val="22"/>
              </w:rPr>
            </w:pPr>
            <w:r w:rsidRPr="008B1670">
              <w:rPr>
                <w:sz w:val="22"/>
                <w:szCs w:val="22"/>
              </w:rPr>
              <w:t>Correo-e:</w:t>
            </w:r>
          </w:p>
        </w:tc>
        <w:tc>
          <w:tcPr>
            <w:tcW w:w="3527" w:type="dxa"/>
          </w:tcPr>
          <w:p w14:paraId="54917484" w14:textId="33A16164" w:rsidR="001350B9" w:rsidRPr="008B1670" w:rsidRDefault="00AC335B" w:rsidP="008B1670">
            <w:pPr>
              <w:tabs>
                <w:tab w:val="left" w:pos="4111"/>
              </w:tabs>
              <w:spacing w:before="0"/>
              <w:ind w:left="57"/>
              <w:rPr>
                <w:sz w:val="22"/>
                <w:szCs w:val="22"/>
              </w:rPr>
            </w:pPr>
            <w:hyperlink r:id="rId9" w:history="1">
              <w:r w:rsidRPr="008B1670">
                <w:rPr>
                  <w:rStyle w:val="Hyperlink"/>
                  <w:sz w:val="22"/>
                  <w:szCs w:val="22"/>
                </w:rPr>
                <w:t>tsbsg17@itu.int</w:t>
              </w:r>
            </w:hyperlink>
          </w:p>
        </w:tc>
        <w:tc>
          <w:tcPr>
            <w:tcW w:w="4843" w:type="dxa"/>
            <w:vMerge/>
          </w:tcPr>
          <w:p w14:paraId="6B2FD706" w14:textId="77777777" w:rsidR="001350B9" w:rsidRPr="008B1670" w:rsidRDefault="001350B9" w:rsidP="008B1670">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8B1670" w14:paraId="3B7A685F" w14:textId="77777777" w:rsidTr="008B1670">
        <w:trPr>
          <w:cantSplit/>
        </w:trPr>
        <w:tc>
          <w:tcPr>
            <w:tcW w:w="1350" w:type="dxa"/>
          </w:tcPr>
          <w:p w14:paraId="34B1426C" w14:textId="77777777" w:rsidR="007B6316" w:rsidRPr="008B1670" w:rsidRDefault="007B6316" w:rsidP="008B1670">
            <w:pPr>
              <w:tabs>
                <w:tab w:val="left" w:pos="4111"/>
              </w:tabs>
              <w:spacing w:before="10"/>
              <w:rPr>
                <w:sz w:val="22"/>
                <w:szCs w:val="22"/>
              </w:rPr>
            </w:pPr>
            <w:r w:rsidRPr="008B1670">
              <w:rPr>
                <w:b/>
                <w:bCs/>
                <w:sz w:val="22"/>
                <w:szCs w:val="22"/>
              </w:rPr>
              <w:t>Asunto</w:t>
            </w:r>
            <w:r w:rsidRPr="008B1670">
              <w:rPr>
                <w:sz w:val="22"/>
                <w:szCs w:val="22"/>
              </w:rPr>
              <w:t>:</w:t>
            </w:r>
          </w:p>
        </w:tc>
        <w:tc>
          <w:tcPr>
            <w:tcW w:w="8370" w:type="dxa"/>
            <w:gridSpan w:val="2"/>
          </w:tcPr>
          <w:p w14:paraId="0F4DEC99" w14:textId="4E21857A" w:rsidR="007B6316" w:rsidRPr="008B1670" w:rsidRDefault="00AC335B" w:rsidP="008B1670">
            <w:pPr>
              <w:tabs>
                <w:tab w:val="left" w:pos="4111"/>
              </w:tabs>
              <w:spacing w:before="0"/>
              <w:rPr>
                <w:b/>
                <w:sz w:val="22"/>
                <w:szCs w:val="22"/>
              </w:rPr>
            </w:pPr>
            <w:bookmarkStart w:id="1" w:name="_Hlk221008914"/>
            <w:r w:rsidRPr="008B1670">
              <w:rPr>
                <w:rFonts w:cstheme="minorHAnsi"/>
                <w:b/>
                <w:sz w:val="22"/>
                <w:szCs w:val="22"/>
                <w:lang w:val="es-ES"/>
              </w:rPr>
              <w:t>Consulta a los Estados Miembros sobre la aprobación de las Cuestiones nuevas y revisadas de la Comisión de Estudio 17 del UIT-T, adoptadas por el Grupo Asesor de Normalización de las Telecomunicaciones (GANT</w:t>
            </w:r>
            <w:bookmarkStart w:id="2" w:name="_Hlk220671145"/>
            <w:r w:rsidRPr="008B1670">
              <w:rPr>
                <w:rFonts w:cstheme="minorHAnsi"/>
                <w:b/>
                <w:sz w:val="22"/>
                <w:szCs w:val="22"/>
                <w:lang w:val="es-ES"/>
              </w:rPr>
              <w:t>) (Ginebra, 26-30 de enero de 2026)</w:t>
            </w:r>
            <w:bookmarkEnd w:id="1"/>
            <w:bookmarkEnd w:id="2"/>
          </w:p>
        </w:tc>
      </w:tr>
    </w:tbl>
    <w:p w14:paraId="6202E697" w14:textId="1AB43E4A" w:rsidR="00C34772" w:rsidRPr="008B1670" w:rsidRDefault="00C34772" w:rsidP="008B1670">
      <w:pPr>
        <w:rPr>
          <w:sz w:val="22"/>
          <w:szCs w:val="18"/>
        </w:rPr>
      </w:pPr>
      <w:bookmarkStart w:id="3" w:name="StartTyping_S"/>
      <w:bookmarkStart w:id="4" w:name="suitetext"/>
      <w:bookmarkStart w:id="5" w:name="text"/>
      <w:bookmarkEnd w:id="3"/>
      <w:bookmarkEnd w:id="4"/>
      <w:bookmarkEnd w:id="5"/>
      <w:r w:rsidRPr="008B1670">
        <w:rPr>
          <w:sz w:val="22"/>
          <w:szCs w:val="18"/>
        </w:rPr>
        <w:t>Muy Señora mía/Muy Señor mío</w:t>
      </w:r>
      <w:r w:rsidR="008B1670">
        <w:rPr>
          <w:sz w:val="22"/>
          <w:szCs w:val="18"/>
        </w:rPr>
        <w:t>,</w:t>
      </w:r>
    </w:p>
    <w:p w14:paraId="5F5861D6" w14:textId="6250F453" w:rsidR="00AC335B" w:rsidRPr="008B1670" w:rsidRDefault="00AC335B" w:rsidP="00AC335B">
      <w:pPr>
        <w:rPr>
          <w:rFonts w:cstheme="minorHAnsi"/>
          <w:sz w:val="22"/>
          <w:szCs w:val="22"/>
          <w:lang w:val="es-ES"/>
        </w:rPr>
      </w:pPr>
      <w:r w:rsidRPr="008B1670">
        <w:rPr>
          <w:rFonts w:cstheme="minorHAnsi"/>
          <w:sz w:val="22"/>
          <w:szCs w:val="22"/>
          <w:lang w:val="es-ES"/>
        </w:rPr>
        <w:t>1</w:t>
      </w:r>
      <w:r w:rsidRPr="008B1670">
        <w:rPr>
          <w:rFonts w:cstheme="minorHAnsi"/>
          <w:sz w:val="22"/>
          <w:szCs w:val="22"/>
          <w:lang w:val="es-ES"/>
        </w:rPr>
        <w:tab/>
      </w:r>
      <w:proofErr w:type="gramStart"/>
      <w:r w:rsidRPr="008B1670">
        <w:rPr>
          <w:rFonts w:cstheme="minorHAnsi"/>
          <w:sz w:val="22"/>
          <w:szCs w:val="22"/>
          <w:lang w:val="es-ES"/>
        </w:rPr>
        <w:t>En</w:t>
      </w:r>
      <w:proofErr w:type="gramEnd"/>
      <w:r w:rsidRPr="008B1670">
        <w:rPr>
          <w:rFonts w:cstheme="minorHAnsi"/>
          <w:sz w:val="22"/>
          <w:szCs w:val="22"/>
          <w:lang w:val="es-ES"/>
        </w:rPr>
        <w:t xml:space="preserve"> su reunión celebrada en Ginebra del 26 al 30 de enero de 2026</w:t>
      </w:r>
      <w:r w:rsidR="00D51F7E" w:rsidRPr="008B1670">
        <w:rPr>
          <w:rFonts w:cstheme="minorHAnsi"/>
          <w:sz w:val="22"/>
          <w:szCs w:val="22"/>
          <w:lang w:val="es-ES"/>
        </w:rPr>
        <w:t>,</w:t>
      </w:r>
      <w:r w:rsidRPr="008B1670">
        <w:rPr>
          <w:rFonts w:cstheme="minorHAnsi"/>
          <w:sz w:val="22"/>
          <w:szCs w:val="22"/>
          <w:lang w:val="es-ES"/>
        </w:rPr>
        <w:t xml:space="preserve"> el Grupo Asesor de Normalización de las Telecomunicaciones (GANT) adoptó el proyecto de revisión de la C</w:t>
      </w:r>
      <w:bookmarkStart w:id="6" w:name="_Hlk221009381"/>
      <w:r w:rsidRPr="008B1670">
        <w:rPr>
          <w:rFonts w:cstheme="minorHAnsi"/>
          <w:sz w:val="22"/>
          <w:szCs w:val="22"/>
          <w:lang w:val="es-ES"/>
        </w:rPr>
        <w:t xml:space="preserve">7/17, </w:t>
      </w:r>
      <w:r w:rsidRPr="008B1670">
        <w:rPr>
          <w:rFonts w:cstheme="minorHAnsi"/>
          <w:i/>
          <w:iCs/>
          <w:sz w:val="22"/>
          <w:szCs w:val="22"/>
          <w:lang w:val="es-ES"/>
        </w:rPr>
        <w:t>Servicios de aplicación seguros</w:t>
      </w:r>
      <w:r w:rsidRPr="008B1670">
        <w:rPr>
          <w:rFonts w:cstheme="minorHAnsi"/>
          <w:sz w:val="22"/>
          <w:szCs w:val="22"/>
          <w:lang w:val="es-ES"/>
        </w:rPr>
        <w:t xml:space="preserve">, el proyecto de revisión de la C10/17, </w:t>
      </w:r>
      <w:r w:rsidRPr="008B1670">
        <w:rPr>
          <w:rFonts w:cstheme="minorHAnsi"/>
          <w:i/>
          <w:iCs/>
          <w:sz w:val="22"/>
          <w:szCs w:val="22"/>
          <w:lang w:val="es-ES"/>
        </w:rPr>
        <w:t xml:space="preserve">Gestión de la identidad, la seguridad y los servicios digitales, </w:t>
      </w:r>
      <w:r w:rsidRPr="008B1670">
        <w:rPr>
          <w:rFonts w:cstheme="minorHAnsi"/>
          <w:sz w:val="22"/>
          <w:szCs w:val="22"/>
          <w:lang w:val="es-ES"/>
        </w:rPr>
        <w:t xml:space="preserve">y el proyecto de nueva Cuestión 16/17, </w:t>
      </w:r>
      <w:r w:rsidRPr="008B1670">
        <w:rPr>
          <w:rFonts w:cstheme="minorHAnsi"/>
          <w:i/>
          <w:iCs/>
          <w:sz w:val="22"/>
          <w:szCs w:val="22"/>
          <w:lang w:val="es-ES"/>
        </w:rPr>
        <w:t xml:space="preserve">Seguridad de la IA, </w:t>
      </w:r>
      <w:r w:rsidRPr="008B1670">
        <w:rPr>
          <w:rFonts w:cstheme="minorHAnsi"/>
          <w:sz w:val="22"/>
          <w:szCs w:val="22"/>
          <w:lang w:val="es-ES"/>
        </w:rPr>
        <w:t>de la Comisión de Estudio 17 del UIT-T (CE 17). En el Anexo 1 se recogen los textos acordados de estas Cuestiones de la CE</w:t>
      </w:r>
      <w:r w:rsidR="00D51F7E" w:rsidRPr="008B1670">
        <w:rPr>
          <w:rFonts w:cstheme="minorHAnsi"/>
          <w:sz w:val="22"/>
          <w:szCs w:val="22"/>
          <w:lang w:val="es-ES"/>
        </w:rPr>
        <w:t> </w:t>
      </w:r>
      <w:r w:rsidRPr="008B1670">
        <w:rPr>
          <w:rFonts w:cstheme="minorHAnsi"/>
          <w:sz w:val="22"/>
          <w:szCs w:val="22"/>
          <w:lang w:val="es-ES"/>
        </w:rPr>
        <w:t>17</w:t>
      </w:r>
      <w:bookmarkEnd w:id="6"/>
      <w:r w:rsidRPr="008B1670">
        <w:rPr>
          <w:rFonts w:cstheme="minorHAnsi"/>
          <w:sz w:val="22"/>
          <w:szCs w:val="22"/>
          <w:lang w:val="es-ES"/>
        </w:rPr>
        <w:t>.</w:t>
      </w:r>
    </w:p>
    <w:p w14:paraId="5CAE42F4" w14:textId="36E8EF91" w:rsidR="00AC335B" w:rsidRPr="008B1670" w:rsidRDefault="00AC335B" w:rsidP="00AC335B">
      <w:pPr>
        <w:rPr>
          <w:rFonts w:cstheme="minorHAnsi"/>
          <w:sz w:val="22"/>
          <w:szCs w:val="22"/>
          <w:lang w:val="es-ES"/>
        </w:rPr>
      </w:pPr>
      <w:r w:rsidRPr="008B1670">
        <w:rPr>
          <w:rFonts w:cstheme="minorHAnsi"/>
          <w:sz w:val="22"/>
          <w:szCs w:val="22"/>
          <w:lang w:val="es-ES"/>
        </w:rPr>
        <w:t>2</w:t>
      </w:r>
      <w:r w:rsidRPr="008B1670">
        <w:rPr>
          <w:rFonts w:cstheme="minorHAnsi"/>
          <w:sz w:val="22"/>
          <w:szCs w:val="22"/>
          <w:lang w:val="es-ES"/>
        </w:rPr>
        <w:tab/>
      </w:r>
      <w:bookmarkStart w:id="7" w:name="_Hlk220942634"/>
      <w:proofErr w:type="gramStart"/>
      <w:r w:rsidRPr="008B1670">
        <w:rPr>
          <w:rFonts w:cstheme="minorHAnsi"/>
          <w:sz w:val="22"/>
          <w:szCs w:val="22"/>
          <w:lang w:val="es-ES"/>
        </w:rPr>
        <w:t>Al</w:t>
      </w:r>
      <w:proofErr w:type="gramEnd"/>
      <w:r w:rsidRPr="008B1670">
        <w:rPr>
          <w:rFonts w:cstheme="minorHAnsi"/>
          <w:sz w:val="22"/>
          <w:szCs w:val="22"/>
          <w:lang w:val="es-ES"/>
        </w:rPr>
        <w:t xml:space="preserve"> considerar estos textos, el GANT consideró que corresponde aplicarles el procedimiento de la cláusula</w:t>
      </w:r>
      <w:r w:rsidR="00D51F7E" w:rsidRPr="008B1670">
        <w:rPr>
          <w:rFonts w:cstheme="minorHAnsi"/>
          <w:sz w:val="22"/>
          <w:szCs w:val="22"/>
          <w:lang w:val="es-ES"/>
        </w:rPr>
        <w:t> </w:t>
      </w:r>
      <w:r w:rsidRPr="008B1670">
        <w:rPr>
          <w:rFonts w:cstheme="minorHAnsi"/>
          <w:sz w:val="22"/>
          <w:szCs w:val="22"/>
          <w:lang w:val="es-ES"/>
        </w:rPr>
        <w:t>7.3.2 de la Resolución 1 (2022) de la AMNT</w:t>
      </w:r>
      <w:bookmarkEnd w:id="7"/>
      <w:r w:rsidRPr="008B1670">
        <w:rPr>
          <w:rFonts w:cstheme="minorHAnsi"/>
          <w:sz w:val="22"/>
          <w:szCs w:val="22"/>
          <w:lang w:val="es-ES"/>
        </w:rPr>
        <w:t>.</w:t>
      </w:r>
    </w:p>
    <w:p w14:paraId="244B8048" w14:textId="77777777" w:rsidR="00AC335B" w:rsidRPr="008B1670" w:rsidRDefault="00AC335B" w:rsidP="00AC335B">
      <w:pPr>
        <w:rPr>
          <w:rFonts w:cstheme="minorHAnsi"/>
          <w:sz w:val="22"/>
          <w:szCs w:val="22"/>
          <w:lang w:val="es-ES"/>
        </w:rPr>
      </w:pPr>
      <w:r w:rsidRPr="008B1670">
        <w:rPr>
          <w:rFonts w:cstheme="minorHAnsi"/>
          <w:bCs/>
          <w:sz w:val="22"/>
          <w:szCs w:val="22"/>
          <w:lang w:val="es-ES"/>
        </w:rPr>
        <w:t>3</w:t>
      </w:r>
      <w:r w:rsidRPr="008B1670">
        <w:rPr>
          <w:rFonts w:cstheme="minorHAnsi"/>
          <w:sz w:val="22"/>
          <w:szCs w:val="22"/>
          <w:lang w:val="es-ES"/>
        </w:rPr>
        <w:tab/>
      </w:r>
      <w:proofErr w:type="gramStart"/>
      <w:r w:rsidRPr="008B1670">
        <w:rPr>
          <w:rFonts w:cstheme="minorHAnsi"/>
          <w:sz w:val="22"/>
          <w:szCs w:val="22"/>
          <w:lang w:val="es-ES"/>
        </w:rPr>
        <w:t>En</w:t>
      </w:r>
      <w:proofErr w:type="gramEnd"/>
      <w:r w:rsidRPr="008B1670">
        <w:rPr>
          <w:rFonts w:cstheme="minorHAnsi"/>
          <w:sz w:val="22"/>
          <w:szCs w:val="22"/>
          <w:lang w:val="es-ES"/>
        </w:rPr>
        <w:t xml:space="preserve"> consecuencia, por la presenta Circular se inicia la consulta formal de dos meses con los Estados Miembros de la UIT para determinar si apoyan o no la aprobación de estas Cuestiones nuevas/revisadas adoptadas</w:t>
      </w:r>
      <w:bookmarkStart w:id="8" w:name="_Hlk221009227"/>
      <w:r w:rsidRPr="008B1670">
        <w:rPr>
          <w:rFonts w:cstheme="minorHAnsi"/>
          <w:sz w:val="22"/>
          <w:szCs w:val="22"/>
          <w:lang w:val="es-ES"/>
        </w:rPr>
        <w:t>.</w:t>
      </w:r>
    </w:p>
    <w:p w14:paraId="7F85045F" w14:textId="560ED0FE" w:rsidR="00AC335B" w:rsidRPr="008B1670" w:rsidRDefault="00AC335B" w:rsidP="00AC335B">
      <w:pPr>
        <w:rPr>
          <w:rFonts w:cstheme="minorHAnsi"/>
          <w:b/>
          <w:bCs/>
          <w:sz w:val="22"/>
          <w:szCs w:val="22"/>
          <w:lang w:val="es-ES"/>
        </w:rPr>
      </w:pPr>
      <w:bookmarkStart w:id="9" w:name="_Hlk221009263"/>
      <w:bookmarkEnd w:id="8"/>
      <w:r w:rsidRPr="008B1670">
        <w:rPr>
          <w:rFonts w:cstheme="minorHAnsi"/>
          <w:sz w:val="22"/>
          <w:szCs w:val="22"/>
          <w:lang w:val="es-ES"/>
        </w:rPr>
        <w:t>Se ruega a los Estados Miembros cumplimenten y devuelvan el formulario del Anexo</w:t>
      </w:r>
      <w:r w:rsidR="00D51F7E" w:rsidRPr="008B1670">
        <w:rPr>
          <w:rFonts w:cstheme="minorHAnsi"/>
          <w:sz w:val="22"/>
          <w:szCs w:val="22"/>
          <w:lang w:val="es-ES"/>
        </w:rPr>
        <w:t> </w:t>
      </w:r>
      <w:r w:rsidRPr="008B1670">
        <w:rPr>
          <w:rFonts w:cstheme="minorHAnsi"/>
          <w:sz w:val="22"/>
          <w:szCs w:val="22"/>
          <w:lang w:val="es-ES"/>
        </w:rPr>
        <w:t>2 antes de las 23.59</w:t>
      </w:r>
      <w:r w:rsidR="00D51F7E" w:rsidRPr="008B1670">
        <w:rPr>
          <w:rFonts w:cstheme="minorHAnsi"/>
          <w:sz w:val="22"/>
          <w:szCs w:val="22"/>
          <w:lang w:val="es-ES"/>
        </w:rPr>
        <w:t> </w:t>
      </w:r>
      <w:r w:rsidRPr="008B1670">
        <w:rPr>
          <w:rFonts w:cstheme="minorHAnsi"/>
          <w:sz w:val="22"/>
          <w:szCs w:val="22"/>
          <w:lang w:val="es-ES"/>
        </w:rPr>
        <w:t xml:space="preserve">horas UTC del </w:t>
      </w:r>
      <w:r w:rsidRPr="008B1670">
        <w:rPr>
          <w:rFonts w:cstheme="minorHAnsi"/>
          <w:b/>
          <w:bCs/>
          <w:sz w:val="22"/>
          <w:szCs w:val="22"/>
          <w:lang w:val="es-ES"/>
        </w:rPr>
        <w:t>3 de abril de 2026</w:t>
      </w:r>
      <w:r w:rsidRPr="008B1670">
        <w:rPr>
          <w:rFonts w:cstheme="minorHAnsi"/>
          <w:sz w:val="22"/>
          <w:szCs w:val="22"/>
          <w:lang w:val="es-ES"/>
        </w:rPr>
        <w:t>.</w:t>
      </w:r>
    </w:p>
    <w:bookmarkEnd w:id="9"/>
    <w:p w14:paraId="24552625" w14:textId="03F1EF09" w:rsidR="007B6316" w:rsidRPr="008B1670" w:rsidRDefault="00AC335B" w:rsidP="00AC335B">
      <w:pPr>
        <w:rPr>
          <w:sz w:val="22"/>
          <w:szCs w:val="22"/>
        </w:rPr>
      </w:pPr>
      <w:r w:rsidRPr="008B1670">
        <w:rPr>
          <w:rFonts w:cstheme="minorHAnsi"/>
          <w:bCs/>
          <w:sz w:val="22"/>
          <w:szCs w:val="22"/>
          <w:lang w:val="es-ES"/>
        </w:rPr>
        <w:t>4</w:t>
      </w:r>
      <w:r w:rsidRPr="008B1670">
        <w:rPr>
          <w:rFonts w:cstheme="minorHAnsi"/>
          <w:sz w:val="22"/>
          <w:szCs w:val="22"/>
          <w:lang w:val="es-ES"/>
        </w:rPr>
        <w:tab/>
      </w:r>
      <w:proofErr w:type="gramStart"/>
      <w:r w:rsidRPr="008B1670">
        <w:rPr>
          <w:rFonts w:cstheme="minorHAnsi"/>
          <w:sz w:val="22"/>
          <w:szCs w:val="22"/>
          <w:lang w:val="es-ES"/>
        </w:rPr>
        <w:t>Si</w:t>
      </w:r>
      <w:proofErr w:type="gramEnd"/>
      <w:r w:rsidRPr="008B1670">
        <w:rPr>
          <w:rFonts w:cstheme="minorHAnsi"/>
          <w:sz w:val="22"/>
          <w:szCs w:val="22"/>
          <w:lang w:val="es-ES"/>
        </w:rPr>
        <w:t xml:space="preserve"> el 70</w:t>
      </w:r>
      <w:r w:rsidR="00D51F7E" w:rsidRPr="008B1670">
        <w:rPr>
          <w:rFonts w:cstheme="minorHAnsi"/>
          <w:sz w:val="22"/>
          <w:szCs w:val="22"/>
          <w:lang w:val="es-ES"/>
        </w:rPr>
        <w:t> </w:t>
      </w:r>
      <w:r w:rsidRPr="008B1670">
        <w:rPr>
          <w:rFonts w:cstheme="minorHAnsi"/>
          <w:sz w:val="22"/>
          <w:szCs w:val="22"/>
          <w:lang w:val="es-ES"/>
        </w:rPr>
        <w:t xml:space="preserve">% o más de las respuestas recibidas durante el periodo de consulta es favorable a la aprobación (o si no hay respuestas), las Cuestiones nuevas o revisadas adoptadas se considerarán aprobadas. Sólo se contabilizarán las respuestas explícitamente favorables o desfavorables a la aprobación. De no aprobarse las Cuestiones nuevas o revisadas adoptadas, se devolverán a la Comisión de Estudio. Todas las observaciones recibidas en respuesta a la consulta se pondrán en conocimiento de la Comisión de Estudio. Se ruega a los Estados Miembros que no den su aprobación que comuniquen los motivos al </w:t>
      </w:r>
      <w:proofErr w:type="gramStart"/>
      <w:r w:rsidRPr="008B1670">
        <w:rPr>
          <w:rFonts w:cstheme="minorHAnsi"/>
          <w:sz w:val="22"/>
          <w:szCs w:val="22"/>
          <w:lang w:val="es-ES"/>
        </w:rPr>
        <w:t>Director</w:t>
      </w:r>
      <w:proofErr w:type="gramEnd"/>
      <w:r w:rsidRPr="008B1670">
        <w:rPr>
          <w:rFonts w:cstheme="minorHAnsi"/>
          <w:sz w:val="22"/>
          <w:szCs w:val="22"/>
          <w:lang w:val="es-ES"/>
        </w:rPr>
        <w:t xml:space="preserve"> de la TSB.</w:t>
      </w:r>
    </w:p>
    <w:p w14:paraId="64EA59A9" w14:textId="7A90E1C8" w:rsidR="007B6316" w:rsidRPr="008B1670" w:rsidRDefault="007B6316" w:rsidP="007B6316">
      <w:pPr>
        <w:rPr>
          <w:sz w:val="22"/>
          <w:szCs w:val="18"/>
        </w:rPr>
      </w:pPr>
      <w:r w:rsidRPr="008B1670">
        <w:rPr>
          <w:sz w:val="22"/>
          <w:szCs w:val="18"/>
        </w:rPr>
        <w:t>Atentamente,</w:t>
      </w:r>
    </w:p>
    <w:p w14:paraId="4C7065C6" w14:textId="0ED9A72C" w:rsidR="007B6316" w:rsidRPr="008B1670" w:rsidRDefault="00491BD9" w:rsidP="008B1670">
      <w:pPr>
        <w:spacing w:before="720"/>
        <w:rPr>
          <w:sz w:val="22"/>
          <w:szCs w:val="18"/>
        </w:rPr>
      </w:pPr>
      <w:r>
        <w:rPr>
          <w:rFonts w:cstheme="minorHAnsi"/>
          <w:noProof/>
          <w:sz w:val="22"/>
          <w:lang w:val="es-ES"/>
        </w:rPr>
        <w:drawing>
          <wp:anchor distT="0" distB="0" distL="114300" distR="114300" simplePos="0" relativeHeight="251658240" behindDoc="1" locked="0" layoutInCell="1" allowOverlap="1" wp14:anchorId="0D8A9DE5" wp14:editId="4EEF0D2A">
            <wp:simplePos x="0" y="0"/>
            <wp:positionH relativeFrom="margin">
              <wp:align>left</wp:align>
            </wp:positionH>
            <wp:positionV relativeFrom="paragraph">
              <wp:posOffset>38735</wp:posOffset>
            </wp:positionV>
            <wp:extent cx="825500" cy="330200"/>
            <wp:effectExtent l="0" t="0" r="0" b="0"/>
            <wp:wrapNone/>
            <wp:docPr id="92082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2301" name="Picture 92082301"/>
                    <pic:cNvPicPr/>
                  </pic:nvPicPr>
                  <pic:blipFill>
                    <a:blip r:embed="rId10">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8B1670">
        <w:rPr>
          <w:rFonts w:cstheme="minorHAnsi"/>
          <w:sz w:val="22"/>
          <w:lang w:val="es-ES"/>
        </w:rPr>
        <w:t>Seizo Onoe</w:t>
      </w:r>
      <w:r w:rsidR="007B6316" w:rsidRPr="008B1670">
        <w:rPr>
          <w:sz w:val="22"/>
          <w:szCs w:val="18"/>
        </w:rPr>
        <w:br/>
      </w:r>
      <w:proofErr w:type="gramStart"/>
      <w:r w:rsidR="007B6316" w:rsidRPr="008B1670">
        <w:rPr>
          <w:sz w:val="22"/>
          <w:szCs w:val="18"/>
        </w:rPr>
        <w:t>Director</w:t>
      </w:r>
      <w:proofErr w:type="gramEnd"/>
      <w:r w:rsidR="007B6316" w:rsidRPr="008B1670">
        <w:rPr>
          <w:sz w:val="22"/>
          <w:szCs w:val="18"/>
        </w:rPr>
        <w:t xml:space="preserve"> de la Oficina de </w:t>
      </w:r>
      <w:r w:rsidR="007B6316" w:rsidRPr="008B1670">
        <w:rPr>
          <w:sz w:val="22"/>
          <w:szCs w:val="18"/>
        </w:rPr>
        <w:br/>
        <w:t>Normalización de las Telecomunicaciones</w:t>
      </w:r>
    </w:p>
    <w:p w14:paraId="0EFD43CF" w14:textId="0E38E617" w:rsidR="00401C20" w:rsidRPr="008B1670" w:rsidRDefault="00AC335B" w:rsidP="008B1670">
      <w:pPr>
        <w:ind w:right="86"/>
        <w:rPr>
          <w:sz w:val="22"/>
          <w:szCs w:val="18"/>
          <w:lang w:val="es-ES"/>
        </w:rPr>
      </w:pPr>
      <w:r w:rsidRPr="008B1670">
        <w:rPr>
          <w:b/>
          <w:bCs/>
          <w:sz w:val="22"/>
          <w:szCs w:val="18"/>
          <w:lang w:val="es-ES"/>
        </w:rPr>
        <w:t>Anexos:</w:t>
      </w:r>
      <w:r w:rsidRPr="008B1670">
        <w:rPr>
          <w:sz w:val="22"/>
          <w:szCs w:val="18"/>
          <w:lang w:val="es-ES"/>
        </w:rPr>
        <w:t xml:space="preserve"> 2</w:t>
      </w:r>
    </w:p>
    <w:p w14:paraId="48B8E259" w14:textId="566C21DD" w:rsidR="00AC335B" w:rsidRPr="007F05DE" w:rsidRDefault="00AC335B" w:rsidP="00CF0EAA">
      <w:pPr>
        <w:pStyle w:val="Annextitle0"/>
        <w:rPr>
          <w:lang w:val="es-ES"/>
        </w:rPr>
      </w:pPr>
      <w:r w:rsidRPr="007F05DE">
        <w:rPr>
          <w:lang w:val="es-ES"/>
        </w:rPr>
        <w:lastRenderedPageBreak/>
        <w:t>Anexo 1</w:t>
      </w:r>
      <w:r w:rsidR="00CF0EAA">
        <w:rPr>
          <w:lang w:val="es-ES"/>
        </w:rPr>
        <w:br/>
      </w:r>
      <w:r w:rsidRPr="007F05DE">
        <w:rPr>
          <w:lang w:val="es-ES"/>
        </w:rPr>
        <w:t>Textos definitivos de las Cuestiones nuevas/revisadas de la CE 17</w:t>
      </w:r>
    </w:p>
    <w:p w14:paraId="77D04F30" w14:textId="77777777" w:rsidR="00AC335B" w:rsidRPr="007F05DE" w:rsidRDefault="00AC335B" w:rsidP="00AC335B">
      <w:pPr>
        <w:pStyle w:val="Heading1"/>
        <w:rPr>
          <w:lang w:val="es-ES"/>
        </w:rPr>
      </w:pPr>
      <w:r w:rsidRPr="007F05DE">
        <w:rPr>
          <w:lang w:val="es-ES"/>
        </w:rPr>
        <w:t>1</w:t>
      </w:r>
      <w:r w:rsidRPr="007F05DE">
        <w:rPr>
          <w:lang w:val="es-ES"/>
        </w:rPr>
        <w:tab/>
      </w:r>
      <w:proofErr w:type="gramStart"/>
      <w:r w:rsidRPr="007F05DE">
        <w:rPr>
          <w:lang w:val="es-ES"/>
        </w:rPr>
        <w:t>Proyecto</w:t>
      </w:r>
      <w:proofErr w:type="gramEnd"/>
      <w:r w:rsidRPr="007F05DE">
        <w:rPr>
          <w:lang w:val="es-ES"/>
        </w:rPr>
        <w:t xml:space="preserve"> de revisión de la Cuestión 7/17</w:t>
      </w:r>
      <w:r>
        <w:rPr>
          <w:lang w:val="es-ES"/>
        </w:rPr>
        <w:t xml:space="preserve">, </w:t>
      </w:r>
      <w:r>
        <w:rPr>
          <w:i/>
          <w:iCs/>
          <w:lang w:val="es-ES"/>
        </w:rPr>
        <w:t>Servicios de aplicación seguros</w:t>
      </w:r>
    </w:p>
    <w:p w14:paraId="0D7AE2FF" w14:textId="77777777" w:rsidR="00AC335B" w:rsidRPr="004D42EF" w:rsidRDefault="00AC335B" w:rsidP="00AC335B">
      <w:pPr>
        <w:pStyle w:val="Heading2"/>
        <w:rPr>
          <w:lang w:val="es-ES"/>
        </w:rPr>
      </w:pPr>
      <w:r w:rsidRPr="004D42EF">
        <w:rPr>
          <w:lang w:val="es-ES"/>
        </w:rPr>
        <w:t>Cuestión 7/17 – Servicios de aplicación seguros</w:t>
      </w:r>
    </w:p>
    <w:p w14:paraId="3E62FC2C" w14:textId="77777777" w:rsidR="00AC335B" w:rsidRPr="004D42EF" w:rsidRDefault="00AC335B" w:rsidP="00AC335B">
      <w:pPr>
        <w:pStyle w:val="Questionhistory"/>
        <w:rPr>
          <w:lang w:val="es-ES"/>
        </w:rPr>
      </w:pPr>
      <w:r w:rsidRPr="004D42EF">
        <w:rPr>
          <w:lang w:val="es-ES"/>
        </w:rPr>
        <w:t>(Continuación de la Cuestión 7/17 (2024)</w:t>
      </w:r>
      <w:r>
        <w:rPr>
          <w:rStyle w:val="FootnoteReference"/>
        </w:rPr>
        <w:footnoteReference w:id="1"/>
      </w:r>
      <w:r w:rsidRPr="004D42EF">
        <w:rPr>
          <w:lang w:val="es-ES"/>
        </w:rPr>
        <w:t>)</w:t>
      </w:r>
    </w:p>
    <w:p w14:paraId="7670EBEA" w14:textId="77777777" w:rsidR="00AC335B" w:rsidRPr="009033BC" w:rsidRDefault="00AC335B" w:rsidP="00AC335B">
      <w:pPr>
        <w:pStyle w:val="Heading3"/>
        <w:rPr>
          <w:lang w:val="es-ES"/>
        </w:rPr>
      </w:pPr>
      <w:r w:rsidRPr="009033BC">
        <w:rPr>
          <w:lang w:val="es-ES"/>
        </w:rPr>
        <w:t>1</w:t>
      </w:r>
      <w:r w:rsidRPr="009033BC">
        <w:rPr>
          <w:lang w:val="es-ES"/>
        </w:rPr>
        <w:tab/>
      </w:r>
      <w:proofErr w:type="gramStart"/>
      <w:r w:rsidRPr="009033BC">
        <w:rPr>
          <w:lang w:val="es-ES"/>
        </w:rPr>
        <w:t>Motivos</w:t>
      </w:r>
      <w:proofErr w:type="gramEnd"/>
    </w:p>
    <w:p w14:paraId="6517583B" w14:textId="77777777" w:rsidR="00AC335B" w:rsidRPr="004D42EF" w:rsidRDefault="00AC335B" w:rsidP="00AC335B">
      <w:pPr>
        <w:rPr>
          <w:rFonts w:eastAsia="SimSun"/>
          <w:lang w:val="es-ES" w:eastAsia="ja-JP"/>
        </w:rPr>
      </w:pPr>
      <w:r w:rsidRPr="004D42EF">
        <w:rPr>
          <w:rFonts w:eastAsia="SimSun"/>
          <w:lang w:val="es-ES" w:eastAsia="zh-CN"/>
        </w:rPr>
        <w:t>En el marco de esta Cuestión se ha preparado una serie de Recomendaciones sobre autentificación/autorización y arquitecturas de seguridad para mensajes en servicios de red, directrices especificadas para la autentificación segura mediante contraseña e intercambio de claves y sobre diversos servicios de terceros fiables</w:t>
      </w:r>
      <w:r w:rsidRPr="004D42EF">
        <w:rPr>
          <w:rFonts w:eastAsia="SimSun"/>
          <w:lang w:val="es-ES" w:eastAsia="ja-JP"/>
        </w:rPr>
        <w:t xml:space="preserve"> (TTP);</w:t>
      </w:r>
      <w:r>
        <w:rPr>
          <w:rFonts w:eastAsia="SimSun"/>
          <w:lang w:val="es-ES" w:eastAsia="ja-JP"/>
        </w:rPr>
        <w:t xml:space="preserve"> se han especificado, además, los mecanismos y un marco exhaustivo para la seguridad de servicios entre entidades pares (</w:t>
      </w:r>
      <w:r w:rsidRPr="004D42EF">
        <w:rPr>
          <w:rFonts w:eastAsia="SimSun"/>
          <w:lang w:val="es-ES" w:eastAsia="ja-JP"/>
        </w:rPr>
        <w:t>P2P</w:t>
      </w:r>
      <w:r>
        <w:rPr>
          <w:rFonts w:eastAsia="SimSun"/>
          <w:lang w:val="es-ES" w:eastAsia="ja-JP"/>
        </w:rPr>
        <w:t>). Es preciso seguir adelante con las actividades destinadas a mantener actualizadas y mejorar estas Recomendaciones sobre seguridad para satisfacer las necesidades de los nuevos servicios y tecnologías</w:t>
      </w:r>
      <w:r w:rsidRPr="004D42EF">
        <w:rPr>
          <w:rFonts w:eastAsia="SimSun"/>
          <w:lang w:val="es-ES" w:eastAsia="ja-JP"/>
        </w:rPr>
        <w:t>.</w:t>
      </w:r>
    </w:p>
    <w:p w14:paraId="4BA0C2BF" w14:textId="77777777" w:rsidR="00AC335B" w:rsidRPr="004D42EF" w:rsidRDefault="00AC335B" w:rsidP="00AC335B">
      <w:pPr>
        <w:rPr>
          <w:rFonts w:eastAsia="SimSun"/>
          <w:lang w:val="es-ES" w:eastAsia="ja-JP"/>
        </w:rPr>
      </w:pPr>
      <w:r w:rsidRPr="00091F8F">
        <w:t xml:space="preserve">El sector de las telecomunicaciones ha experimentado un crecimiento exponencial en el ámbito de los servicios TTP (terceros fiables). Para la expansión del sector resultan particularmente importantes los servicios de aplicación basados en telecomunicaciones, incluidos el servicio de redes sociales y los servicios P2P y TTP. Los protocolos de aplicación seguros desempeñan un papel importantísimo para suministrar un servicio de aplicación seguro. La normalización de las mejores soluciones integrales de seguridad es fundamental para la industria, los operadores de red y los proveedores de servicio que operan a escala internacional con dispositivos de diversos fabricantes. También es necesario estudiar y desarrollar otros tipos de servicios de aplicaciones en plataformas seguras, como los servicios de estampación de fecha y hora, servicios notariales seguros, servicios financieros seguros como </w:t>
      </w:r>
      <w:proofErr w:type="spellStart"/>
      <w:r w:rsidRPr="00091F8F">
        <w:t>FinTech</w:t>
      </w:r>
      <w:proofErr w:type="spellEnd"/>
      <w:r w:rsidRPr="00091F8F">
        <w:t xml:space="preserve"> (banca abierta, préstamos entre pares, remesas, monedero móvil, seguros), servicios OTT (Over The Top) seguros, y réplicas digitales; utilización de asertos de seguridad en lugar de certificados en protocolos basados en PKI y servicios de aplicaciones de PKI, etc. Las tecnologías de seguridad de los servicios web, tales como el aserto de seguridad y el aserto del control de acceso son ahora esenciales en las redes de telecomunicaciones</w:t>
      </w:r>
      <w:r w:rsidRPr="004D42EF">
        <w:rPr>
          <w:rFonts w:eastAsia="SimSun"/>
          <w:lang w:val="es-ES" w:eastAsia="ja-JP"/>
        </w:rPr>
        <w:t>.</w:t>
      </w:r>
    </w:p>
    <w:p w14:paraId="715C0821" w14:textId="77777777" w:rsidR="00AC335B" w:rsidRPr="004D42EF" w:rsidRDefault="00AC335B" w:rsidP="00AC335B">
      <w:pPr>
        <w:rPr>
          <w:rFonts w:eastAsia="SimSun"/>
          <w:lang w:val="es-ES" w:eastAsia="ja-JP"/>
        </w:rPr>
      </w:pPr>
      <w:r w:rsidRPr="00091F8F">
        <w:t>A medida que las telecomunicaciones y las TIC desarrollan servicios de aplicaciones, se enfrentan a dos nuevos horizontes que es preciso estudiar: las aplicaciones generan y procesan cada vez más datos y, por ese motivo, podrían precisar inteligencia artificial. Es necesario ampliar los servicios de aplicaciones seguras para que abarquen la amplia investigación y el mercado necesarios para estudiar toda la gama de los aspectos operativos y técnicos de la protección de datos, que se basa en la labor existente sobre los servicios de análisis de datos</w:t>
      </w:r>
      <w:r w:rsidRPr="004D42EF">
        <w:rPr>
          <w:rFonts w:eastAsia="SimSun"/>
          <w:lang w:val="es-ES" w:eastAsia="ja-JP"/>
        </w:rPr>
        <w:t>.</w:t>
      </w:r>
    </w:p>
    <w:p w14:paraId="72B0C5A8" w14:textId="67F42B93" w:rsidR="00AC335B" w:rsidRPr="004D42EF" w:rsidRDefault="00AC335B" w:rsidP="00AC335B">
      <w:pPr>
        <w:rPr>
          <w:rFonts w:eastAsia="SimSun"/>
          <w:lang w:val="es-ES" w:eastAsia="ja-JP"/>
        </w:rPr>
      </w:pPr>
      <w:r w:rsidRPr="00091F8F">
        <w:t xml:space="preserve">Los datos constituyen el elemento fundamental de las aplicaciones y servicios TIC y el que mayor importancia reviste a tal efecto. La protección de datos desempeña una función destacada a los efectos de desarrollo sostenible y eficaz de las aplicaciones y servicios TIC, a fin de mitigar los riesgos de seguridad de los datos, en particular la pérdida, utilización indebida o alteración ilícita de datos. La protección de datos se refiere a un conjunto de medidas técnicas y de gestión adoptadas para impedir el acceso a datos y la utilización de </w:t>
      </w:r>
      <w:proofErr w:type="gramStart"/>
      <w:r w:rsidRPr="00091F8F">
        <w:t>los mismos</w:t>
      </w:r>
      <w:proofErr w:type="gramEnd"/>
      <w:r>
        <w:t xml:space="preserve"> </w:t>
      </w:r>
      <w:r w:rsidRPr="00091F8F">
        <w:t xml:space="preserve">de forma no autorizada. </w:t>
      </w:r>
      <w:r w:rsidRPr="00091F8F">
        <w:lastRenderedPageBreak/>
        <w:t xml:space="preserve">Las tecnologías de protección de datos tienen por objeto proteger a las personas al tiempo que les permiten aprovechar las ventajas que brindan las tecnologías digitales, en particular el aprendizaje federado, la ocultación de datos, la procedencia o el origen de los datos, la marca de agua digital, la privacidad diferencial, la computación </w:t>
      </w:r>
      <w:proofErr w:type="spellStart"/>
      <w:r w:rsidRPr="00091F8F">
        <w:t>multipartita</w:t>
      </w:r>
      <w:proofErr w:type="spellEnd"/>
      <w:r w:rsidRPr="00091F8F">
        <w:t xml:space="preserve"> segura, la utilización de algoritmos criptográficos y otras tecnologías de mejora de la seguridad y la privacidad de los datos</w:t>
      </w:r>
      <w:r w:rsidRPr="004D42EF">
        <w:rPr>
          <w:rFonts w:eastAsia="SimSun"/>
          <w:lang w:val="es-ES" w:eastAsia="ja-JP"/>
        </w:rPr>
        <w:t xml:space="preserve">. </w:t>
      </w:r>
      <w:r w:rsidRPr="00091F8F">
        <w:t>Las medidas de gestión de la protección de datos pueden incluir sistemas de gestión orgánica relacionados con la protección de datos, normas institucionales, y gestión y formación del personal, entre otras. Por lo general, las organizaciones de TIC deben desarrollar sistemas de protección de datos adaptados a sus propias necesidades, y tomar las medidas más adecuadas y eficaces para proteger los recursos de datos y utilizarlos de forma segura, sobre la base de un análisis exhaustivo para casos hipotéticos de aplicaciones y servicios, gobernanza, conformidad, estrategia de TI y tolerancia frente al riesgo</w:t>
      </w:r>
      <w:r w:rsidRPr="004D42EF">
        <w:rPr>
          <w:rFonts w:eastAsia="SimSun"/>
          <w:lang w:val="es-ES" w:eastAsia="ja-JP"/>
        </w:rPr>
        <w:t>.</w:t>
      </w:r>
    </w:p>
    <w:p w14:paraId="029BBEFD" w14:textId="77777777" w:rsidR="00AC335B" w:rsidRPr="004D42EF" w:rsidRDefault="00AC335B" w:rsidP="00AC335B">
      <w:pPr>
        <w:rPr>
          <w:rFonts w:eastAsia="SimSun"/>
          <w:lang w:val="es-ES" w:eastAsia="ja-JP"/>
        </w:rPr>
      </w:pPr>
      <w:r w:rsidRPr="004D42EF">
        <w:rPr>
          <w:rFonts w:eastAsia="SimSun"/>
          <w:lang w:val="es-ES" w:eastAsia="ja-JP"/>
        </w:rPr>
        <w:t xml:space="preserve">Las Recomendaciones y los Suplementos relacionados con el estudio de esta Cuestión son, al 4 de diciembre de 2025: X.1130, X.1141, X.1142, X.1143, X.1144, X.1145, X.1146, X.1147, X.1148, X.1149, X.1151, X.1152, X.1153, X.1154, X.1155, X.1156, X.1157, X.1158, X.1159, X.1161, X.1162, X.1163, X.1164, X.1282, X.1450, X.1451, X.1452, X.1456, X.1457, X.1470, X.1471, X.2012, X.2013, X.2050 </w:t>
      </w:r>
      <w:r>
        <w:rPr>
          <w:rFonts w:eastAsia="SimSun"/>
          <w:lang w:val="es-ES" w:eastAsia="ja-JP"/>
        </w:rPr>
        <w:t>y los Suplementos</w:t>
      </w:r>
      <w:r w:rsidRPr="004D42EF">
        <w:rPr>
          <w:rFonts w:eastAsia="SimSun"/>
          <w:lang w:val="es-ES" w:eastAsia="ja-JP"/>
        </w:rPr>
        <w:t xml:space="preserve"> 17, 21 and 22, 38, 39, 40, </w:t>
      </w:r>
      <w:r>
        <w:rPr>
          <w:rFonts w:eastAsia="SimSun"/>
          <w:lang w:val="es-ES" w:eastAsia="ja-JP"/>
        </w:rPr>
        <w:t>y</w:t>
      </w:r>
      <w:r w:rsidRPr="004D42EF">
        <w:rPr>
          <w:rFonts w:eastAsia="SimSun"/>
          <w:lang w:val="es-ES" w:eastAsia="ja-JP"/>
        </w:rPr>
        <w:t xml:space="preserve"> </w:t>
      </w:r>
      <w:proofErr w:type="spellStart"/>
      <w:r w:rsidRPr="004D42EF">
        <w:rPr>
          <w:rFonts w:eastAsia="SimSun"/>
          <w:lang w:val="es-ES" w:eastAsia="ja-JP"/>
        </w:rPr>
        <w:t>XSTR.sgfdm</w:t>
      </w:r>
      <w:proofErr w:type="spellEnd"/>
      <w:r w:rsidRPr="004D42EF">
        <w:rPr>
          <w:rFonts w:eastAsia="SimSun"/>
          <w:lang w:val="es-ES" w:eastAsia="ja-JP"/>
        </w:rPr>
        <w:t>.</w:t>
      </w:r>
    </w:p>
    <w:p w14:paraId="2BFA9440" w14:textId="4D02E41B" w:rsidR="00AC335B" w:rsidRPr="004D42EF" w:rsidRDefault="00AC335B" w:rsidP="00AC335B">
      <w:pPr>
        <w:rPr>
          <w:rFonts w:eastAsia="SimSun"/>
          <w:lang w:val="es-ES" w:eastAsia="ja-JP"/>
        </w:rPr>
      </w:pPr>
      <w:r w:rsidRPr="004D42EF">
        <w:rPr>
          <w:rFonts w:eastAsia="SimSun"/>
          <w:lang w:val="es-ES" w:eastAsia="ja-JP"/>
        </w:rPr>
        <w:t>Textos en preparación al 11 de diciembre d</w:t>
      </w:r>
      <w:r>
        <w:rPr>
          <w:rFonts w:eastAsia="SimSun"/>
          <w:lang w:val="es-ES" w:eastAsia="ja-JP"/>
        </w:rPr>
        <w:t>e</w:t>
      </w:r>
      <w:r w:rsidRPr="004D42EF">
        <w:rPr>
          <w:rFonts w:eastAsia="SimSun"/>
          <w:lang w:val="es-ES" w:eastAsia="ja-JP"/>
        </w:rPr>
        <w:t xml:space="preserve"> 2025: X.fr-</w:t>
      </w:r>
      <w:proofErr w:type="spellStart"/>
      <w:r w:rsidRPr="004D42EF">
        <w:rPr>
          <w:rFonts w:eastAsia="SimSun"/>
          <w:lang w:val="es-ES" w:eastAsia="ja-JP"/>
        </w:rPr>
        <w:t>vsasi</w:t>
      </w:r>
      <w:proofErr w:type="spellEnd"/>
      <w:r w:rsidRPr="004D42EF">
        <w:rPr>
          <w:rFonts w:eastAsia="SimSun"/>
          <w:lang w:val="es-ES" w:eastAsia="ja-JP"/>
        </w:rPr>
        <w:t xml:space="preserve">, </w:t>
      </w:r>
      <w:proofErr w:type="spellStart"/>
      <w:r w:rsidRPr="004D42EF">
        <w:rPr>
          <w:rFonts w:eastAsia="SimSun"/>
          <w:lang w:val="es-ES" w:eastAsia="ja-JP"/>
        </w:rPr>
        <w:t>X.ias</w:t>
      </w:r>
      <w:proofErr w:type="spellEnd"/>
      <w:r w:rsidRPr="004D42EF">
        <w:rPr>
          <w:rFonts w:eastAsia="SimSun"/>
          <w:lang w:val="es-ES" w:eastAsia="ja-JP"/>
        </w:rPr>
        <w:t xml:space="preserve">, </w:t>
      </w:r>
      <w:proofErr w:type="spellStart"/>
      <w:proofErr w:type="gramStart"/>
      <w:r w:rsidRPr="004D42EF">
        <w:rPr>
          <w:rFonts w:eastAsia="SimSun"/>
          <w:lang w:val="es-ES" w:eastAsia="ja-JP"/>
        </w:rPr>
        <w:t>X.ig</w:t>
      </w:r>
      <w:proofErr w:type="gramEnd"/>
      <w:r w:rsidRPr="004D42EF">
        <w:rPr>
          <w:rFonts w:eastAsia="SimSun"/>
          <w:lang w:val="es-ES" w:eastAsia="ja-JP"/>
        </w:rPr>
        <w:t>-dw</w:t>
      </w:r>
      <w:proofErr w:type="spellEnd"/>
      <w:r w:rsidRPr="004D42EF">
        <w:rPr>
          <w:rFonts w:eastAsia="SimSun"/>
          <w:lang w:val="es-ES" w:eastAsia="ja-JP"/>
        </w:rPr>
        <w:t xml:space="preserve">, </w:t>
      </w:r>
      <w:proofErr w:type="spellStart"/>
      <w:r w:rsidRPr="004D42EF">
        <w:rPr>
          <w:rFonts w:eastAsia="SimSun"/>
          <w:lang w:val="es-ES" w:eastAsia="ja-JP"/>
        </w:rPr>
        <w:t>X.sec-grp-mov</w:t>
      </w:r>
      <w:proofErr w:type="spellEnd"/>
      <w:r w:rsidRPr="004D42EF">
        <w:rPr>
          <w:rFonts w:eastAsia="SimSun"/>
          <w:lang w:val="es-ES" w:eastAsia="ja-JP"/>
        </w:rPr>
        <w:t xml:space="preserve">, </w:t>
      </w:r>
      <w:proofErr w:type="spellStart"/>
      <w:proofErr w:type="gramStart"/>
      <w:r w:rsidRPr="004D42EF">
        <w:rPr>
          <w:rFonts w:eastAsia="SimSun"/>
          <w:lang w:val="es-ES" w:eastAsia="ja-JP"/>
        </w:rPr>
        <w:t>X.sgfems</w:t>
      </w:r>
      <w:proofErr w:type="spellEnd"/>
      <w:proofErr w:type="gramEnd"/>
      <w:r w:rsidRPr="004D42EF">
        <w:rPr>
          <w:rFonts w:eastAsia="SimSun"/>
          <w:lang w:val="es-ES" w:eastAsia="ja-JP"/>
        </w:rPr>
        <w:t xml:space="preserve">, </w:t>
      </w:r>
      <w:proofErr w:type="spellStart"/>
      <w:proofErr w:type="gramStart"/>
      <w:r w:rsidRPr="004D42EF">
        <w:rPr>
          <w:rFonts w:eastAsia="SimSun"/>
          <w:lang w:val="es-ES" w:eastAsia="ja-JP"/>
        </w:rPr>
        <w:t>X.sgrtem</w:t>
      </w:r>
      <w:proofErr w:type="spellEnd"/>
      <w:proofErr w:type="gramEnd"/>
      <w:r w:rsidRPr="004D42EF">
        <w:rPr>
          <w:rFonts w:eastAsia="SimSun"/>
          <w:lang w:val="es-ES" w:eastAsia="ja-JP"/>
        </w:rPr>
        <w:t xml:space="preserve">, </w:t>
      </w:r>
      <w:proofErr w:type="spellStart"/>
      <w:proofErr w:type="gramStart"/>
      <w:r w:rsidRPr="004D42EF">
        <w:rPr>
          <w:rFonts w:eastAsia="SimSun"/>
          <w:lang w:val="es-ES" w:eastAsia="ja-JP"/>
        </w:rPr>
        <w:t>X.Supd</w:t>
      </w:r>
      <w:proofErr w:type="spellEnd"/>
      <w:proofErr w:type="gramEnd"/>
      <w:r w:rsidRPr="004D42EF">
        <w:rPr>
          <w:rFonts w:eastAsia="SimSun"/>
          <w:lang w:val="es-ES" w:eastAsia="ja-JP"/>
        </w:rPr>
        <w:t xml:space="preserve">, </w:t>
      </w:r>
      <w:proofErr w:type="spellStart"/>
      <w:proofErr w:type="gramStart"/>
      <w:r w:rsidRPr="004D42EF">
        <w:rPr>
          <w:rFonts w:eastAsia="SimSun"/>
          <w:lang w:val="es-ES" w:eastAsia="ja-JP"/>
        </w:rPr>
        <w:t>X.srgsc</w:t>
      </w:r>
      <w:proofErr w:type="spellEnd"/>
      <w:proofErr w:type="gramEnd"/>
      <w:r w:rsidRPr="004D42EF">
        <w:rPr>
          <w:rFonts w:eastAsia="SimSun"/>
          <w:lang w:val="es-ES" w:eastAsia="ja-JP"/>
        </w:rPr>
        <w:t xml:space="preserve">, </w:t>
      </w:r>
      <w:proofErr w:type="spellStart"/>
      <w:proofErr w:type="gramStart"/>
      <w:r w:rsidRPr="004D42EF">
        <w:rPr>
          <w:rFonts w:eastAsia="SimSun"/>
          <w:lang w:val="es-ES" w:eastAsia="ja-JP"/>
        </w:rPr>
        <w:t>X.srgsdcs</w:t>
      </w:r>
      <w:proofErr w:type="spellEnd"/>
      <w:proofErr w:type="gramEnd"/>
      <w:r w:rsidRPr="004D42EF">
        <w:rPr>
          <w:rFonts w:eastAsia="SimSun"/>
          <w:lang w:val="es-ES" w:eastAsia="ja-JP"/>
        </w:rPr>
        <w:t>, X.tc-</w:t>
      </w:r>
      <w:proofErr w:type="spellStart"/>
      <w:r w:rsidRPr="004D42EF">
        <w:rPr>
          <w:rFonts w:eastAsia="SimSun"/>
          <w:lang w:val="es-ES" w:eastAsia="ja-JP"/>
        </w:rPr>
        <w:t>ifd</w:t>
      </w:r>
      <w:proofErr w:type="spellEnd"/>
      <w:r w:rsidRPr="004D42EF">
        <w:rPr>
          <w:rFonts w:eastAsia="SimSun"/>
          <w:lang w:val="es-ES" w:eastAsia="ja-JP"/>
        </w:rPr>
        <w:t xml:space="preserve">, </w:t>
      </w:r>
      <w:proofErr w:type="spellStart"/>
      <w:proofErr w:type="gramStart"/>
      <w:r w:rsidRPr="004D42EF">
        <w:rPr>
          <w:rFonts w:eastAsia="SimSun"/>
          <w:lang w:val="es-ES" w:eastAsia="ja-JP"/>
        </w:rPr>
        <w:t>X.vide</w:t>
      </w:r>
      <w:proofErr w:type="spellEnd"/>
      <w:proofErr w:type="gramEnd"/>
      <w:r w:rsidRPr="004D42EF">
        <w:rPr>
          <w:rFonts w:eastAsia="SimSun"/>
          <w:lang w:val="es-ES" w:eastAsia="ja-JP"/>
        </w:rPr>
        <w:t xml:space="preserve"> </w:t>
      </w:r>
      <w:r>
        <w:rPr>
          <w:rFonts w:eastAsia="SimSun"/>
          <w:lang w:val="es-ES" w:eastAsia="ja-JP"/>
        </w:rPr>
        <w:t>e Informe Técnico</w:t>
      </w:r>
      <w:r w:rsidRPr="004D42EF">
        <w:rPr>
          <w:rFonts w:eastAsia="SimSun"/>
          <w:lang w:val="es-ES" w:eastAsia="ja-JP"/>
        </w:rPr>
        <w:t xml:space="preserve"> </w:t>
      </w:r>
      <w:proofErr w:type="spellStart"/>
      <w:r w:rsidRPr="004D42EF">
        <w:rPr>
          <w:rFonts w:eastAsia="SimSun"/>
          <w:lang w:val="es-ES" w:eastAsia="ja-JP"/>
        </w:rPr>
        <w:t>XSTR.dpama</w:t>
      </w:r>
      <w:proofErr w:type="spellEnd"/>
      <w:r w:rsidRPr="004D42EF">
        <w:rPr>
          <w:rFonts w:eastAsia="SimSun"/>
          <w:lang w:val="es-ES" w:eastAsia="ja-JP"/>
        </w:rPr>
        <w:t>.</w:t>
      </w:r>
    </w:p>
    <w:p w14:paraId="471638C3" w14:textId="77777777" w:rsidR="00AC335B" w:rsidRPr="009033BC" w:rsidRDefault="00AC335B" w:rsidP="00AC335B">
      <w:pPr>
        <w:pStyle w:val="Heading3"/>
        <w:rPr>
          <w:lang w:val="es-ES"/>
        </w:rPr>
      </w:pPr>
      <w:r w:rsidRPr="009033BC">
        <w:rPr>
          <w:lang w:val="es-ES"/>
        </w:rPr>
        <w:t>2</w:t>
      </w:r>
      <w:r w:rsidRPr="009033BC">
        <w:rPr>
          <w:lang w:val="es-ES"/>
        </w:rPr>
        <w:tab/>
      </w:r>
      <w:proofErr w:type="gramStart"/>
      <w:r w:rsidRPr="009033BC">
        <w:rPr>
          <w:lang w:val="es-ES"/>
        </w:rPr>
        <w:t>Cuestión</w:t>
      </w:r>
      <w:proofErr w:type="gramEnd"/>
    </w:p>
    <w:p w14:paraId="3A8C75B2" w14:textId="77777777" w:rsidR="00AC335B" w:rsidRPr="004D42EF" w:rsidRDefault="00AC335B" w:rsidP="00AC335B">
      <w:pPr>
        <w:rPr>
          <w:rFonts w:eastAsia="SimSun"/>
          <w:lang w:val="es-ES" w:eastAsia="ja-JP"/>
        </w:rPr>
      </w:pPr>
      <w:r w:rsidRPr="00091F8F">
        <w:t>Los temas de estudio que se han de considerar son, entre otros</w:t>
      </w:r>
      <w:r w:rsidRPr="004D42EF">
        <w:rPr>
          <w:rFonts w:eastAsia="SimSun"/>
          <w:lang w:val="es-ES" w:eastAsia="ja-JP"/>
        </w:rPr>
        <w:t>:</w:t>
      </w:r>
    </w:p>
    <w:p w14:paraId="398BF3DF" w14:textId="77777777" w:rsidR="00AC335B" w:rsidRPr="004D42EF" w:rsidRDefault="00AC335B" w:rsidP="00AC335B">
      <w:pPr>
        <w:pStyle w:val="enumlev1"/>
        <w:rPr>
          <w:lang w:val="es-ES"/>
        </w:rPr>
      </w:pPr>
      <w:r w:rsidRPr="004D42EF">
        <w:rPr>
          <w:lang w:val="es-ES"/>
        </w:rPr>
        <w:t>–</w:t>
      </w:r>
      <w:r w:rsidRPr="004D42EF">
        <w:rPr>
          <w:lang w:val="es-ES"/>
        </w:rPr>
        <w:tab/>
      </w:r>
      <w:r w:rsidRPr="00091F8F">
        <w:t>¿Cómo identificar y tratar las amenazas que acechan a los servicios de aplicación seguros?</w:t>
      </w:r>
    </w:p>
    <w:p w14:paraId="4917936B"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¿Cuáles son las técnicas de seguridad necesarias para los servicios de aplicación seguros?</w:t>
      </w:r>
    </w:p>
    <w:p w14:paraId="287F4ECF"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¿Cómo pueden mantenerse la interconexión segura entre servicios de aplicación?</w:t>
      </w:r>
    </w:p>
    <w:p w14:paraId="36FF13FF"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¿Qué técnicas de seguridad o protocolos son necesarios para los servicios de aplicación seguros?</w:t>
      </w:r>
    </w:p>
    <w:p w14:paraId="72AEEB56"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¿Qué técnicas de seguridad o protocolos son necesarios para los nuevos servicios de aplicación seguros, en particular la plataforma de servicios, los servicios financieros digitales y los servicios OTT?</w:t>
      </w:r>
    </w:p>
    <w:p w14:paraId="3B8729F2"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¿Qué medidas de protección de datos son necesarias para mitigar los riesgos de seguridad de los datos en las aplicaciones y los servicios de TIC?</w:t>
      </w:r>
    </w:p>
    <w:p w14:paraId="4B60EB60" w14:textId="77777777" w:rsidR="00AC335B" w:rsidRPr="004D42EF" w:rsidRDefault="00AC335B" w:rsidP="00AC335B">
      <w:pPr>
        <w:pStyle w:val="enumlev1"/>
        <w:rPr>
          <w:lang w:val="es-ES"/>
        </w:rPr>
      </w:pPr>
      <w:r w:rsidRPr="004D42EF">
        <w:rPr>
          <w:lang w:val="es-ES"/>
        </w:rPr>
        <w:t>–</w:t>
      </w:r>
      <w:r w:rsidRPr="004D42EF">
        <w:rPr>
          <w:lang w:val="es-ES"/>
        </w:rPr>
        <w:tab/>
      </w:r>
      <w:r w:rsidRPr="00091F8F">
        <w:rPr>
          <w:lang w:eastAsia="ko-KR"/>
        </w:rPr>
        <w:t>¿Cuáles son las soluciones globales para los servicios de aplicación seguros y sus aplicaciones</w:t>
      </w:r>
      <w:r w:rsidRPr="00091F8F">
        <w:rPr>
          <w:lang w:eastAsia="ja-JP"/>
        </w:rPr>
        <w:t>?</w:t>
      </w:r>
    </w:p>
    <w:p w14:paraId="6032A022" w14:textId="77777777" w:rsidR="00AC335B" w:rsidRPr="004D42EF" w:rsidRDefault="00AC335B" w:rsidP="00AC335B">
      <w:pPr>
        <w:pStyle w:val="Heading3"/>
        <w:rPr>
          <w:lang w:val="es-ES"/>
        </w:rPr>
      </w:pPr>
      <w:r w:rsidRPr="004D42EF">
        <w:rPr>
          <w:lang w:val="es-ES"/>
        </w:rPr>
        <w:t>3</w:t>
      </w:r>
      <w:r w:rsidRPr="004D42EF">
        <w:rPr>
          <w:lang w:val="es-ES"/>
        </w:rPr>
        <w:tab/>
      </w:r>
      <w:proofErr w:type="gramStart"/>
      <w:r w:rsidRPr="004D42EF">
        <w:rPr>
          <w:lang w:val="es-ES"/>
        </w:rPr>
        <w:t>Tareas</w:t>
      </w:r>
      <w:proofErr w:type="gramEnd"/>
    </w:p>
    <w:p w14:paraId="11362586" w14:textId="77777777" w:rsidR="00AC335B" w:rsidRPr="004D42EF" w:rsidRDefault="00AC335B" w:rsidP="00AC335B">
      <w:pPr>
        <w:rPr>
          <w:rFonts w:eastAsia="SimSun"/>
          <w:lang w:val="es-ES" w:eastAsia="ja-JP"/>
        </w:rPr>
      </w:pPr>
      <w:r w:rsidRPr="004D42EF">
        <w:rPr>
          <w:rFonts w:eastAsia="SimSun"/>
          <w:lang w:val="es-ES" w:eastAsia="ja-JP"/>
        </w:rPr>
        <w:t>Las tareas son, entre otras:</w:t>
      </w:r>
    </w:p>
    <w:p w14:paraId="654A521B" w14:textId="77777777" w:rsidR="00AC335B" w:rsidRPr="004D42EF" w:rsidRDefault="00AC335B" w:rsidP="00AC335B">
      <w:pPr>
        <w:pStyle w:val="enumlev1"/>
        <w:rPr>
          <w:lang w:val="es-ES"/>
        </w:rPr>
      </w:pPr>
      <w:r w:rsidRPr="004D42EF">
        <w:rPr>
          <w:lang w:val="es-ES"/>
        </w:rPr>
        <w:t>–</w:t>
      </w:r>
      <w:r w:rsidRPr="004D42EF">
        <w:rPr>
          <w:lang w:val="es-ES"/>
        </w:rPr>
        <w:tab/>
      </w:r>
      <w:r>
        <w:t>Preparar, e</w:t>
      </w:r>
      <w:r w:rsidRPr="00091F8F">
        <w:rPr>
          <w:rFonts w:eastAsia="Gulim"/>
        </w:rPr>
        <w:t>n colaboración con otras Comisiones de Estudio del UIT-T y otras organizaciones de normalización, en particular el JTC 1/SC 27 de la ISO/CEI, un conjunto de Recomendaciones que proporcionen soluciones de seguridad completas para los servicios de aplicaciones seguros</w:t>
      </w:r>
      <w:r w:rsidRPr="004D42EF">
        <w:rPr>
          <w:lang w:val="es-ES"/>
        </w:rPr>
        <w:t>.</w:t>
      </w:r>
    </w:p>
    <w:p w14:paraId="6F3CBA23" w14:textId="77777777" w:rsidR="00AC335B" w:rsidRPr="004D42EF" w:rsidRDefault="00AC335B" w:rsidP="00AC335B">
      <w:pPr>
        <w:pStyle w:val="enumlev1"/>
        <w:rPr>
          <w:lang w:val="es-ES"/>
        </w:rPr>
      </w:pPr>
      <w:r w:rsidRPr="004D42EF">
        <w:rPr>
          <w:lang w:val="es-ES"/>
        </w:rPr>
        <w:t>–</w:t>
      </w:r>
      <w:r w:rsidRPr="004D42EF">
        <w:rPr>
          <w:lang w:val="es-ES"/>
        </w:rPr>
        <w:tab/>
      </w:r>
      <w:r w:rsidRPr="00091F8F">
        <w:rPr>
          <w:rFonts w:eastAsia="MS PGothic"/>
        </w:rPr>
        <w:t>Examinar las Recomendaciones UIT-T y las normas ISO/CEI relativas a los servicios de aplicación seguros</w:t>
      </w:r>
      <w:r w:rsidRPr="004D42EF">
        <w:rPr>
          <w:lang w:val="es-ES"/>
        </w:rPr>
        <w:t>.</w:t>
      </w:r>
    </w:p>
    <w:p w14:paraId="07BDB2E0" w14:textId="77777777" w:rsidR="00AC335B" w:rsidRPr="004D42EF" w:rsidRDefault="00AC335B" w:rsidP="00AC335B">
      <w:pPr>
        <w:pStyle w:val="enumlev1"/>
        <w:rPr>
          <w:lang w:val="es-ES"/>
        </w:rPr>
      </w:pPr>
      <w:r w:rsidRPr="004D42EF">
        <w:rPr>
          <w:lang w:val="es-ES"/>
        </w:rPr>
        <w:t>–</w:t>
      </w:r>
      <w:r w:rsidRPr="004D42EF">
        <w:rPr>
          <w:lang w:val="es-ES"/>
        </w:rPr>
        <w:tab/>
      </w:r>
      <w:r w:rsidRPr="00091F8F">
        <w:t>Proseguir los estudios encaminados a definir los aspectos relativos a la seguridad para los servicios de aplicación seguros y los nuevos servicios, como los servicios financieros digitales y los servicios OTT</w:t>
      </w:r>
      <w:r w:rsidRPr="004D42EF">
        <w:rPr>
          <w:lang w:val="es-ES"/>
        </w:rPr>
        <w:t>.</w:t>
      </w:r>
    </w:p>
    <w:p w14:paraId="1383ED0E" w14:textId="77777777" w:rsidR="00AC335B" w:rsidRPr="004D42EF" w:rsidRDefault="00AC335B" w:rsidP="00AC335B">
      <w:pPr>
        <w:pStyle w:val="enumlev1"/>
        <w:rPr>
          <w:lang w:val="es-ES"/>
        </w:rPr>
      </w:pPr>
      <w:r w:rsidRPr="004D42EF">
        <w:rPr>
          <w:lang w:val="es-ES"/>
        </w:rPr>
        <w:lastRenderedPageBreak/>
        <w:t>–</w:t>
      </w:r>
      <w:r w:rsidRPr="004D42EF">
        <w:rPr>
          <w:lang w:val="es-ES"/>
        </w:rPr>
        <w:tab/>
      </w:r>
      <w:r w:rsidRPr="00091F8F">
        <w:rPr>
          <w:rFonts w:eastAsia="MS PGothic"/>
        </w:rPr>
        <w:t>Estudiar y solucionar los problemas de seguridad y las amenazas en los servicios de aplicación seguros</w:t>
      </w:r>
      <w:r w:rsidRPr="004D42EF">
        <w:rPr>
          <w:lang w:val="es-ES"/>
        </w:rPr>
        <w:t>.</w:t>
      </w:r>
    </w:p>
    <w:p w14:paraId="4729F5F9" w14:textId="77777777" w:rsidR="00AC335B" w:rsidRPr="004D42EF" w:rsidRDefault="00AC335B" w:rsidP="00AC335B">
      <w:pPr>
        <w:pStyle w:val="enumlev1"/>
        <w:rPr>
          <w:lang w:val="es-ES"/>
        </w:rPr>
      </w:pPr>
      <w:r w:rsidRPr="004D42EF">
        <w:rPr>
          <w:lang w:val="es-ES"/>
        </w:rPr>
        <w:t>–</w:t>
      </w:r>
      <w:r w:rsidRPr="004D42EF">
        <w:rPr>
          <w:lang w:val="es-ES"/>
        </w:rPr>
        <w:tab/>
      </w:r>
      <w:r w:rsidRPr="00091F8F">
        <w:t>Estudiar y analizar los riesgos de seguridad de datos en las aplicaciones y los servicios de las TIC</w:t>
      </w:r>
      <w:r w:rsidRPr="004D42EF">
        <w:rPr>
          <w:lang w:val="es-ES"/>
        </w:rPr>
        <w:t>.</w:t>
      </w:r>
    </w:p>
    <w:p w14:paraId="2FCE1AAA" w14:textId="77777777" w:rsidR="00AC335B" w:rsidRPr="004D42EF" w:rsidRDefault="00AC335B" w:rsidP="00AC335B">
      <w:pPr>
        <w:pStyle w:val="enumlev1"/>
        <w:rPr>
          <w:lang w:val="es-ES"/>
        </w:rPr>
      </w:pPr>
      <w:r w:rsidRPr="004D42EF">
        <w:rPr>
          <w:lang w:val="es-ES"/>
        </w:rPr>
        <w:t>–</w:t>
      </w:r>
      <w:r w:rsidRPr="004D42EF">
        <w:rPr>
          <w:lang w:val="es-ES"/>
        </w:rPr>
        <w:tab/>
      </w:r>
      <w:r w:rsidRPr="00091F8F">
        <w:t>Estudiar y analizar los mecanismos de interconectividad para servicios de aplicación seguros</w:t>
      </w:r>
      <w:r w:rsidRPr="004D42EF">
        <w:rPr>
          <w:lang w:val="es-ES"/>
        </w:rPr>
        <w:t>.</w:t>
      </w:r>
    </w:p>
    <w:p w14:paraId="10E1B0FF" w14:textId="77777777" w:rsidR="00AC335B" w:rsidRPr="004D42EF" w:rsidRDefault="00AC335B" w:rsidP="00AC335B">
      <w:pPr>
        <w:pStyle w:val="enumlev1"/>
        <w:rPr>
          <w:rFonts w:eastAsia="SimSun"/>
          <w:lang w:val="es-ES" w:eastAsia="zh-CN"/>
        </w:rPr>
      </w:pPr>
      <w:r w:rsidRPr="004D42EF">
        <w:rPr>
          <w:rFonts w:eastAsia="SimSun" w:hint="eastAsia"/>
          <w:lang w:val="es-ES" w:eastAsia="zh-CN"/>
        </w:rPr>
        <w:t>–</w:t>
      </w:r>
      <w:r w:rsidRPr="004D42EF">
        <w:rPr>
          <w:rFonts w:eastAsia="SimSun" w:hint="eastAsia"/>
          <w:lang w:val="es-ES" w:eastAsia="zh-CN"/>
        </w:rPr>
        <w:tab/>
      </w:r>
      <w:r w:rsidRPr="004D42EF">
        <w:rPr>
          <w:rFonts w:eastAsia="SimSun"/>
          <w:lang w:val="es-ES" w:eastAsia="zh-CN"/>
        </w:rPr>
        <w:t xml:space="preserve">Estudiar y desarrollar los aspectos de seguridad de la IA </w:t>
      </w:r>
      <w:proofErr w:type="spellStart"/>
      <w:r w:rsidRPr="004D42EF">
        <w:rPr>
          <w:rFonts w:eastAsia="SimSun"/>
          <w:lang w:val="es-ES" w:eastAsia="zh-CN"/>
        </w:rPr>
        <w:t>ag</w:t>
      </w:r>
      <w:r>
        <w:rPr>
          <w:rFonts w:eastAsia="SimSun"/>
          <w:lang w:val="es-ES" w:eastAsia="zh-CN"/>
        </w:rPr>
        <w:t>é</w:t>
      </w:r>
      <w:r w:rsidRPr="004D42EF">
        <w:rPr>
          <w:rFonts w:eastAsia="SimSun"/>
          <w:lang w:val="es-ES" w:eastAsia="zh-CN"/>
        </w:rPr>
        <w:t>nti</w:t>
      </w:r>
      <w:r>
        <w:rPr>
          <w:rFonts w:eastAsia="SimSun"/>
          <w:lang w:val="es-ES" w:eastAsia="zh-CN"/>
        </w:rPr>
        <w:t>c</w:t>
      </w:r>
      <w:r w:rsidRPr="004D42EF">
        <w:rPr>
          <w:rFonts w:eastAsia="SimSun"/>
          <w:lang w:val="es-ES" w:eastAsia="zh-CN"/>
        </w:rPr>
        <w:t>a</w:t>
      </w:r>
      <w:proofErr w:type="spellEnd"/>
      <w:r w:rsidRPr="004D42EF">
        <w:rPr>
          <w:rFonts w:eastAsia="SimSun"/>
          <w:lang w:val="es-ES" w:eastAsia="zh-CN"/>
        </w:rPr>
        <w:t xml:space="preserve"> aplicada aplicaciones y servicios, incluida la seguridad de los agentes inteligentes relacionados con aplicaciones y servicios como las aplicaciones web, los servicios de operador, el comercio electrónico</w:t>
      </w:r>
      <w:r>
        <w:rPr>
          <w:rFonts w:eastAsia="SimSun"/>
          <w:lang w:val="es-ES" w:eastAsia="zh-CN"/>
        </w:rPr>
        <w:t xml:space="preserve"> y las finanzas digitales, entre otros</w:t>
      </w:r>
      <w:r w:rsidRPr="004D42EF">
        <w:rPr>
          <w:rFonts w:eastAsia="SimSun" w:hint="eastAsia"/>
          <w:lang w:val="es-ES" w:eastAsia="zh-CN"/>
        </w:rPr>
        <w:t xml:space="preserve">. </w:t>
      </w:r>
    </w:p>
    <w:p w14:paraId="3D4FD3D2" w14:textId="77777777" w:rsidR="00AC335B" w:rsidRPr="004D42EF" w:rsidRDefault="00AC335B" w:rsidP="00AC335B">
      <w:pPr>
        <w:pStyle w:val="enumlev1"/>
        <w:rPr>
          <w:lang w:val="es-ES"/>
        </w:rPr>
      </w:pPr>
      <w:r w:rsidRPr="004D42EF">
        <w:rPr>
          <w:lang w:val="es-ES"/>
        </w:rPr>
        <w:t>–</w:t>
      </w:r>
      <w:r w:rsidRPr="004D42EF">
        <w:rPr>
          <w:lang w:val="es-ES"/>
        </w:rPr>
        <w:tab/>
        <w:t>Estudiar y desarrollar arquitecturas, marcos, modelos y medidas de protección de dato</w:t>
      </w:r>
      <w:r>
        <w:rPr>
          <w:lang w:val="es-ES"/>
        </w:rPr>
        <w:t xml:space="preserve">s para servicios de aplicaciones seguros y de protección de datos para la IA </w:t>
      </w:r>
      <w:proofErr w:type="spellStart"/>
      <w:r>
        <w:rPr>
          <w:lang w:val="es-ES"/>
        </w:rPr>
        <w:t>agéntica</w:t>
      </w:r>
      <w:proofErr w:type="spellEnd"/>
      <w:r w:rsidRPr="004D42EF">
        <w:rPr>
          <w:lang w:val="es-ES"/>
        </w:rPr>
        <w:t>.</w:t>
      </w:r>
    </w:p>
    <w:p w14:paraId="3A7DE712" w14:textId="77777777" w:rsidR="00AC335B" w:rsidRPr="004D42EF" w:rsidRDefault="00AC335B" w:rsidP="00AC335B">
      <w:pPr>
        <w:rPr>
          <w:rFonts w:eastAsia="SimSun"/>
          <w:lang w:val="es-ES" w:eastAsia="ja-JP"/>
        </w:rPr>
      </w:pPr>
      <w:r w:rsidRPr="00091F8F">
        <w:t>La situación actual de los trabajos relativos a esta Cuestión figura en el programa de trabajo de la CE 17 en</w:t>
      </w:r>
      <w:r w:rsidRPr="004D42EF">
        <w:rPr>
          <w:rFonts w:eastAsia="SimSun"/>
          <w:lang w:val="es-ES" w:eastAsia="ja-JP"/>
        </w:rPr>
        <w:t xml:space="preserve"> </w:t>
      </w:r>
      <w:hyperlink r:id="rId11" w:history="1">
        <w:r w:rsidRPr="004D42EF">
          <w:rPr>
            <w:rFonts w:eastAsia="SimSun"/>
            <w:color w:val="0000FF"/>
            <w:u w:val="single"/>
            <w:lang w:val="es-ES" w:eastAsia="ja-JP"/>
          </w:rPr>
          <w:t>https://www.itu.int/ITU-T/workprog/wp_search.aspx?sp=18&amp;q=7/17</w:t>
        </w:r>
      </w:hyperlink>
      <w:r w:rsidRPr="004D42EF">
        <w:rPr>
          <w:rFonts w:eastAsia="SimSun"/>
          <w:lang w:val="es-ES" w:eastAsia="ja-JP"/>
        </w:rPr>
        <w:t>.</w:t>
      </w:r>
    </w:p>
    <w:p w14:paraId="0B1677D5" w14:textId="77777777" w:rsidR="00AC335B" w:rsidRPr="009033BC" w:rsidRDefault="00AC335B" w:rsidP="00AC335B">
      <w:pPr>
        <w:pStyle w:val="Heading3"/>
        <w:rPr>
          <w:lang w:val="es-ES"/>
        </w:rPr>
      </w:pPr>
      <w:r w:rsidRPr="009033BC">
        <w:rPr>
          <w:lang w:val="es-ES"/>
        </w:rPr>
        <w:t>4</w:t>
      </w:r>
      <w:r w:rsidRPr="009033BC">
        <w:rPr>
          <w:lang w:val="es-ES"/>
        </w:rPr>
        <w:tab/>
      </w:r>
      <w:proofErr w:type="gramStart"/>
      <w:r w:rsidRPr="009033BC">
        <w:rPr>
          <w:lang w:val="es-ES"/>
        </w:rPr>
        <w:t>Relaciones</w:t>
      </w:r>
      <w:proofErr w:type="gramEnd"/>
    </w:p>
    <w:p w14:paraId="77FFD522" w14:textId="77777777" w:rsidR="00AC335B" w:rsidRPr="004D42EF" w:rsidRDefault="00AC335B" w:rsidP="00AC335B">
      <w:pPr>
        <w:pStyle w:val="Headingb0"/>
        <w:rPr>
          <w:rFonts w:eastAsia="SimSun"/>
          <w:lang w:val="es-ES" w:eastAsia="ja-JP"/>
        </w:rPr>
      </w:pPr>
      <w:r w:rsidRPr="004D42EF">
        <w:rPr>
          <w:rFonts w:eastAsia="SimSun"/>
          <w:lang w:val="es-ES" w:eastAsia="ja-JP"/>
        </w:rPr>
        <w:t>Recomendaciones:</w:t>
      </w:r>
    </w:p>
    <w:p w14:paraId="2CA06061" w14:textId="79A8CF2A" w:rsidR="00AC335B" w:rsidRPr="004D42EF" w:rsidRDefault="00AC335B" w:rsidP="00AC335B">
      <w:pPr>
        <w:pStyle w:val="enumlev1"/>
        <w:rPr>
          <w:lang w:val="es-ES"/>
        </w:rPr>
      </w:pPr>
      <w:r w:rsidRPr="004D42EF">
        <w:rPr>
          <w:lang w:val="es-ES"/>
        </w:rPr>
        <w:t>–</w:t>
      </w:r>
      <w:r w:rsidRPr="004D42EF">
        <w:rPr>
          <w:lang w:val="es-ES"/>
        </w:rPr>
        <w:tab/>
      </w:r>
      <w:r w:rsidRPr="00091F8F">
        <w:t>Serie X.800 y otras relacionadas con la seguridad</w:t>
      </w:r>
    </w:p>
    <w:p w14:paraId="1F9E39CA" w14:textId="77777777" w:rsidR="00AC335B" w:rsidRPr="004D42EF" w:rsidRDefault="00AC335B" w:rsidP="00AC335B">
      <w:pPr>
        <w:pStyle w:val="Headingb0"/>
        <w:rPr>
          <w:rFonts w:eastAsia="SimSun"/>
          <w:lang w:val="es-ES" w:eastAsia="ja-JP"/>
        </w:rPr>
      </w:pPr>
      <w:r w:rsidRPr="004D42EF">
        <w:rPr>
          <w:rFonts w:eastAsia="SimSun"/>
          <w:lang w:val="es-ES" w:eastAsia="ja-JP"/>
        </w:rPr>
        <w:t>Cuestiones:</w:t>
      </w:r>
    </w:p>
    <w:p w14:paraId="141BB7FA" w14:textId="77777777" w:rsidR="00AC335B" w:rsidRPr="004D42EF" w:rsidRDefault="00AC335B" w:rsidP="00AC335B">
      <w:pPr>
        <w:pStyle w:val="enumlev1"/>
        <w:rPr>
          <w:lang w:val="es-ES"/>
        </w:rPr>
      </w:pPr>
      <w:r w:rsidRPr="004D42EF">
        <w:rPr>
          <w:lang w:val="es-ES"/>
        </w:rPr>
        <w:t>–</w:t>
      </w:r>
      <w:r w:rsidRPr="004D42EF">
        <w:rPr>
          <w:lang w:val="es-ES"/>
        </w:rPr>
        <w:tab/>
        <w:t>Todas las Cuestiones de la CE 17 del U</w:t>
      </w:r>
      <w:r>
        <w:rPr>
          <w:lang w:val="es-ES"/>
        </w:rPr>
        <w:t>IT-T</w:t>
      </w:r>
    </w:p>
    <w:p w14:paraId="066DB123" w14:textId="77777777" w:rsidR="00AC335B" w:rsidRPr="00627958" w:rsidRDefault="00AC335B" w:rsidP="00AC335B">
      <w:pPr>
        <w:pStyle w:val="Headingb0"/>
        <w:rPr>
          <w:rFonts w:eastAsia="SimSun"/>
          <w:lang w:val="fr-FR" w:eastAsia="ja-JP"/>
        </w:rPr>
      </w:pPr>
      <w:proofErr w:type="spellStart"/>
      <w:r w:rsidRPr="00627958">
        <w:rPr>
          <w:rFonts w:eastAsia="SimSun"/>
          <w:lang w:val="fr-FR" w:eastAsia="ja-JP"/>
        </w:rPr>
        <w:t>Comisiones</w:t>
      </w:r>
      <w:proofErr w:type="spellEnd"/>
      <w:r w:rsidRPr="00627958">
        <w:rPr>
          <w:rFonts w:eastAsia="SimSun"/>
          <w:lang w:val="fr-FR" w:eastAsia="ja-JP"/>
        </w:rPr>
        <w:t xml:space="preserve"> de </w:t>
      </w:r>
      <w:proofErr w:type="spellStart"/>
      <w:proofErr w:type="gramStart"/>
      <w:r w:rsidRPr="00627958">
        <w:rPr>
          <w:rFonts w:eastAsia="SimSun"/>
          <w:lang w:val="fr-FR" w:eastAsia="ja-JP"/>
        </w:rPr>
        <w:t>Estudio</w:t>
      </w:r>
      <w:proofErr w:type="spellEnd"/>
      <w:r w:rsidRPr="00627958">
        <w:rPr>
          <w:rFonts w:eastAsia="SimSun"/>
          <w:lang w:val="fr-FR" w:eastAsia="ja-JP"/>
        </w:rPr>
        <w:t>:</w:t>
      </w:r>
      <w:proofErr w:type="gramEnd"/>
    </w:p>
    <w:p w14:paraId="393151D9" w14:textId="77777777" w:rsidR="00AC335B" w:rsidRPr="002B3D7D" w:rsidRDefault="00AC335B" w:rsidP="00AC335B">
      <w:pPr>
        <w:pStyle w:val="enumlev1"/>
        <w:rPr>
          <w:lang w:val="fr-CH"/>
        </w:rPr>
      </w:pPr>
      <w:r w:rsidRPr="002B3D7D">
        <w:rPr>
          <w:lang w:val="fr-CH"/>
        </w:rPr>
        <w:t>–</w:t>
      </w:r>
      <w:r w:rsidRPr="002B3D7D">
        <w:rPr>
          <w:lang w:val="fr-CH"/>
        </w:rPr>
        <w:tab/>
        <w:t xml:space="preserve">CE 2 </w:t>
      </w:r>
      <w:proofErr w:type="spellStart"/>
      <w:r w:rsidRPr="002B3D7D">
        <w:rPr>
          <w:lang w:val="fr-CH"/>
        </w:rPr>
        <w:t>del</w:t>
      </w:r>
      <w:proofErr w:type="spellEnd"/>
      <w:r w:rsidRPr="002B3D7D">
        <w:rPr>
          <w:lang w:val="fr-CH"/>
        </w:rPr>
        <w:t xml:space="preserve"> UIT-T</w:t>
      </w:r>
    </w:p>
    <w:p w14:paraId="341DCC46" w14:textId="1D388856" w:rsidR="00AC335B" w:rsidRPr="002B3D7D" w:rsidRDefault="00AC335B" w:rsidP="00AC335B">
      <w:pPr>
        <w:pStyle w:val="enumlev1"/>
        <w:rPr>
          <w:lang w:val="fr-CH"/>
        </w:rPr>
      </w:pPr>
      <w:r w:rsidRPr="002B3D7D">
        <w:rPr>
          <w:lang w:val="fr-CH"/>
        </w:rPr>
        <w:t>–</w:t>
      </w:r>
      <w:r w:rsidRPr="002B3D7D">
        <w:rPr>
          <w:lang w:val="fr-CH"/>
        </w:rPr>
        <w:tab/>
        <w:t xml:space="preserve">CE 11 </w:t>
      </w:r>
      <w:proofErr w:type="spellStart"/>
      <w:r w:rsidRPr="002B3D7D">
        <w:rPr>
          <w:lang w:val="fr-CH"/>
        </w:rPr>
        <w:t>del</w:t>
      </w:r>
      <w:proofErr w:type="spellEnd"/>
      <w:r w:rsidRPr="002B3D7D">
        <w:rPr>
          <w:lang w:val="fr-CH"/>
        </w:rPr>
        <w:t xml:space="preserve"> UIT-T</w:t>
      </w:r>
    </w:p>
    <w:p w14:paraId="7632561E" w14:textId="1CD30E3B" w:rsidR="00AC335B" w:rsidRPr="002B3D7D" w:rsidRDefault="00AC335B" w:rsidP="00AC335B">
      <w:pPr>
        <w:pStyle w:val="enumlev1"/>
        <w:rPr>
          <w:lang w:val="fr-CH"/>
        </w:rPr>
      </w:pPr>
      <w:r w:rsidRPr="002B3D7D">
        <w:rPr>
          <w:lang w:val="fr-CH"/>
        </w:rPr>
        <w:t>–</w:t>
      </w:r>
      <w:r w:rsidRPr="002B3D7D">
        <w:rPr>
          <w:lang w:val="fr-CH"/>
        </w:rPr>
        <w:tab/>
        <w:t xml:space="preserve">CE 13 </w:t>
      </w:r>
      <w:proofErr w:type="spellStart"/>
      <w:r w:rsidRPr="002B3D7D">
        <w:rPr>
          <w:lang w:val="fr-CH"/>
        </w:rPr>
        <w:t>del</w:t>
      </w:r>
      <w:proofErr w:type="spellEnd"/>
      <w:r w:rsidRPr="002B3D7D">
        <w:rPr>
          <w:lang w:val="fr-CH"/>
        </w:rPr>
        <w:t xml:space="preserve"> UIT-T</w:t>
      </w:r>
    </w:p>
    <w:p w14:paraId="041EC20D" w14:textId="67D5AFBE" w:rsidR="00AC335B" w:rsidRPr="002B3D7D" w:rsidRDefault="00AC335B" w:rsidP="00AC335B">
      <w:pPr>
        <w:pStyle w:val="enumlev1"/>
        <w:rPr>
          <w:lang w:val="fr-CH"/>
        </w:rPr>
      </w:pPr>
      <w:r w:rsidRPr="002B3D7D">
        <w:rPr>
          <w:lang w:val="fr-CH"/>
        </w:rPr>
        <w:t>–</w:t>
      </w:r>
      <w:r w:rsidRPr="002B3D7D">
        <w:rPr>
          <w:lang w:val="fr-CH"/>
        </w:rPr>
        <w:tab/>
        <w:t xml:space="preserve">CE 20 </w:t>
      </w:r>
      <w:proofErr w:type="spellStart"/>
      <w:r w:rsidRPr="002B3D7D">
        <w:rPr>
          <w:lang w:val="fr-CH"/>
        </w:rPr>
        <w:t>del</w:t>
      </w:r>
      <w:proofErr w:type="spellEnd"/>
      <w:r w:rsidRPr="002B3D7D">
        <w:rPr>
          <w:lang w:val="fr-CH"/>
        </w:rPr>
        <w:t xml:space="preserve"> UIT-T</w:t>
      </w:r>
    </w:p>
    <w:p w14:paraId="2B0717A8" w14:textId="0BC402B7" w:rsidR="00AC335B" w:rsidRPr="00091F8F" w:rsidRDefault="00AC335B" w:rsidP="00AC335B">
      <w:pPr>
        <w:pStyle w:val="enumlev1"/>
      </w:pPr>
      <w:r w:rsidRPr="00091F8F">
        <w:t>–</w:t>
      </w:r>
      <w:r w:rsidRPr="00091F8F">
        <w:tab/>
        <w:t>CE 21 del UIT-T</w:t>
      </w:r>
    </w:p>
    <w:p w14:paraId="4A2364F1" w14:textId="77777777" w:rsidR="00AC335B" w:rsidRPr="004D42EF" w:rsidRDefault="00AC335B" w:rsidP="00AC335B">
      <w:pPr>
        <w:pStyle w:val="Headingb0"/>
        <w:rPr>
          <w:rFonts w:eastAsia="SimSun"/>
          <w:lang w:val="es-ES" w:eastAsia="ja-JP"/>
        </w:rPr>
      </w:pPr>
      <w:r>
        <w:rPr>
          <w:rFonts w:eastAsia="SimSun"/>
          <w:lang w:eastAsia="ja-JP"/>
        </w:rPr>
        <w:t>Organismos de normalización</w:t>
      </w:r>
      <w:r w:rsidRPr="004D42EF">
        <w:rPr>
          <w:rFonts w:eastAsia="SimSun"/>
          <w:lang w:val="es-ES" w:eastAsia="ja-JP"/>
        </w:rPr>
        <w:t>:</w:t>
      </w:r>
    </w:p>
    <w:p w14:paraId="4AE45461" w14:textId="77777777" w:rsidR="00AC335B" w:rsidRPr="00091F8F" w:rsidRDefault="00AC335B" w:rsidP="00AC335B">
      <w:pPr>
        <w:pStyle w:val="enumlev1"/>
      </w:pPr>
      <w:r w:rsidRPr="00091F8F">
        <w:t>–</w:t>
      </w:r>
      <w:r w:rsidRPr="00091F8F">
        <w:tab/>
        <w:t>Grupo Especial sobre Ingeniería de Internet (IETF)</w:t>
      </w:r>
    </w:p>
    <w:p w14:paraId="3485FD7B" w14:textId="77777777" w:rsidR="00AC335B" w:rsidRPr="00091F8F" w:rsidRDefault="00AC335B" w:rsidP="00AC335B">
      <w:pPr>
        <w:pStyle w:val="enumlev1"/>
      </w:pPr>
      <w:r w:rsidRPr="00091F8F">
        <w:t>–</w:t>
      </w:r>
      <w:r w:rsidRPr="00091F8F">
        <w:tab/>
        <w:t>Instituto Europeo de Normas de Telecomunicación (ETSI)</w:t>
      </w:r>
    </w:p>
    <w:p w14:paraId="135A3546" w14:textId="77777777" w:rsidR="00AC335B" w:rsidRPr="00091F8F" w:rsidRDefault="00AC335B" w:rsidP="00AC335B">
      <w:pPr>
        <w:pStyle w:val="enumlev1"/>
      </w:pPr>
      <w:r w:rsidRPr="00091F8F">
        <w:t>–</w:t>
      </w:r>
      <w:r w:rsidRPr="00091F8F">
        <w:tab/>
        <w:t>Asociación GSM (GSMA)</w:t>
      </w:r>
    </w:p>
    <w:p w14:paraId="06BA6CE4" w14:textId="77777777" w:rsidR="00AC335B" w:rsidRPr="00091F8F" w:rsidRDefault="00AC335B" w:rsidP="00AC335B">
      <w:pPr>
        <w:pStyle w:val="enumlev1"/>
      </w:pPr>
      <w:r w:rsidRPr="00091F8F">
        <w:t>–</w:t>
      </w:r>
      <w:r w:rsidRPr="00091F8F">
        <w:tab/>
        <w:t>JTC 1/SC 27 de la ISO/CEI; JTC 1/SC 42 de la ISO/CEI</w:t>
      </w:r>
    </w:p>
    <w:p w14:paraId="38F00B9E" w14:textId="77777777" w:rsidR="00AC335B" w:rsidRPr="00091F8F" w:rsidRDefault="00AC335B" w:rsidP="00AC335B">
      <w:pPr>
        <w:pStyle w:val="enumlev1"/>
      </w:pPr>
      <w:r w:rsidRPr="00091F8F">
        <w:t>–</w:t>
      </w:r>
      <w:r w:rsidRPr="00091F8F">
        <w:tab/>
        <w:t>ISO/TC 68; ISO/TC 307</w:t>
      </w:r>
    </w:p>
    <w:p w14:paraId="6BFA8D5A" w14:textId="77777777" w:rsidR="00AC335B" w:rsidRPr="00091F8F" w:rsidRDefault="00AC335B" w:rsidP="00AC335B">
      <w:pPr>
        <w:pStyle w:val="enumlev1"/>
      </w:pPr>
      <w:r w:rsidRPr="00091F8F">
        <w:t>–</w:t>
      </w:r>
      <w:r w:rsidRPr="00091F8F">
        <w:tab/>
        <w:t xml:space="preserve">Iniciativa </w:t>
      </w:r>
      <w:proofErr w:type="spellStart"/>
      <w:r w:rsidRPr="00091F8F">
        <w:t>Kantara</w:t>
      </w:r>
      <w:proofErr w:type="spellEnd"/>
    </w:p>
    <w:p w14:paraId="060DB78D" w14:textId="77777777" w:rsidR="00AC335B" w:rsidRPr="00091F8F" w:rsidRDefault="00AC335B" w:rsidP="00AC335B">
      <w:pPr>
        <w:pStyle w:val="enumlev1"/>
      </w:pPr>
      <w:r w:rsidRPr="00091F8F">
        <w:t>–</w:t>
      </w:r>
      <w:r w:rsidRPr="00091F8F">
        <w:tab/>
        <w:t>Organización para el Desarrollo de Normas relativas a la Información Estructurada (OASIS)</w:t>
      </w:r>
    </w:p>
    <w:p w14:paraId="57474775" w14:textId="77777777" w:rsidR="00AC335B" w:rsidRPr="00091F8F" w:rsidRDefault="00AC335B" w:rsidP="00AC335B">
      <w:pPr>
        <w:pStyle w:val="enumlev1"/>
      </w:pPr>
      <w:r w:rsidRPr="00091F8F">
        <w:t>–</w:t>
      </w:r>
      <w:r w:rsidRPr="00091F8F">
        <w:tab/>
        <w:t>Alianza móvil abierta (OMA)</w:t>
      </w:r>
    </w:p>
    <w:p w14:paraId="648D25EC" w14:textId="77777777" w:rsidR="00AC335B" w:rsidRPr="00091F8F" w:rsidRDefault="00AC335B" w:rsidP="00AC335B">
      <w:pPr>
        <w:pStyle w:val="enumlev1"/>
        <w:rPr>
          <w:highlight w:val="yellow"/>
        </w:rPr>
      </w:pPr>
      <w:r w:rsidRPr="00091F8F">
        <w:t>–</w:t>
      </w:r>
      <w:r w:rsidRPr="00091F8F">
        <w:tab/>
        <w:t>Consorcio WWW (W3C)</w:t>
      </w:r>
    </w:p>
    <w:p w14:paraId="15F4C772" w14:textId="77777777" w:rsidR="00AC335B" w:rsidRPr="004D42EF" w:rsidRDefault="00AC335B" w:rsidP="00AC335B">
      <w:pPr>
        <w:pStyle w:val="Headingb0"/>
        <w:rPr>
          <w:rFonts w:eastAsia="SimSun"/>
          <w:lang w:val="es-ES" w:eastAsia="ja-JP"/>
        </w:rPr>
      </w:pPr>
      <w:r w:rsidRPr="004D42EF">
        <w:rPr>
          <w:rFonts w:eastAsia="SimSun"/>
          <w:lang w:val="es-ES" w:eastAsia="ja-JP"/>
        </w:rPr>
        <w:t>Otros organismos:</w:t>
      </w:r>
    </w:p>
    <w:p w14:paraId="6A942BCA" w14:textId="77777777" w:rsidR="00AC335B" w:rsidRPr="00091F8F" w:rsidRDefault="00AC335B" w:rsidP="00AC335B">
      <w:pPr>
        <w:pStyle w:val="enumlev1"/>
      </w:pPr>
      <w:r w:rsidRPr="00091F8F">
        <w:t>–</w:t>
      </w:r>
      <w:r w:rsidRPr="00091F8F">
        <w:tab/>
        <w:t>Consejo de Europa (COE)</w:t>
      </w:r>
    </w:p>
    <w:p w14:paraId="5160DA3F" w14:textId="77777777" w:rsidR="00AC335B" w:rsidRPr="00091F8F" w:rsidRDefault="00AC335B" w:rsidP="00AC335B">
      <w:pPr>
        <w:pStyle w:val="enumlev1"/>
      </w:pPr>
      <w:r w:rsidRPr="00091F8F">
        <w:t>–</w:t>
      </w:r>
      <w:r w:rsidRPr="00091F8F">
        <w:tab/>
        <w:t>Agencia Europea de Seguridad de las Redes y la Información (ENISA)</w:t>
      </w:r>
    </w:p>
    <w:p w14:paraId="0BA17204" w14:textId="77777777" w:rsidR="00AC335B" w:rsidRPr="00AC335B" w:rsidRDefault="00AC335B" w:rsidP="00AC335B">
      <w:pPr>
        <w:pStyle w:val="enumlev1"/>
        <w:rPr>
          <w:lang w:val="en-US"/>
        </w:rPr>
      </w:pPr>
      <w:r w:rsidRPr="00AC335B">
        <w:rPr>
          <w:lang w:val="en-US"/>
        </w:rPr>
        <w:t>–</w:t>
      </w:r>
      <w:r w:rsidRPr="00AC335B">
        <w:rPr>
          <w:lang w:val="en-US"/>
        </w:rPr>
        <w:tab/>
        <w:t>Alianza "Fast Identity Online" (FIDO)</w:t>
      </w:r>
    </w:p>
    <w:p w14:paraId="4B9FAFBC" w14:textId="77777777" w:rsidR="00AC335B" w:rsidRPr="004D42EF" w:rsidRDefault="00AC335B" w:rsidP="00AC335B">
      <w:pPr>
        <w:pStyle w:val="Headingb0"/>
        <w:rPr>
          <w:rFonts w:eastAsia="SimSun"/>
          <w:lang w:val="es-ES" w:eastAsia="ja-JP"/>
        </w:rPr>
      </w:pPr>
      <w:r w:rsidRPr="004D42EF">
        <w:rPr>
          <w:rFonts w:eastAsia="SimSun"/>
          <w:lang w:val="es-ES" w:eastAsia="ja-JP"/>
        </w:rPr>
        <w:lastRenderedPageBreak/>
        <w:t>Líneas de Acción de la CMSI:</w:t>
      </w:r>
    </w:p>
    <w:p w14:paraId="4825A68C" w14:textId="77777777" w:rsidR="00AC335B" w:rsidRPr="009033BC" w:rsidRDefault="00AC335B" w:rsidP="00AC335B">
      <w:pPr>
        <w:pStyle w:val="enumlev1"/>
        <w:rPr>
          <w:lang w:val="es-ES"/>
        </w:rPr>
      </w:pPr>
      <w:r w:rsidRPr="009033BC">
        <w:rPr>
          <w:lang w:val="es-ES"/>
        </w:rPr>
        <w:t>–</w:t>
      </w:r>
      <w:r w:rsidRPr="009033BC">
        <w:rPr>
          <w:lang w:val="es-ES"/>
        </w:rPr>
        <w:tab/>
        <w:t>C5</w:t>
      </w:r>
    </w:p>
    <w:p w14:paraId="67732E3C" w14:textId="77777777" w:rsidR="00AC335B" w:rsidRPr="009033BC" w:rsidRDefault="00AC335B" w:rsidP="00AC335B">
      <w:pPr>
        <w:pStyle w:val="Headingb0"/>
        <w:rPr>
          <w:rFonts w:eastAsia="SimSun"/>
          <w:lang w:val="es-ES" w:eastAsia="ja-JP"/>
        </w:rPr>
      </w:pPr>
      <w:r w:rsidRPr="009033BC">
        <w:rPr>
          <w:rFonts w:eastAsia="SimSun"/>
          <w:lang w:val="es-ES" w:eastAsia="ja-JP"/>
        </w:rPr>
        <w:t>Objetivos de Desarrollo Sostenible:</w:t>
      </w:r>
    </w:p>
    <w:p w14:paraId="48C1AAC8" w14:textId="77777777" w:rsidR="00AC335B" w:rsidRPr="009033BC" w:rsidRDefault="00AC335B" w:rsidP="00AC335B">
      <w:pPr>
        <w:pStyle w:val="enumlev1"/>
        <w:rPr>
          <w:lang w:val="es-ES"/>
        </w:rPr>
      </w:pPr>
      <w:r w:rsidRPr="009033BC">
        <w:rPr>
          <w:lang w:val="es-ES"/>
        </w:rPr>
        <w:t>–</w:t>
      </w:r>
      <w:r w:rsidRPr="009033BC">
        <w:rPr>
          <w:lang w:val="es-ES"/>
        </w:rPr>
        <w:tab/>
        <w:t>8, 9, 11</w:t>
      </w:r>
    </w:p>
    <w:p w14:paraId="48C1A594" w14:textId="77777777" w:rsidR="00AC335B" w:rsidRPr="009033BC" w:rsidRDefault="00AC335B" w:rsidP="00AC335B">
      <w:pPr>
        <w:rPr>
          <w:lang w:val="es-ES"/>
        </w:rPr>
      </w:pPr>
    </w:p>
    <w:p w14:paraId="47FA0052" w14:textId="77777777" w:rsidR="00AC335B" w:rsidRPr="009033BC" w:rsidRDefault="00AC335B" w:rsidP="00AC335B">
      <w:pPr>
        <w:rPr>
          <w:lang w:val="es-ES"/>
        </w:rPr>
      </w:pPr>
      <w:r w:rsidRPr="009033BC">
        <w:rPr>
          <w:lang w:val="es-ES"/>
        </w:rPr>
        <w:br w:type="page"/>
      </w:r>
    </w:p>
    <w:p w14:paraId="5CEB36A9" w14:textId="5CF12834" w:rsidR="00AC335B" w:rsidRPr="009033BC" w:rsidRDefault="00AC335B" w:rsidP="00AC335B">
      <w:pPr>
        <w:pStyle w:val="Heading1"/>
        <w:ind w:left="790" w:hanging="790"/>
        <w:rPr>
          <w:lang w:val="es-ES"/>
        </w:rPr>
      </w:pPr>
      <w:r w:rsidRPr="009033BC">
        <w:rPr>
          <w:lang w:val="es-ES"/>
        </w:rPr>
        <w:lastRenderedPageBreak/>
        <w:t>2</w:t>
      </w:r>
      <w:r w:rsidRPr="009033BC">
        <w:rPr>
          <w:lang w:val="es-ES"/>
        </w:rPr>
        <w:tab/>
      </w:r>
      <w:proofErr w:type="gramStart"/>
      <w:r w:rsidRPr="009033BC">
        <w:rPr>
          <w:lang w:val="es-ES"/>
        </w:rPr>
        <w:t>Proyecto</w:t>
      </w:r>
      <w:proofErr w:type="gramEnd"/>
      <w:r w:rsidRPr="009033BC">
        <w:rPr>
          <w:lang w:val="es-ES"/>
        </w:rPr>
        <w:t xml:space="preserve"> de revisión de la Cuestión 10/17,</w:t>
      </w:r>
      <w:r w:rsidR="00133A72">
        <w:rPr>
          <w:lang w:val="es-ES"/>
        </w:rPr>
        <w:t xml:space="preserve"> </w:t>
      </w:r>
      <w:r>
        <w:rPr>
          <w:i/>
          <w:iCs/>
          <w:lang w:val="es-ES"/>
        </w:rPr>
        <w:t>Gestión de la identidad, la seguridad y los servicios digitales</w:t>
      </w:r>
    </w:p>
    <w:p w14:paraId="469CC850" w14:textId="77777777" w:rsidR="00AC335B" w:rsidRPr="009033BC" w:rsidRDefault="00AC335B" w:rsidP="00AC335B">
      <w:pPr>
        <w:pStyle w:val="Heading2"/>
        <w:rPr>
          <w:lang w:val="es-ES"/>
        </w:rPr>
      </w:pPr>
      <w:bookmarkStart w:id="11" w:name="_Hlk220922732"/>
      <w:r w:rsidRPr="009033BC">
        <w:rPr>
          <w:lang w:val="es-ES"/>
        </w:rPr>
        <w:t>Cuestión 10/17 – Gestión de la identidad, la seguridad y los servicios digitales</w:t>
      </w:r>
    </w:p>
    <w:p w14:paraId="07BD7384" w14:textId="77777777" w:rsidR="00AC335B" w:rsidRPr="009033BC" w:rsidRDefault="00AC335B" w:rsidP="00AC335B">
      <w:pPr>
        <w:pStyle w:val="Questionhistory"/>
        <w:rPr>
          <w:rFonts w:eastAsia="Calibri"/>
          <w:lang w:val="es-ES"/>
        </w:rPr>
      </w:pPr>
      <w:r w:rsidRPr="009033BC">
        <w:rPr>
          <w:rFonts w:eastAsia="Calibri"/>
          <w:lang w:val="es-ES"/>
        </w:rPr>
        <w:t>(Continuación de la C</w:t>
      </w:r>
      <w:r w:rsidRPr="009033BC">
        <w:rPr>
          <w:lang w:val="es-ES"/>
        </w:rPr>
        <w:t>10/17 (2025) tras su fusión con la C3/17 (2025)</w:t>
      </w:r>
      <w:r w:rsidRPr="009033BC">
        <w:rPr>
          <w:rFonts w:eastAsia="Calibri"/>
          <w:lang w:val="es-ES"/>
        </w:rPr>
        <w:t>)</w:t>
      </w:r>
      <w:r>
        <w:rPr>
          <w:rStyle w:val="FootnoteReference"/>
          <w:rFonts w:eastAsia="Calibri"/>
        </w:rPr>
        <w:footnoteReference w:id="2"/>
      </w:r>
    </w:p>
    <w:p w14:paraId="0A054940" w14:textId="77777777" w:rsidR="00AC335B" w:rsidRPr="00627958" w:rsidRDefault="00AC335B" w:rsidP="00AC335B">
      <w:pPr>
        <w:pStyle w:val="Heading3"/>
        <w:rPr>
          <w:lang w:val="es-ES"/>
        </w:rPr>
      </w:pPr>
      <w:r w:rsidRPr="00627958">
        <w:rPr>
          <w:lang w:val="es-ES"/>
        </w:rPr>
        <w:t>1</w:t>
      </w:r>
      <w:r w:rsidRPr="00627958">
        <w:rPr>
          <w:lang w:val="es-ES"/>
        </w:rPr>
        <w:tab/>
      </w:r>
      <w:proofErr w:type="gramStart"/>
      <w:r w:rsidRPr="00627958">
        <w:rPr>
          <w:lang w:val="es-ES"/>
        </w:rPr>
        <w:t>Motivos</w:t>
      </w:r>
      <w:proofErr w:type="gramEnd"/>
    </w:p>
    <w:p w14:paraId="07D7DBDE" w14:textId="5DB8956A" w:rsidR="00AC335B" w:rsidRPr="009033BC" w:rsidRDefault="00AC335B" w:rsidP="00AC335B">
      <w:pPr>
        <w:rPr>
          <w:rFonts w:eastAsia="MS Mincho"/>
          <w:lang w:val="es-ES" w:eastAsia="ja-JP"/>
        </w:rPr>
      </w:pPr>
      <w:r w:rsidRPr="009033BC">
        <w:rPr>
          <w:rFonts w:eastAsia="SimSun"/>
          <w:lang w:val="es-ES" w:eastAsia="ja-JP"/>
        </w:rPr>
        <w:t>La gestión de la identidad (</w:t>
      </w:r>
      <w:proofErr w:type="spellStart"/>
      <w:r w:rsidRPr="009033BC">
        <w:rPr>
          <w:rFonts w:eastAsia="SimSun"/>
          <w:lang w:val="es-ES" w:eastAsia="ja-JP"/>
        </w:rPr>
        <w:t>IdM</w:t>
      </w:r>
      <w:proofErr w:type="spellEnd"/>
      <w:r w:rsidRPr="009033BC">
        <w:rPr>
          <w:rFonts w:eastAsia="SimSun"/>
          <w:lang w:val="es-ES" w:eastAsia="ja-JP"/>
        </w:rPr>
        <w:t>) comprende la creación, el mantenimiento, la utilizació</w:t>
      </w:r>
      <w:r>
        <w:rPr>
          <w:rFonts w:eastAsia="SimSun"/>
          <w:lang w:val="es-ES" w:eastAsia="ja-JP"/>
        </w:rPr>
        <w:t xml:space="preserve">n y la supresión de credenciales, identificadores y atributos. </w:t>
      </w:r>
      <w:r w:rsidRPr="009033BC">
        <w:rPr>
          <w:rFonts w:eastAsia="SimSun"/>
          <w:lang w:val="es-ES" w:eastAsia="ja-JP"/>
        </w:rPr>
        <w:t xml:space="preserve">Es fundamental establecer la confianza entre los usuarios, </w:t>
      </w:r>
      <w:r>
        <w:rPr>
          <w:rFonts w:eastAsia="SimSun"/>
          <w:lang w:val="es-ES" w:eastAsia="ja-JP"/>
        </w:rPr>
        <w:t xml:space="preserve">las organizaciones, los dispositivos y los servicios. </w:t>
      </w:r>
      <w:r w:rsidRPr="009033BC">
        <w:rPr>
          <w:rFonts w:eastAsia="SimSun"/>
          <w:lang w:val="es-ES" w:eastAsia="ja-JP"/>
        </w:rPr>
        <w:t>Una</w:t>
      </w:r>
      <w:r>
        <w:rPr>
          <w:rFonts w:eastAsia="SimSun"/>
          <w:lang w:val="es-ES" w:eastAsia="ja-JP"/>
        </w:rPr>
        <w:t xml:space="preserve"> </w:t>
      </w:r>
      <w:r w:rsidRPr="009033BC">
        <w:rPr>
          <w:rFonts w:eastAsia="SimSun"/>
          <w:lang w:val="es-ES" w:eastAsia="ja-JP"/>
        </w:rPr>
        <w:t>única entidad pu</w:t>
      </w:r>
      <w:r w:rsidR="00133A72">
        <w:rPr>
          <w:rFonts w:eastAsia="SimSun"/>
          <w:lang w:val="es-ES" w:eastAsia="ja-JP"/>
        </w:rPr>
        <w:t>e</w:t>
      </w:r>
      <w:r w:rsidRPr="009033BC">
        <w:rPr>
          <w:rFonts w:eastAsia="SimSun"/>
          <w:lang w:val="es-ES" w:eastAsia="ja-JP"/>
        </w:rPr>
        <w:t>de poseer múltiples identidades, cada una de ellas con sus propios requisitos de seguridad. En función del sistema de que se trate, para la</w:t>
      </w:r>
      <w:r>
        <w:rPr>
          <w:rFonts w:eastAsia="SimSun"/>
          <w:lang w:val="es-ES" w:eastAsia="ja-JP"/>
        </w:rPr>
        <w:t xml:space="preserve"> </w:t>
      </w:r>
      <w:proofErr w:type="spellStart"/>
      <w:r>
        <w:rPr>
          <w:rFonts w:eastAsia="SimSun"/>
          <w:lang w:val="es-ES" w:eastAsia="ja-JP"/>
        </w:rPr>
        <w:t>IdM</w:t>
      </w:r>
      <w:proofErr w:type="spellEnd"/>
      <w:r>
        <w:rPr>
          <w:rFonts w:eastAsia="SimSun"/>
          <w:lang w:val="es-ES" w:eastAsia="ja-JP"/>
        </w:rPr>
        <w:t xml:space="preserve"> puede adoptarse un enfoque centralizado, descentralizado o híbrido</w:t>
      </w:r>
      <w:r w:rsidRPr="009033BC">
        <w:rPr>
          <w:rFonts w:eastAsia="SimSun"/>
          <w:lang w:val="es-ES" w:eastAsia="ja-JP"/>
        </w:rPr>
        <w:t>.</w:t>
      </w:r>
    </w:p>
    <w:p w14:paraId="7F1A8F4A" w14:textId="77777777" w:rsidR="00AC335B" w:rsidRPr="00477A37" w:rsidRDefault="00AC335B" w:rsidP="00AC335B">
      <w:pPr>
        <w:rPr>
          <w:rFonts w:eastAsia="MS Mincho"/>
          <w:lang w:val="es-ES" w:eastAsia="ja-JP"/>
        </w:rPr>
      </w:pPr>
      <w:r w:rsidRPr="00477A37">
        <w:rPr>
          <w:rFonts w:eastAsia="Malgun Gothic"/>
          <w:lang w:val="es-ES" w:eastAsia="ko-KR"/>
        </w:rPr>
        <w:t xml:space="preserve">En la medida 10 de la AMNT-24 se encarga a la Comisión de Estudio 17 que siga elaborando las Recomendaciones necesarias, Suplementos e Informes Técnicos para la gestión de identidades y credenciales verificables, </w:t>
      </w:r>
      <w:r>
        <w:rPr>
          <w:rFonts w:eastAsia="Malgun Gothic"/>
          <w:lang w:val="es-ES" w:eastAsia="ko-KR"/>
        </w:rPr>
        <w:t xml:space="preserve">reconociendo la importancia de los trabajos de normalización de las identidades y credenciales digitales que están llevando a cabo diversos organismos de normalización. </w:t>
      </w:r>
      <w:r w:rsidRPr="00477A37">
        <w:rPr>
          <w:rFonts w:eastAsia="Malgun Gothic"/>
          <w:lang w:val="es-ES" w:eastAsia="ko-KR"/>
        </w:rPr>
        <w:t xml:space="preserve">También se alienta a la Comisión de Estudio 17 a seguir estudiando nuevos temas relacionados con la gestión de la identidad y la </w:t>
      </w:r>
      <w:r>
        <w:rPr>
          <w:rFonts w:eastAsia="Malgun Gothic"/>
          <w:lang w:val="es-ES" w:eastAsia="ko-KR"/>
        </w:rPr>
        <w:t>normalización de las credenciales verificables y a coordinar y promover las actividades de normalización</w:t>
      </w:r>
      <w:r w:rsidRPr="00477A37">
        <w:rPr>
          <w:rFonts w:eastAsia="Malgun Gothic"/>
          <w:lang w:val="es-ES" w:eastAsia="ko-KR"/>
        </w:rPr>
        <w:t>.</w:t>
      </w:r>
    </w:p>
    <w:p w14:paraId="38F7FA33" w14:textId="77777777" w:rsidR="00AC335B" w:rsidRPr="00477A37" w:rsidRDefault="00AC335B" w:rsidP="00AC335B">
      <w:pPr>
        <w:rPr>
          <w:rFonts w:eastAsia="SimSun"/>
          <w:lang w:val="es-ES" w:eastAsia="ja-JP"/>
        </w:rPr>
      </w:pPr>
      <w:r w:rsidRPr="00477A37">
        <w:rPr>
          <w:rFonts w:eastAsia="SimSun"/>
          <w:lang w:val="es-ES" w:eastAsia="ja-JP"/>
        </w:rPr>
        <w:t>La identidad digital</w:t>
      </w:r>
      <w:r w:rsidRPr="00C278FB">
        <w:rPr>
          <w:rFonts w:eastAsia="SimSun"/>
          <w:vertAlign w:val="superscript"/>
          <w:lang w:eastAsia="ja-JP"/>
        </w:rPr>
        <w:footnoteReference w:id="3"/>
      </w:r>
      <w:r w:rsidRPr="00477A37">
        <w:rPr>
          <w:rFonts w:eastAsia="MS Mincho"/>
          <w:lang w:val="es-ES" w:eastAsia="ja-JP"/>
        </w:rPr>
        <w:t xml:space="preserve"> </w:t>
      </w:r>
      <w:r w:rsidRPr="00477A37">
        <w:rPr>
          <w:rFonts w:eastAsia="SimSun"/>
          <w:lang w:val="es-ES" w:eastAsia="ja-JP"/>
        </w:rPr>
        <w:t>define lo que constituye una identidad, mi</w:t>
      </w:r>
      <w:r>
        <w:rPr>
          <w:rFonts w:eastAsia="SimSun"/>
          <w:lang w:val="es-ES" w:eastAsia="ja-JP"/>
        </w:rPr>
        <w:t>entras que la</w:t>
      </w:r>
      <w:r w:rsidRPr="00477A37">
        <w:rPr>
          <w:rFonts w:eastAsia="SimSun"/>
          <w:lang w:val="es-ES" w:eastAsia="ja-JP"/>
        </w:rPr>
        <w:t xml:space="preserve"> </w:t>
      </w:r>
      <w:proofErr w:type="spellStart"/>
      <w:r w:rsidRPr="00477A37">
        <w:rPr>
          <w:rFonts w:eastAsia="SimSun"/>
          <w:lang w:val="es-ES" w:eastAsia="ja-JP"/>
        </w:rPr>
        <w:t>IdM</w:t>
      </w:r>
      <w:proofErr w:type="spellEnd"/>
      <w:r w:rsidRPr="00477A37">
        <w:rPr>
          <w:rFonts w:eastAsia="SimSun"/>
          <w:lang w:val="es-ES" w:eastAsia="ja-JP"/>
        </w:rPr>
        <w:t xml:space="preserve"> </w:t>
      </w:r>
      <w:r>
        <w:rPr>
          <w:rFonts w:eastAsia="SimSun"/>
          <w:lang w:val="es-ES" w:eastAsia="ja-JP"/>
        </w:rPr>
        <w:t>se centra en cómo se gestiona esa identidad. Los modelos de identidad descentralizada</w:t>
      </w:r>
      <w:r w:rsidRPr="00477A37">
        <w:rPr>
          <w:rFonts w:eastAsia="SimSun"/>
          <w:lang w:val="es-ES" w:eastAsia="ja-JP"/>
        </w:rPr>
        <w:t xml:space="preserve"> (DID) ayudan a los </w:t>
      </w:r>
      <w:r>
        <w:rPr>
          <w:rFonts w:eastAsia="SimSun"/>
          <w:lang w:val="es-ES" w:eastAsia="ja-JP"/>
        </w:rPr>
        <w:t>usuarios a controlar su identidad en línea</w:t>
      </w:r>
      <w:r w:rsidRPr="00477A37">
        <w:rPr>
          <w:rFonts w:eastAsia="SimSun"/>
          <w:lang w:val="es-ES" w:eastAsia="ja-JP"/>
        </w:rPr>
        <w:t>.</w:t>
      </w:r>
    </w:p>
    <w:p w14:paraId="1C465B29" w14:textId="77777777" w:rsidR="00AC335B" w:rsidRPr="00477A37" w:rsidRDefault="00AC335B" w:rsidP="00AC335B">
      <w:pPr>
        <w:rPr>
          <w:rFonts w:eastAsia="SimSun"/>
          <w:lang w:val="es-ES" w:eastAsia="ja-JP"/>
        </w:rPr>
      </w:pPr>
      <w:r w:rsidRPr="00477A37">
        <w:rPr>
          <w:rFonts w:eastAsia="SimSun"/>
          <w:lang w:val="es-ES" w:eastAsia="ja-JP"/>
        </w:rPr>
        <w:t xml:space="preserve">Una cartera de identidades digitales almacena y comparte de </w:t>
      </w:r>
      <w:r>
        <w:rPr>
          <w:rFonts w:eastAsia="SimSun"/>
          <w:lang w:val="es-ES" w:eastAsia="ja-JP"/>
        </w:rPr>
        <w:t>manera segura los datos de identificación, permitiendo así a los usuarios gestionar su información</w:t>
      </w:r>
      <w:r w:rsidRPr="00477A37">
        <w:rPr>
          <w:rFonts w:eastAsia="SimSun"/>
          <w:lang w:val="es-ES" w:eastAsia="ja-JP"/>
        </w:rPr>
        <w:t>.</w:t>
      </w:r>
    </w:p>
    <w:p w14:paraId="5223E532" w14:textId="4234D06A" w:rsidR="00AC335B" w:rsidRPr="00477A37" w:rsidRDefault="00AC335B" w:rsidP="00AC335B">
      <w:pPr>
        <w:rPr>
          <w:rFonts w:eastAsia="SimSun"/>
          <w:lang w:val="es-ES" w:eastAsia="ja-JP"/>
        </w:rPr>
      </w:pPr>
      <w:r w:rsidRPr="00477A37">
        <w:rPr>
          <w:rFonts w:eastAsia="SimSun"/>
          <w:lang w:val="es-ES" w:eastAsia="ja-JP"/>
        </w:rPr>
        <w:t xml:space="preserve">La </w:t>
      </w:r>
      <w:proofErr w:type="spellStart"/>
      <w:r w:rsidRPr="00477A37">
        <w:rPr>
          <w:rFonts w:eastAsia="SimSun"/>
          <w:lang w:val="es-ES" w:eastAsia="ja-JP"/>
        </w:rPr>
        <w:t>IdM</w:t>
      </w:r>
      <w:proofErr w:type="spellEnd"/>
      <w:r w:rsidRPr="00477A37">
        <w:rPr>
          <w:rFonts w:eastAsia="SimSun"/>
          <w:lang w:val="es-ES" w:eastAsia="ja-JP"/>
        </w:rPr>
        <w:t xml:space="preserve"> garantiza el intercambio de datos fiable en redes públicas</w:t>
      </w:r>
      <w:r>
        <w:rPr>
          <w:rFonts w:eastAsia="SimSun"/>
          <w:lang w:val="es-ES" w:eastAsia="ja-JP"/>
        </w:rPr>
        <w:t xml:space="preserve"> (por ejemplo, la nube, las </w:t>
      </w:r>
      <w:r w:rsidRPr="00477A37">
        <w:rPr>
          <w:rFonts w:eastAsia="SimSun"/>
          <w:lang w:val="es-ES" w:eastAsia="ja-JP"/>
        </w:rPr>
        <w:t>IMT</w:t>
      </w:r>
      <w:r w:rsidR="00133A72">
        <w:rPr>
          <w:rFonts w:eastAsia="SimSun"/>
          <w:lang w:val="es-ES" w:eastAsia="ja-JP"/>
        </w:rPr>
        <w:noBreakHyphen/>
      </w:r>
      <w:r w:rsidRPr="00477A37">
        <w:rPr>
          <w:rFonts w:eastAsia="SimSun"/>
          <w:lang w:val="es-ES" w:eastAsia="ja-JP"/>
        </w:rPr>
        <w:t xml:space="preserve">2020, </w:t>
      </w:r>
      <w:r>
        <w:rPr>
          <w:rFonts w:eastAsia="SimSun"/>
          <w:lang w:val="es-ES" w:eastAsia="ja-JP"/>
        </w:rPr>
        <w:t xml:space="preserve">las </w:t>
      </w:r>
      <w:r w:rsidRPr="00477A37">
        <w:rPr>
          <w:rFonts w:eastAsia="SimSun"/>
          <w:lang w:val="es-ES" w:eastAsia="ja-JP"/>
        </w:rPr>
        <w:t xml:space="preserve">IMT-2030) </w:t>
      </w:r>
      <w:r>
        <w:rPr>
          <w:rFonts w:eastAsia="SimSun"/>
          <w:lang w:val="es-ES" w:eastAsia="ja-JP"/>
        </w:rPr>
        <w:t xml:space="preserve">y aumenta la seguridad limitando el acceso a datos sensibles. </w:t>
      </w:r>
      <w:r w:rsidRPr="00477A37">
        <w:rPr>
          <w:rFonts w:eastAsia="SimSun"/>
          <w:lang w:val="es-ES" w:eastAsia="ja-JP"/>
        </w:rPr>
        <w:t>A medida que aumenta la utilización de Internet, es necesari</w:t>
      </w:r>
      <w:r>
        <w:rPr>
          <w:rFonts w:eastAsia="SimSun"/>
          <w:lang w:val="es-ES" w:eastAsia="ja-JP"/>
        </w:rPr>
        <w:t>o contar con normas para la aplicación obligatoria de políticas de acceso con el fin de proteger a los usuarios en línea</w:t>
      </w:r>
      <w:r w:rsidRPr="00477A37">
        <w:rPr>
          <w:rFonts w:eastAsia="SimSun"/>
          <w:lang w:val="es-ES" w:eastAsia="ja-JP"/>
        </w:rPr>
        <w:t>.</w:t>
      </w:r>
    </w:p>
    <w:p w14:paraId="461C9CEF" w14:textId="77777777" w:rsidR="00AC335B" w:rsidRPr="00477A37" w:rsidRDefault="00AC335B" w:rsidP="00AC335B">
      <w:pPr>
        <w:rPr>
          <w:rFonts w:eastAsia="SimSun"/>
          <w:lang w:val="es-ES" w:eastAsia="ja-JP"/>
        </w:rPr>
      </w:pPr>
      <w:r w:rsidRPr="00477A37">
        <w:rPr>
          <w:rFonts w:eastAsia="SimSun"/>
          <w:lang w:val="es-ES" w:eastAsia="ja-JP"/>
        </w:rPr>
        <w:t xml:space="preserve">Los sistemas de IA exigen normas de gestión de </w:t>
      </w:r>
      <w:r>
        <w:rPr>
          <w:rFonts w:eastAsia="SimSun"/>
          <w:lang w:val="es-ES" w:eastAsia="ja-JP"/>
        </w:rPr>
        <w:t xml:space="preserve">la identidad segura. </w:t>
      </w:r>
      <w:r w:rsidRPr="00477A37">
        <w:rPr>
          <w:rFonts w:eastAsia="SimSun"/>
          <w:lang w:val="es-ES" w:eastAsia="ja-JP"/>
        </w:rPr>
        <w:t xml:space="preserve">Una identidad </w:t>
      </w:r>
      <w:proofErr w:type="spellStart"/>
      <w:r w:rsidRPr="00477A37">
        <w:rPr>
          <w:rFonts w:eastAsia="SimSun"/>
          <w:lang w:val="es-ES" w:eastAsia="ja-JP"/>
        </w:rPr>
        <w:t>agéntica</w:t>
      </w:r>
      <w:proofErr w:type="spellEnd"/>
      <w:r w:rsidRPr="00477A37">
        <w:rPr>
          <w:rFonts w:eastAsia="SimSun"/>
          <w:lang w:val="es-ES" w:eastAsia="ja-JP"/>
        </w:rPr>
        <w:t xml:space="preserve"> representa los atributos, funciones y permis</w:t>
      </w:r>
      <w:r>
        <w:rPr>
          <w:rFonts w:eastAsia="SimSun"/>
          <w:lang w:val="es-ES" w:eastAsia="ja-JP"/>
        </w:rPr>
        <w:t xml:space="preserve">os exclusivos y verificables de un agente de IA. </w:t>
      </w:r>
      <w:r w:rsidRPr="00477A37">
        <w:rPr>
          <w:rFonts w:eastAsia="SimSun"/>
          <w:lang w:val="es-ES" w:eastAsia="ja-JP"/>
        </w:rPr>
        <w:t>Las principales esferas de normalización son las sigu</w:t>
      </w:r>
      <w:r>
        <w:rPr>
          <w:rFonts w:eastAsia="SimSun"/>
          <w:lang w:val="es-ES" w:eastAsia="ja-JP"/>
        </w:rPr>
        <w:t>ientes</w:t>
      </w:r>
      <w:r w:rsidRPr="00477A37">
        <w:rPr>
          <w:rFonts w:eastAsia="SimSun"/>
          <w:lang w:val="es-ES" w:eastAsia="ja-JP"/>
        </w:rPr>
        <w:t>:</w:t>
      </w:r>
    </w:p>
    <w:p w14:paraId="52BD5AA2" w14:textId="77777777" w:rsidR="00AC335B" w:rsidRPr="00627958" w:rsidRDefault="00AC335B" w:rsidP="00AC335B">
      <w:pPr>
        <w:tabs>
          <w:tab w:val="clear" w:pos="794"/>
          <w:tab w:val="clear" w:pos="1191"/>
          <w:tab w:val="clear" w:pos="1588"/>
          <w:tab w:val="clear" w:pos="1985"/>
        </w:tabs>
        <w:ind w:left="567" w:hanging="567"/>
        <w:rPr>
          <w:rFonts w:eastAsia="SimSun"/>
          <w:lang w:val="es-ES" w:eastAsia="ja-JP"/>
        </w:rPr>
      </w:pPr>
      <w:r w:rsidRPr="00133A72">
        <w:rPr>
          <w:rFonts w:eastAsia="SimSun"/>
          <w:lang w:val="es-ES" w:eastAsia="ja-JP"/>
        </w:rPr>
        <w:t>–</w:t>
      </w:r>
      <w:r w:rsidRPr="00133A72">
        <w:rPr>
          <w:rFonts w:eastAsia="SimSun"/>
          <w:lang w:val="es-ES" w:eastAsia="ja-JP"/>
        </w:rPr>
        <w:tab/>
        <w:t xml:space="preserve">Marco de identidad </w:t>
      </w:r>
      <w:proofErr w:type="spellStart"/>
      <w:r w:rsidRPr="00133A72">
        <w:rPr>
          <w:rFonts w:eastAsia="SimSun"/>
          <w:lang w:val="es-ES" w:eastAsia="ja-JP"/>
        </w:rPr>
        <w:t>agéntica</w:t>
      </w:r>
      <w:proofErr w:type="spellEnd"/>
      <w:r w:rsidRPr="00627958">
        <w:rPr>
          <w:rFonts w:eastAsia="SimSun"/>
          <w:lang w:val="es-ES" w:eastAsia="ja-JP"/>
        </w:rPr>
        <w:t>:</w:t>
      </w:r>
    </w:p>
    <w:p w14:paraId="454AE293" w14:textId="77777777" w:rsidR="00AC335B" w:rsidRPr="00477A37" w:rsidRDefault="00AC335B" w:rsidP="00AC335B">
      <w:pPr>
        <w:pStyle w:val="enumlev2"/>
        <w:rPr>
          <w:rFonts w:eastAsia="SimSun"/>
          <w:lang w:val="es-ES" w:eastAsia="ja-JP"/>
        </w:rPr>
      </w:pPr>
      <w:r w:rsidRPr="00C278FB">
        <w:rPr>
          <w:rFonts w:ascii="Symbol" w:eastAsia="SimSun" w:hAnsi="Symbol"/>
          <w:lang w:eastAsia="ja-JP"/>
        </w:rPr>
        <w:t></w:t>
      </w:r>
      <w:r w:rsidRPr="00477A37">
        <w:rPr>
          <w:rFonts w:ascii="Symbol" w:eastAsia="SimSun" w:hAnsi="Symbol"/>
          <w:lang w:val="es-ES" w:eastAsia="ja-JP"/>
        </w:rPr>
        <w:tab/>
      </w:r>
      <w:r w:rsidRPr="00477A37">
        <w:rPr>
          <w:rFonts w:eastAsia="SimSun"/>
          <w:lang w:val="es-ES" w:eastAsia="ja-JP"/>
        </w:rPr>
        <w:t>Identificadores unívocos (ID) para la trazabilidad (por ej</w:t>
      </w:r>
      <w:r>
        <w:rPr>
          <w:rFonts w:eastAsia="SimSun"/>
          <w:lang w:val="es-ES" w:eastAsia="ja-JP"/>
        </w:rPr>
        <w:t>emplo</w:t>
      </w:r>
      <w:r w:rsidRPr="00477A37">
        <w:rPr>
          <w:rFonts w:eastAsia="SimSun"/>
          <w:lang w:val="es-ES" w:eastAsia="ja-JP"/>
        </w:rPr>
        <w:t xml:space="preserve">, UUID, </w:t>
      </w:r>
      <w:r>
        <w:rPr>
          <w:rFonts w:eastAsia="SimSun"/>
          <w:lang w:val="es-ES" w:eastAsia="ja-JP"/>
        </w:rPr>
        <w:t>soluciones basadas en cadenas de bloques</w:t>
      </w:r>
      <w:r w:rsidRPr="00477A37">
        <w:rPr>
          <w:rFonts w:eastAsia="SimSun"/>
          <w:lang w:val="es-ES" w:eastAsia="ja-JP"/>
        </w:rPr>
        <w:t>).</w:t>
      </w:r>
    </w:p>
    <w:p w14:paraId="64E3068E" w14:textId="77777777" w:rsidR="00AC335B" w:rsidRPr="00477A37" w:rsidRDefault="00AC335B" w:rsidP="00AC335B">
      <w:pPr>
        <w:pStyle w:val="enumlev2"/>
        <w:rPr>
          <w:rFonts w:eastAsia="SimSun"/>
          <w:lang w:val="es-ES" w:eastAsia="ja-JP"/>
        </w:rPr>
      </w:pPr>
      <w:r w:rsidRPr="00C278FB">
        <w:rPr>
          <w:rFonts w:ascii="Symbol" w:eastAsia="SimSun" w:hAnsi="Symbol"/>
          <w:lang w:eastAsia="ja-JP"/>
        </w:rPr>
        <w:t></w:t>
      </w:r>
      <w:r w:rsidRPr="00477A37">
        <w:rPr>
          <w:rFonts w:ascii="Symbol" w:eastAsia="SimSun" w:hAnsi="Symbol"/>
          <w:lang w:val="es-ES" w:eastAsia="ja-JP"/>
        </w:rPr>
        <w:tab/>
      </w:r>
      <w:r w:rsidRPr="00477A37">
        <w:rPr>
          <w:rFonts w:eastAsia="SimSun"/>
          <w:lang w:val="es-ES" w:eastAsia="ja-JP"/>
        </w:rPr>
        <w:t xml:space="preserve">Mecanismos de autentificación segura </w:t>
      </w:r>
      <w:r>
        <w:rPr>
          <w:rFonts w:eastAsia="SimSun"/>
          <w:lang w:val="es-ES" w:eastAsia="ja-JP"/>
        </w:rPr>
        <w:t>(por ejemplo, firmas criptográficas</w:t>
      </w:r>
      <w:r w:rsidRPr="00477A37">
        <w:rPr>
          <w:rFonts w:eastAsia="SimSun"/>
          <w:lang w:val="es-ES" w:eastAsia="ja-JP"/>
        </w:rPr>
        <w:t>).</w:t>
      </w:r>
    </w:p>
    <w:p w14:paraId="747F57AA" w14:textId="77777777" w:rsidR="00AC335B" w:rsidRPr="00477A37" w:rsidRDefault="00AC335B" w:rsidP="00AC335B">
      <w:pPr>
        <w:pStyle w:val="enumlev2"/>
        <w:rPr>
          <w:rFonts w:eastAsia="SimSun"/>
          <w:lang w:val="es-ES" w:eastAsia="ja-JP"/>
        </w:rPr>
      </w:pPr>
      <w:r w:rsidRPr="00C278FB">
        <w:rPr>
          <w:rFonts w:ascii="Symbol" w:eastAsia="SimSun" w:hAnsi="Symbol"/>
          <w:lang w:eastAsia="ja-JP"/>
        </w:rPr>
        <w:t></w:t>
      </w:r>
      <w:r w:rsidRPr="00477A37">
        <w:rPr>
          <w:rFonts w:ascii="Symbol" w:eastAsia="SimSun" w:hAnsi="Symbol"/>
          <w:lang w:val="es-ES" w:eastAsia="ja-JP"/>
        </w:rPr>
        <w:tab/>
      </w:r>
      <w:r w:rsidRPr="00477A37">
        <w:rPr>
          <w:rFonts w:eastAsia="SimSun"/>
          <w:lang w:val="es-ES" w:eastAsia="ja-JP"/>
        </w:rPr>
        <w:t xml:space="preserve">Metadatos para atributos </w:t>
      </w:r>
      <w:proofErr w:type="spellStart"/>
      <w:r w:rsidRPr="00477A37">
        <w:rPr>
          <w:rFonts w:eastAsia="SimSun"/>
          <w:lang w:val="es-ES" w:eastAsia="ja-JP"/>
        </w:rPr>
        <w:t>agénticos</w:t>
      </w:r>
      <w:proofErr w:type="spellEnd"/>
      <w:r w:rsidRPr="00477A37">
        <w:rPr>
          <w:rFonts w:eastAsia="SimSun"/>
          <w:lang w:val="es-ES" w:eastAsia="ja-JP"/>
        </w:rPr>
        <w:t xml:space="preserve"> </w:t>
      </w:r>
      <w:r>
        <w:rPr>
          <w:rFonts w:eastAsia="SimSun"/>
          <w:lang w:val="es-ES" w:eastAsia="ja-JP"/>
        </w:rPr>
        <w:t>(por ejemplo, creador, capacidades</w:t>
      </w:r>
      <w:r w:rsidRPr="00477A37">
        <w:rPr>
          <w:rFonts w:eastAsia="SimSun"/>
          <w:lang w:val="es-ES" w:eastAsia="ja-JP"/>
        </w:rPr>
        <w:t>).</w:t>
      </w:r>
    </w:p>
    <w:p w14:paraId="1B1A0E96" w14:textId="77777777" w:rsidR="00133A72" w:rsidRDefault="00133A72">
      <w:pPr>
        <w:tabs>
          <w:tab w:val="clear" w:pos="794"/>
          <w:tab w:val="clear" w:pos="1191"/>
          <w:tab w:val="clear" w:pos="1588"/>
          <w:tab w:val="clear" w:pos="1985"/>
        </w:tabs>
        <w:overflowPunct/>
        <w:autoSpaceDE/>
        <w:autoSpaceDN/>
        <w:adjustRightInd/>
        <w:spacing w:before="0"/>
        <w:textAlignment w:val="auto"/>
        <w:rPr>
          <w:rFonts w:eastAsia="SimSun"/>
          <w:lang w:val="es-ES" w:eastAsia="ja-JP"/>
        </w:rPr>
      </w:pPr>
      <w:r>
        <w:rPr>
          <w:rFonts w:eastAsia="SimSun"/>
          <w:lang w:val="es-ES" w:eastAsia="ja-JP"/>
        </w:rPr>
        <w:br w:type="page"/>
      </w:r>
    </w:p>
    <w:p w14:paraId="54530C0B" w14:textId="3B0DCA63" w:rsidR="00AC335B" w:rsidRPr="00627958" w:rsidRDefault="00AC335B" w:rsidP="00AC335B">
      <w:pPr>
        <w:tabs>
          <w:tab w:val="clear" w:pos="794"/>
          <w:tab w:val="clear" w:pos="1191"/>
          <w:tab w:val="clear" w:pos="1588"/>
          <w:tab w:val="clear" w:pos="1985"/>
        </w:tabs>
        <w:ind w:left="567" w:hanging="567"/>
        <w:rPr>
          <w:rFonts w:eastAsia="SimSun"/>
          <w:lang w:val="es-ES" w:eastAsia="ja-JP"/>
        </w:rPr>
      </w:pPr>
      <w:r w:rsidRPr="00133A72">
        <w:rPr>
          <w:rFonts w:eastAsia="SimSun"/>
          <w:lang w:val="es-ES" w:eastAsia="ja-JP"/>
        </w:rPr>
        <w:lastRenderedPageBreak/>
        <w:t>–</w:t>
      </w:r>
      <w:r w:rsidRPr="00133A72">
        <w:rPr>
          <w:rFonts w:eastAsia="SimSun"/>
          <w:lang w:val="es-ES" w:eastAsia="ja-JP"/>
        </w:rPr>
        <w:tab/>
      </w:r>
      <w:r w:rsidRPr="00627958">
        <w:rPr>
          <w:rFonts w:eastAsia="SimSun"/>
          <w:lang w:val="es-ES" w:eastAsia="ja-JP"/>
        </w:rPr>
        <w:t>Interoperabilidad:</w:t>
      </w:r>
    </w:p>
    <w:p w14:paraId="1101E26F" w14:textId="77777777" w:rsidR="00AC335B" w:rsidRPr="00477A37" w:rsidRDefault="00AC335B" w:rsidP="00AC335B">
      <w:pPr>
        <w:pStyle w:val="enumlev2"/>
        <w:rPr>
          <w:rFonts w:eastAsia="SimSun"/>
          <w:lang w:val="es-ES" w:eastAsia="ja-JP"/>
        </w:rPr>
      </w:pPr>
      <w:r w:rsidRPr="00C278FB">
        <w:rPr>
          <w:rFonts w:ascii="Symbol" w:eastAsia="SimSun" w:hAnsi="Symbol"/>
          <w:lang w:eastAsia="ja-JP"/>
        </w:rPr>
        <w:t></w:t>
      </w:r>
      <w:r w:rsidRPr="00477A37">
        <w:rPr>
          <w:rFonts w:ascii="Symbol" w:eastAsia="SimSun" w:hAnsi="Symbol"/>
          <w:lang w:val="es-ES" w:eastAsia="ja-JP"/>
        </w:rPr>
        <w:tab/>
      </w:r>
      <w:r w:rsidRPr="00477A37">
        <w:rPr>
          <w:rFonts w:eastAsia="SimSun"/>
          <w:lang w:val="es-ES" w:eastAsia="ja-JP"/>
        </w:rPr>
        <w:t>Protocolos normalizados para la comun</w:t>
      </w:r>
      <w:r>
        <w:rPr>
          <w:rFonts w:eastAsia="SimSun"/>
          <w:lang w:val="es-ES" w:eastAsia="ja-JP"/>
        </w:rPr>
        <w:t xml:space="preserve">icación </w:t>
      </w:r>
      <w:proofErr w:type="spellStart"/>
      <w:r>
        <w:rPr>
          <w:rFonts w:eastAsia="SimSun"/>
          <w:lang w:val="es-ES" w:eastAsia="ja-JP"/>
        </w:rPr>
        <w:t>agéntica</w:t>
      </w:r>
      <w:proofErr w:type="spellEnd"/>
      <w:r>
        <w:rPr>
          <w:rFonts w:eastAsia="SimSun"/>
          <w:lang w:val="es-ES" w:eastAsia="ja-JP"/>
        </w:rPr>
        <w:t xml:space="preserve"> (por ejemplo</w:t>
      </w:r>
      <w:r w:rsidRPr="00477A37">
        <w:rPr>
          <w:rFonts w:eastAsia="SimSun"/>
          <w:lang w:val="es-ES" w:eastAsia="ja-JP"/>
        </w:rPr>
        <w:t>, MCP, A2A).</w:t>
      </w:r>
    </w:p>
    <w:p w14:paraId="10586709" w14:textId="77777777" w:rsidR="00AC335B" w:rsidRPr="00477A37" w:rsidRDefault="00AC335B" w:rsidP="00AC335B">
      <w:pPr>
        <w:pStyle w:val="enumlev2"/>
        <w:rPr>
          <w:rFonts w:eastAsia="SimSun"/>
          <w:lang w:val="es-ES" w:eastAsia="ja-JP"/>
        </w:rPr>
      </w:pPr>
      <w:r w:rsidRPr="00C278FB">
        <w:rPr>
          <w:rFonts w:ascii="Symbol" w:eastAsia="SimSun" w:hAnsi="Symbol"/>
          <w:lang w:eastAsia="ja-JP"/>
        </w:rPr>
        <w:t></w:t>
      </w:r>
      <w:r w:rsidRPr="00477A37">
        <w:rPr>
          <w:rFonts w:ascii="Symbol" w:eastAsia="SimSun" w:hAnsi="Symbol"/>
          <w:lang w:val="es-ES" w:eastAsia="ja-JP"/>
        </w:rPr>
        <w:tab/>
      </w:r>
      <w:r w:rsidRPr="00477A37">
        <w:rPr>
          <w:rFonts w:eastAsia="SimSun"/>
          <w:lang w:val="es-ES" w:eastAsia="ja-JP"/>
        </w:rPr>
        <w:t>API para la integración con herramientas y pla</w:t>
      </w:r>
      <w:r>
        <w:rPr>
          <w:rFonts w:eastAsia="SimSun"/>
          <w:lang w:val="es-ES" w:eastAsia="ja-JP"/>
        </w:rPr>
        <w:t>taformas</w:t>
      </w:r>
      <w:r w:rsidRPr="00477A37">
        <w:rPr>
          <w:rFonts w:eastAsia="SimSun"/>
          <w:lang w:val="es-ES" w:eastAsia="ja-JP"/>
        </w:rPr>
        <w:t>.</w:t>
      </w:r>
    </w:p>
    <w:p w14:paraId="2A758C47" w14:textId="77777777" w:rsidR="00AC335B" w:rsidRPr="00627958" w:rsidRDefault="00AC335B" w:rsidP="00AC335B">
      <w:pPr>
        <w:pStyle w:val="enumlev2"/>
        <w:rPr>
          <w:rFonts w:eastAsia="MS Mincho"/>
          <w:i/>
          <w:iCs/>
          <w:lang w:val="es-ES" w:eastAsia="ja-JP"/>
        </w:rPr>
      </w:pPr>
      <w:r w:rsidRPr="00C278FB">
        <w:rPr>
          <w:rFonts w:ascii="Symbol" w:eastAsia="MS Mincho" w:hAnsi="Symbol"/>
          <w:iCs/>
          <w:lang w:eastAsia="ja-JP"/>
        </w:rPr>
        <w:t></w:t>
      </w:r>
      <w:r w:rsidRPr="00627958">
        <w:rPr>
          <w:rFonts w:ascii="Symbol" w:eastAsia="MS Mincho" w:hAnsi="Symbol"/>
          <w:iCs/>
          <w:lang w:val="es-ES" w:eastAsia="ja-JP"/>
        </w:rPr>
        <w:tab/>
      </w:r>
      <w:r w:rsidRPr="00627958">
        <w:rPr>
          <w:rFonts w:eastAsia="SimSun"/>
          <w:lang w:val="es-ES" w:eastAsia="ja-JP"/>
        </w:rPr>
        <w:t>Compatibilidad entre plataformas.</w:t>
      </w:r>
    </w:p>
    <w:p w14:paraId="7A93489F" w14:textId="77777777" w:rsidR="00AC335B" w:rsidRPr="00477A37" w:rsidRDefault="00AC335B" w:rsidP="00AC335B">
      <w:pPr>
        <w:rPr>
          <w:rFonts w:eastAsia="SimSun"/>
          <w:lang w:val="es-ES" w:eastAsia="ja-JP"/>
        </w:rPr>
      </w:pPr>
      <w:bookmarkStart w:id="12" w:name="_Hlk222739131"/>
      <w:r w:rsidRPr="00477A37">
        <w:rPr>
          <w:rFonts w:eastAsia="MS Mincho"/>
          <w:lang w:val="es-ES" w:eastAsia="ja-JP"/>
        </w:rPr>
        <w:t xml:space="preserve">El advenimiento de la IA </w:t>
      </w:r>
      <w:proofErr w:type="spellStart"/>
      <w:r w:rsidRPr="00477A37">
        <w:rPr>
          <w:rFonts w:eastAsia="MS Mincho"/>
          <w:lang w:val="es-ES" w:eastAsia="ja-JP"/>
        </w:rPr>
        <w:t>agéntica</w:t>
      </w:r>
      <w:proofErr w:type="spellEnd"/>
      <w:r w:rsidRPr="00477A37">
        <w:rPr>
          <w:rFonts w:eastAsia="MS Mincho"/>
          <w:lang w:val="es-ES" w:eastAsia="ja-JP"/>
        </w:rPr>
        <w:t xml:space="preserve"> hace de la normalización un elemento fundamental para la confianza</w:t>
      </w:r>
      <w:r>
        <w:rPr>
          <w:rFonts w:eastAsia="MS Mincho"/>
          <w:lang w:val="es-ES" w:eastAsia="ja-JP"/>
        </w:rPr>
        <w:t>, la responsabilidad y la interoperabilidad</w:t>
      </w:r>
      <w:r w:rsidRPr="00477A37">
        <w:rPr>
          <w:rFonts w:eastAsia="SimSun"/>
          <w:lang w:val="es-ES" w:eastAsia="ja-JP"/>
        </w:rPr>
        <w:t>.</w:t>
      </w:r>
    </w:p>
    <w:p w14:paraId="7F55EAE0" w14:textId="2C485D63" w:rsidR="00AC335B" w:rsidRPr="00CF0EAA" w:rsidRDefault="00AC335B" w:rsidP="00CF0EAA">
      <w:pPr>
        <w:pStyle w:val="enumlev1"/>
        <w:rPr>
          <w:rFonts w:eastAsia="SimSun"/>
        </w:rPr>
      </w:pPr>
      <w:r w:rsidRPr="00CF0EAA">
        <w:rPr>
          <w:rFonts w:eastAsia="SimSun"/>
        </w:rPr>
        <w:t>–</w:t>
      </w:r>
      <w:r w:rsidRPr="00CF0EAA">
        <w:rPr>
          <w:rFonts w:eastAsia="SimSun"/>
        </w:rPr>
        <w:tab/>
      </w:r>
      <w:r w:rsidR="00A5647B" w:rsidRPr="00046C6D">
        <w:rPr>
          <w:rFonts w:eastAsia="SimSun"/>
        </w:rPr>
        <w:t>Cono</w:t>
      </w:r>
      <w:r w:rsidR="00046C6D" w:rsidRPr="00046C6D">
        <w:rPr>
          <w:rFonts w:eastAsia="SimSun"/>
        </w:rPr>
        <w:t>zca</w:t>
      </w:r>
      <w:r w:rsidRPr="00CF0EAA">
        <w:rPr>
          <w:rFonts w:eastAsia="SimSun"/>
        </w:rPr>
        <w:t xml:space="preserve"> a su agente (KYA) aumenta la transparencia como lo hace KYC para las personas.</w:t>
      </w:r>
    </w:p>
    <w:p w14:paraId="1E20A1F7" w14:textId="77777777" w:rsidR="00AC335B" w:rsidRPr="00CF0EAA" w:rsidRDefault="00AC335B" w:rsidP="00CF0EAA">
      <w:pPr>
        <w:pStyle w:val="enumlev1"/>
        <w:rPr>
          <w:rFonts w:eastAsia="SimSun"/>
        </w:rPr>
      </w:pPr>
      <w:r w:rsidRPr="00CF0EAA">
        <w:rPr>
          <w:rFonts w:eastAsia="SimSun"/>
        </w:rPr>
        <w:t>–</w:t>
      </w:r>
      <w:r w:rsidRPr="00CF0EAA">
        <w:rPr>
          <w:rFonts w:eastAsia="SimSun"/>
        </w:rPr>
        <w:tab/>
        <w:t xml:space="preserve">La identidad </w:t>
      </w:r>
      <w:proofErr w:type="spellStart"/>
      <w:r w:rsidRPr="00CF0EAA">
        <w:rPr>
          <w:rFonts w:eastAsia="SimSun"/>
        </w:rPr>
        <w:t>agéntica</w:t>
      </w:r>
      <w:proofErr w:type="spellEnd"/>
      <w:r w:rsidRPr="00CF0EAA">
        <w:rPr>
          <w:rFonts w:eastAsia="SimSun"/>
        </w:rPr>
        <w:t xml:space="preserve"> y las DID facilitan la confianza verificable.</w:t>
      </w:r>
    </w:p>
    <w:bookmarkEnd w:id="12"/>
    <w:p w14:paraId="64F24DAE" w14:textId="77777777" w:rsidR="00AC335B" w:rsidRPr="00CF0EAA" w:rsidRDefault="00AC335B" w:rsidP="00CF0EAA">
      <w:pPr>
        <w:pStyle w:val="enumlev1"/>
        <w:rPr>
          <w:rFonts w:eastAsia="SimSun"/>
        </w:rPr>
      </w:pPr>
      <w:r w:rsidRPr="00CF0EAA">
        <w:rPr>
          <w:rFonts w:eastAsia="SimSun"/>
        </w:rPr>
        <w:t>–</w:t>
      </w:r>
      <w:r w:rsidRPr="00CF0EAA">
        <w:rPr>
          <w:rFonts w:eastAsia="SimSun"/>
        </w:rPr>
        <w:tab/>
        <w:t>Los modelos federativos permiten la colaboración segura entre dominios.</w:t>
      </w:r>
    </w:p>
    <w:p w14:paraId="3E9AFAF5" w14:textId="254FD452" w:rsidR="00AC335B" w:rsidRPr="00CF0EAA" w:rsidRDefault="00AC335B" w:rsidP="00CF0EAA">
      <w:pPr>
        <w:pStyle w:val="enumlev1"/>
        <w:rPr>
          <w:rFonts w:eastAsia="SimSun"/>
        </w:rPr>
      </w:pPr>
      <w:r w:rsidRPr="00CF0EAA">
        <w:rPr>
          <w:rFonts w:eastAsia="SimSun"/>
        </w:rPr>
        <w:t>–</w:t>
      </w:r>
      <w:r w:rsidRPr="00CF0EAA">
        <w:rPr>
          <w:rFonts w:eastAsia="SimSun"/>
        </w:rPr>
        <w:tab/>
      </w:r>
      <w:r w:rsidR="00133A72">
        <w:rPr>
          <w:rFonts w:eastAsia="SimSun"/>
        </w:rPr>
        <w:t>L</w:t>
      </w:r>
      <w:r w:rsidRPr="00CF0EAA">
        <w:rPr>
          <w:rFonts w:eastAsia="SimSun"/>
        </w:rPr>
        <w:t xml:space="preserve">a vinculación de las identidades personales y </w:t>
      </w:r>
      <w:proofErr w:type="spellStart"/>
      <w:r w:rsidRPr="00CF0EAA">
        <w:rPr>
          <w:rFonts w:eastAsia="SimSun"/>
        </w:rPr>
        <w:t>agénticas</w:t>
      </w:r>
      <w:proofErr w:type="spellEnd"/>
      <w:r w:rsidRPr="00CF0EAA">
        <w:rPr>
          <w:rFonts w:eastAsia="SimSun"/>
        </w:rPr>
        <w:t xml:space="preserve"> garantiza la responsabilidad.</w:t>
      </w:r>
    </w:p>
    <w:p w14:paraId="5A9A4E50" w14:textId="61433426" w:rsidR="00AC335B" w:rsidRPr="00133A72" w:rsidRDefault="00AC335B" w:rsidP="00CF0EAA">
      <w:pPr>
        <w:pStyle w:val="enumlev1"/>
        <w:rPr>
          <w:rFonts w:eastAsia="SimSun"/>
        </w:rPr>
      </w:pPr>
      <w:r w:rsidRPr="00CF0EAA">
        <w:rPr>
          <w:rFonts w:eastAsia="SimSun"/>
        </w:rPr>
        <w:t>–</w:t>
      </w:r>
      <w:r w:rsidRPr="00CF0EAA">
        <w:rPr>
          <w:rFonts w:eastAsia="SimSun"/>
        </w:rPr>
        <w:tab/>
        <w:t xml:space="preserve">La gobernanza establece salvaguardas para </w:t>
      </w:r>
      <w:r w:rsidRPr="00133A72">
        <w:rPr>
          <w:rFonts w:eastAsia="SimSun"/>
        </w:rPr>
        <w:t>una utilización conforme.</w:t>
      </w:r>
    </w:p>
    <w:p w14:paraId="6CBB2D93" w14:textId="77777777" w:rsidR="00AC335B" w:rsidRPr="009D532C" w:rsidRDefault="00AC335B" w:rsidP="00AC335B">
      <w:pPr>
        <w:rPr>
          <w:rFonts w:eastAsia="SimSun"/>
          <w:lang w:val="es-ES" w:eastAsia="ja-JP"/>
        </w:rPr>
      </w:pPr>
      <w:r w:rsidRPr="00477A37">
        <w:rPr>
          <w:rFonts w:eastAsia="SimSun"/>
          <w:lang w:val="es-ES" w:eastAsia="ja-JP"/>
        </w:rPr>
        <w:t xml:space="preserve">Sin normas, la IA </w:t>
      </w:r>
      <w:proofErr w:type="spellStart"/>
      <w:r w:rsidRPr="00477A37">
        <w:rPr>
          <w:rFonts w:eastAsia="SimSun"/>
          <w:lang w:val="es-ES" w:eastAsia="ja-JP"/>
        </w:rPr>
        <w:t>agéntica</w:t>
      </w:r>
      <w:proofErr w:type="spellEnd"/>
      <w:r w:rsidRPr="00477A37">
        <w:rPr>
          <w:rFonts w:eastAsia="SimSun"/>
          <w:lang w:val="es-ES" w:eastAsia="ja-JP"/>
        </w:rPr>
        <w:t xml:space="preserve"> corre el riesgo de fragmentarse, se</w:t>
      </w:r>
      <w:r>
        <w:rPr>
          <w:rFonts w:eastAsia="SimSun"/>
          <w:lang w:val="es-ES" w:eastAsia="ja-JP"/>
        </w:rPr>
        <w:t xml:space="preserve">r utilizada indebidamente y carecer de confianza. </w:t>
      </w:r>
      <w:r w:rsidRPr="009D532C">
        <w:rPr>
          <w:rFonts w:eastAsia="SimSun"/>
          <w:lang w:val="es-ES" w:eastAsia="ja-JP"/>
        </w:rPr>
        <w:t>Las normas permiten un crecimiento seguro y responsable.</w:t>
      </w:r>
    </w:p>
    <w:p w14:paraId="63D04A6D" w14:textId="77777777" w:rsidR="00AC335B" w:rsidRPr="009D532C" w:rsidRDefault="00AC335B" w:rsidP="00AC335B">
      <w:pPr>
        <w:rPr>
          <w:rFonts w:eastAsia="SimSun"/>
          <w:lang w:val="es-ES" w:eastAsia="ja-JP"/>
        </w:rPr>
      </w:pPr>
      <w:r w:rsidRPr="009D532C">
        <w:rPr>
          <w:rFonts w:eastAsia="SimSun"/>
          <w:lang w:val="es-ES" w:eastAsia="ja-JP"/>
        </w:rPr>
        <w:t xml:space="preserve">En las telecomunicaciones y las TIC, la </w:t>
      </w:r>
      <w:proofErr w:type="spellStart"/>
      <w:r w:rsidRPr="009D532C">
        <w:rPr>
          <w:rFonts w:eastAsia="SimSun"/>
          <w:lang w:val="es-ES" w:eastAsia="ja-JP"/>
        </w:rPr>
        <w:t>IdM</w:t>
      </w:r>
      <w:proofErr w:type="spellEnd"/>
      <w:r w:rsidRPr="009D532C">
        <w:rPr>
          <w:rFonts w:eastAsia="SimSun"/>
          <w:lang w:val="es-ES" w:eastAsia="ja-JP"/>
        </w:rPr>
        <w:t xml:space="preserve"> controla</w:t>
      </w:r>
      <w:r>
        <w:rPr>
          <w:rFonts w:eastAsia="SimSun"/>
          <w:lang w:val="es-ES" w:eastAsia="ja-JP"/>
        </w:rPr>
        <w:t xml:space="preserve"> el acceso, actualiza los permisos y es instrumental para la delegación. </w:t>
      </w:r>
      <w:r w:rsidRPr="009D532C">
        <w:rPr>
          <w:rFonts w:eastAsia="SimSun"/>
          <w:lang w:val="es-ES" w:eastAsia="ja-JP"/>
        </w:rPr>
        <w:t>Refuerza la seguridad, previene el fraude y genera</w:t>
      </w:r>
      <w:r>
        <w:rPr>
          <w:rFonts w:eastAsia="SimSun"/>
          <w:lang w:val="es-ES" w:eastAsia="ja-JP"/>
        </w:rPr>
        <w:t xml:space="preserve"> confianza en el usuario. </w:t>
      </w:r>
      <w:r w:rsidRPr="009D532C">
        <w:rPr>
          <w:rFonts w:eastAsia="SimSun"/>
          <w:lang w:val="es-ES" w:eastAsia="ja-JP"/>
        </w:rPr>
        <w:t>La interoperabilidad es esencial para la co</w:t>
      </w:r>
      <w:r>
        <w:rPr>
          <w:rFonts w:eastAsia="SimSun"/>
          <w:lang w:val="es-ES" w:eastAsia="ja-JP"/>
        </w:rPr>
        <w:t>municación y el intercambio de datos a nivel mundial</w:t>
      </w:r>
      <w:r w:rsidRPr="009D532C">
        <w:rPr>
          <w:rFonts w:eastAsia="SimSun"/>
          <w:lang w:val="es-ES" w:eastAsia="ja-JP"/>
        </w:rPr>
        <w:t>.</w:t>
      </w:r>
    </w:p>
    <w:p w14:paraId="48C41256" w14:textId="79D1116B" w:rsidR="00AC335B" w:rsidRPr="009D532C" w:rsidRDefault="00AC335B" w:rsidP="00AC335B">
      <w:pPr>
        <w:rPr>
          <w:rFonts w:eastAsia="SimSun"/>
          <w:lang w:val="es-ES" w:eastAsia="ja-JP"/>
        </w:rPr>
      </w:pPr>
      <w:r w:rsidRPr="009D532C">
        <w:rPr>
          <w:rFonts w:eastAsia="SimSun"/>
          <w:lang w:val="es-ES" w:eastAsia="ja-JP"/>
        </w:rPr>
        <w:t xml:space="preserve">La biométrica mejora la verificación de la identidad para </w:t>
      </w:r>
      <w:r>
        <w:rPr>
          <w:rFonts w:eastAsia="SimSun"/>
          <w:lang w:val="es-ES" w:eastAsia="ja-JP"/>
        </w:rPr>
        <w:t>aplicaciones como el comercio</w:t>
      </w:r>
      <w:r w:rsidR="00133A72">
        <w:rPr>
          <w:rFonts w:eastAsia="SimSun"/>
          <w:lang w:val="es-ES" w:eastAsia="ja-JP"/>
        </w:rPr>
        <w:noBreakHyphen/>
      </w:r>
      <w:r>
        <w:rPr>
          <w:rFonts w:eastAsia="SimSun"/>
          <w:lang w:val="es-ES" w:eastAsia="ja-JP"/>
        </w:rPr>
        <w:t xml:space="preserve">e y la </w:t>
      </w:r>
      <w:proofErr w:type="spellStart"/>
      <w:r>
        <w:rPr>
          <w:rFonts w:eastAsia="SimSun"/>
          <w:lang w:val="es-ES" w:eastAsia="ja-JP"/>
        </w:rPr>
        <w:t>cibersalud</w:t>
      </w:r>
      <w:proofErr w:type="spellEnd"/>
      <w:r>
        <w:rPr>
          <w:rFonts w:eastAsia="SimSun"/>
          <w:lang w:val="es-ES" w:eastAsia="ja-JP"/>
        </w:rPr>
        <w:t xml:space="preserve">, pero plantea problemas relacionados con la protección y la seguridad de los datos. </w:t>
      </w:r>
      <w:r w:rsidRPr="009D532C">
        <w:rPr>
          <w:rFonts w:eastAsia="SimSun"/>
          <w:lang w:val="es-ES" w:eastAsia="ja-JP"/>
        </w:rPr>
        <w:t xml:space="preserve">La </w:t>
      </w:r>
      <w:proofErr w:type="spellStart"/>
      <w:r w:rsidRPr="009D532C">
        <w:rPr>
          <w:rFonts w:eastAsia="SimSun"/>
          <w:lang w:val="es-ES" w:eastAsia="ja-JP"/>
        </w:rPr>
        <w:t>telebiometría</w:t>
      </w:r>
      <w:proofErr w:type="spellEnd"/>
      <w:r w:rsidRPr="009D532C">
        <w:rPr>
          <w:rFonts w:eastAsia="SimSun"/>
          <w:lang w:val="es-ES" w:eastAsia="ja-JP"/>
        </w:rPr>
        <w:t xml:space="preserve"> para servicios móviles y de Internet exige métodos de autentifica</w:t>
      </w:r>
      <w:r>
        <w:rPr>
          <w:rFonts w:eastAsia="SimSun"/>
          <w:lang w:val="es-ES" w:eastAsia="ja-JP"/>
        </w:rPr>
        <w:t>ción seguros y de fácil utilización</w:t>
      </w:r>
      <w:r w:rsidRPr="009D532C">
        <w:rPr>
          <w:rFonts w:eastAsia="SimSun"/>
          <w:lang w:val="es-ES" w:eastAsia="ja-JP"/>
        </w:rPr>
        <w:t>.</w:t>
      </w:r>
    </w:p>
    <w:p w14:paraId="250045CF" w14:textId="64963745" w:rsidR="00AC335B" w:rsidRPr="009D532C" w:rsidRDefault="00AC335B" w:rsidP="00AC335B">
      <w:pPr>
        <w:rPr>
          <w:rFonts w:eastAsia="SimSun"/>
          <w:lang w:val="es-ES" w:eastAsia="ja-JP"/>
        </w:rPr>
      </w:pPr>
      <w:r w:rsidRPr="009D532C">
        <w:rPr>
          <w:rFonts w:eastAsia="SimSun"/>
          <w:lang w:val="es-ES" w:eastAsia="ja-JP"/>
        </w:rPr>
        <w:t xml:space="preserve">Las organizaciones de telecomunicaciones dependen de activos esenciales como la </w:t>
      </w:r>
      <w:r>
        <w:rPr>
          <w:rFonts w:eastAsia="SimSun"/>
          <w:lang w:val="es-ES" w:eastAsia="ja-JP"/>
        </w:rPr>
        <w:t xml:space="preserve">información, las instalaciones, las redes y los medios de transmisión, por lo que una fuerte seguridad es fundamental. </w:t>
      </w:r>
      <w:r w:rsidRPr="009D532C">
        <w:rPr>
          <w:rFonts w:eastAsia="SimSun"/>
          <w:lang w:val="es-ES" w:eastAsia="ja-JP"/>
        </w:rPr>
        <w:t>En UIT-T X.1051 se dan orientaciones sobre los controles de seguridad y las prácticas idóneas para la gestión de la seguridad de la informació</w:t>
      </w:r>
      <w:r>
        <w:rPr>
          <w:rFonts w:eastAsia="SimSun"/>
          <w:lang w:val="es-ES" w:eastAsia="ja-JP"/>
        </w:rPr>
        <w:t>n, y en las Recomendaciones de la serie UIT</w:t>
      </w:r>
      <w:r w:rsidR="00CF0EAA">
        <w:rPr>
          <w:rFonts w:eastAsia="SimSun"/>
          <w:lang w:val="es-ES" w:eastAsia="ja-JP"/>
        </w:rPr>
        <w:noBreakHyphen/>
      </w:r>
      <w:r>
        <w:rPr>
          <w:rFonts w:eastAsia="SimSun"/>
          <w:lang w:val="es-ES" w:eastAsia="ja-JP"/>
        </w:rPr>
        <w:t>T</w:t>
      </w:r>
      <w:r w:rsidRPr="009D532C">
        <w:rPr>
          <w:rFonts w:eastAsia="MS Mincho"/>
          <w:lang w:val="es-ES" w:eastAsia="ja-JP"/>
        </w:rPr>
        <w:t xml:space="preserve"> X.1050 </w:t>
      </w:r>
      <w:r>
        <w:rPr>
          <w:rFonts w:eastAsia="MS Mincho"/>
          <w:lang w:val="es-ES" w:eastAsia="ja-JP"/>
        </w:rPr>
        <w:t>puede encontrarse información sobre todas las áreas de la gestión de la seguridad de la información, incluidas la gestión de riesgos, la gestión de activos, la gobernanza y la intervención en caso de incidente</w:t>
      </w:r>
      <w:r w:rsidRPr="009D532C">
        <w:rPr>
          <w:rFonts w:eastAsia="SimSun"/>
          <w:lang w:val="es-ES" w:eastAsia="ja-JP"/>
        </w:rPr>
        <w:t>.</w:t>
      </w:r>
    </w:p>
    <w:p w14:paraId="1682E481" w14:textId="77777777" w:rsidR="00AC335B" w:rsidRPr="009D532C" w:rsidRDefault="00AC335B" w:rsidP="00AC335B">
      <w:pPr>
        <w:rPr>
          <w:rFonts w:eastAsia="SimSun"/>
          <w:lang w:val="es-ES" w:eastAsia="ja-JP"/>
        </w:rPr>
      </w:pPr>
      <w:r w:rsidRPr="009D532C">
        <w:rPr>
          <w:rFonts w:eastAsia="MS Mincho"/>
          <w:lang w:val="es-ES" w:eastAsia="ja-JP"/>
        </w:rPr>
        <w:t>Se ha de prestar una constante atención a nuevos ámbitos de los servicios de seguridad de las tele</w:t>
      </w:r>
      <w:r>
        <w:rPr>
          <w:rFonts w:eastAsia="MS Mincho"/>
          <w:lang w:val="es-ES" w:eastAsia="ja-JP"/>
        </w:rPr>
        <w:t>comunicaciones y TIC, como el Centro de Ciberdefensa/Centro de Ciberseguridad</w:t>
      </w:r>
      <w:r w:rsidRPr="009D532C">
        <w:rPr>
          <w:rFonts w:eastAsia="MS Mincho"/>
          <w:lang w:val="es-ES" w:eastAsia="ja-JP"/>
        </w:rPr>
        <w:t xml:space="preserve"> (CDC/CSC),</w:t>
      </w:r>
      <w:r w:rsidRPr="009D532C">
        <w:rPr>
          <w:rFonts w:eastAsia="SimSun"/>
          <w:lang w:val="es-ES" w:eastAsia="ja-JP"/>
        </w:rPr>
        <w:t xml:space="preserve"> </w:t>
      </w:r>
      <w:r>
        <w:rPr>
          <w:rFonts w:eastAsia="SimSun"/>
          <w:lang w:val="es-ES" w:eastAsia="ja-JP"/>
        </w:rPr>
        <w:t xml:space="preserve">los diversos Equipos de Intervención en caso de Incidente (EII) (incluidos los EIII que utilizan herramientas de IA), la gestión de la seguridad de la IA y su gobernanza. </w:t>
      </w:r>
      <w:r w:rsidRPr="009D532C">
        <w:rPr>
          <w:rFonts w:eastAsia="SimSun"/>
          <w:lang w:val="es-ES" w:eastAsia="ja-JP"/>
        </w:rPr>
        <w:t xml:space="preserve">Siguen siendo prioritarias la gestión del ciclo de </w:t>
      </w:r>
      <w:r>
        <w:rPr>
          <w:rFonts w:eastAsia="SimSun"/>
          <w:lang w:val="es-ES" w:eastAsia="ja-JP"/>
        </w:rPr>
        <w:t>vida de los controles de seguridad, la protección de la información de identificación personal (IIP) y el desarrollo de los conocimientos humanos acerca de la seguridad</w:t>
      </w:r>
      <w:r w:rsidRPr="009D532C">
        <w:rPr>
          <w:rFonts w:eastAsia="SimSun"/>
          <w:lang w:val="es-ES" w:eastAsia="ja-JP"/>
        </w:rPr>
        <w:t xml:space="preserve">. </w:t>
      </w:r>
    </w:p>
    <w:p w14:paraId="3684D539" w14:textId="77777777" w:rsidR="00AC335B" w:rsidRPr="009D532C" w:rsidRDefault="00AC335B" w:rsidP="00AC335B">
      <w:pPr>
        <w:rPr>
          <w:rFonts w:eastAsia="SimSun"/>
          <w:lang w:val="es-ES" w:eastAsia="ja-JP"/>
        </w:rPr>
      </w:pPr>
      <w:r w:rsidRPr="009D532C">
        <w:rPr>
          <w:rFonts w:eastAsia="SimSun"/>
          <w:lang w:val="es-ES" w:eastAsia="ja-JP"/>
        </w:rPr>
        <w:t>La colaboración con ISO/CEI JTC 1 aumenta la compatibilidad</w:t>
      </w:r>
      <w:r>
        <w:rPr>
          <w:rFonts w:eastAsia="SimSun"/>
          <w:lang w:val="es-ES" w:eastAsia="ja-JP"/>
        </w:rPr>
        <w:t xml:space="preserve"> a nivel mundial, mientras que las normas nacionales facilitan la aplicación a escala local. </w:t>
      </w:r>
      <w:r w:rsidRPr="009D532C">
        <w:rPr>
          <w:rFonts w:eastAsia="SimSun"/>
          <w:lang w:val="es-ES" w:eastAsia="ja-JP"/>
        </w:rPr>
        <w:t xml:space="preserve">A diferencia de la gestión de red, en </w:t>
      </w:r>
      <w:r>
        <w:rPr>
          <w:rFonts w:eastAsia="SimSun"/>
          <w:lang w:val="es-ES" w:eastAsia="ja-JP"/>
        </w:rPr>
        <w:t>este caso el objetivo es salvaguardar los activos y procesos institucionales mediante una gestión de la seguridad de la información integral</w:t>
      </w:r>
      <w:r w:rsidRPr="009D532C">
        <w:rPr>
          <w:rFonts w:eastAsia="SimSun"/>
          <w:lang w:val="es-ES" w:eastAsia="ja-JP"/>
        </w:rPr>
        <w:t>.</w:t>
      </w:r>
    </w:p>
    <w:p w14:paraId="20F4B391" w14:textId="77777777" w:rsidR="00AC335B" w:rsidRPr="009D532C" w:rsidRDefault="00AC335B" w:rsidP="00AC335B">
      <w:pPr>
        <w:rPr>
          <w:rFonts w:eastAsia="SimSun"/>
          <w:lang w:val="es-ES" w:eastAsia="ja-JP"/>
        </w:rPr>
      </w:pPr>
      <w:r w:rsidRPr="009D532C">
        <w:rPr>
          <w:rFonts w:eastAsia="SimSun"/>
          <w:lang w:val="es-ES" w:eastAsia="ja-JP"/>
        </w:rPr>
        <w:t xml:space="preserve">La normalización es esencial a la hora de gestionar la </w:t>
      </w:r>
      <w:r>
        <w:rPr>
          <w:rFonts w:eastAsia="SimSun"/>
          <w:lang w:val="es-ES" w:eastAsia="ja-JP"/>
        </w:rPr>
        <w:t>IA de manera segura, fiable y fidedigna</w:t>
      </w:r>
      <w:r w:rsidRPr="009D532C">
        <w:rPr>
          <w:rFonts w:eastAsia="SimSun"/>
          <w:lang w:val="es-ES" w:eastAsia="ja-JP"/>
        </w:rPr>
        <w:t>.</w:t>
      </w:r>
    </w:p>
    <w:p w14:paraId="66997C91" w14:textId="77777777" w:rsidR="00AC335B" w:rsidRPr="00CF0EAA" w:rsidRDefault="00AC335B" w:rsidP="00CF0EAA">
      <w:pPr>
        <w:pStyle w:val="enumlev1"/>
        <w:rPr>
          <w:rFonts w:eastAsia="SimSun"/>
        </w:rPr>
      </w:pPr>
      <w:r w:rsidRPr="00CF0EAA">
        <w:rPr>
          <w:rFonts w:eastAsia="SimSun"/>
        </w:rPr>
        <w:t>–</w:t>
      </w:r>
      <w:r w:rsidRPr="00CF0EAA">
        <w:rPr>
          <w:rFonts w:eastAsia="SimSun"/>
        </w:rPr>
        <w:tab/>
        <w:t>AI para la seguridad: garantiza la utilización coherente de la IA en la ciberdefensa.</w:t>
      </w:r>
    </w:p>
    <w:p w14:paraId="294CBE0A" w14:textId="77777777" w:rsidR="00AC335B" w:rsidRPr="00CF0EAA" w:rsidRDefault="00AC335B" w:rsidP="00CF0EAA">
      <w:pPr>
        <w:pStyle w:val="enumlev1"/>
        <w:rPr>
          <w:rFonts w:eastAsia="SimSun"/>
        </w:rPr>
      </w:pPr>
      <w:r w:rsidRPr="00CF0EAA">
        <w:rPr>
          <w:rFonts w:eastAsia="SimSun"/>
        </w:rPr>
        <w:t>–</w:t>
      </w:r>
      <w:r w:rsidRPr="00CF0EAA">
        <w:rPr>
          <w:rFonts w:eastAsia="SimSun"/>
        </w:rPr>
        <w:tab/>
        <w:t>Seguridad para la IA: define los requisitos de seguridad del ciclo de vida.</w:t>
      </w:r>
    </w:p>
    <w:p w14:paraId="002346AD" w14:textId="77777777" w:rsidR="00AC335B" w:rsidRPr="00CF0EAA" w:rsidRDefault="00AC335B" w:rsidP="00CF0EAA">
      <w:pPr>
        <w:pStyle w:val="enumlev1"/>
        <w:rPr>
          <w:rFonts w:eastAsia="SimSun"/>
        </w:rPr>
      </w:pPr>
      <w:r w:rsidRPr="00CF0EAA">
        <w:rPr>
          <w:rFonts w:eastAsia="SimSun"/>
        </w:rPr>
        <w:t>–</w:t>
      </w:r>
      <w:r w:rsidRPr="00CF0EAA">
        <w:rPr>
          <w:rFonts w:eastAsia="SimSun"/>
        </w:rPr>
        <w:tab/>
        <w:t>Fiabilidad: crea confianza en los modelos y la protección.</w:t>
      </w:r>
    </w:p>
    <w:p w14:paraId="645B016F" w14:textId="77777777" w:rsidR="00AC335B" w:rsidRPr="00CF0EAA" w:rsidRDefault="00AC335B" w:rsidP="00CF0EAA">
      <w:pPr>
        <w:pStyle w:val="enumlev1"/>
        <w:rPr>
          <w:rFonts w:eastAsia="SimSun"/>
        </w:rPr>
      </w:pPr>
      <w:r w:rsidRPr="00CF0EAA">
        <w:rPr>
          <w:rFonts w:eastAsia="SimSun"/>
        </w:rPr>
        <w:t>–</w:t>
      </w:r>
      <w:r w:rsidRPr="00CF0EAA">
        <w:rPr>
          <w:rFonts w:eastAsia="SimSun"/>
        </w:rPr>
        <w:tab/>
        <w:t>Resiliencia: facilita la supervisión humana y la gobernanza.</w:t>
      </w:r>
    </w:p>
    <w:p w14:paraId="1252EE13" w14:textId="77777777" w:rsidR="00AC335B" w:rsidRPr="00214260" w:rsidRDefault="00AC335B" w:rsidP="00CF0EAA">
      <w:pPr>
        <w:pStyle w:val="enumlev1"/>
        <w:rPr>
          <w:rFonts w:eastAsia="SimSun"/>
          <w:lang w:val="es-ES" w:eastAsia="ja-JP"/>
        </w:rPr>
      </w:pPr>
      <w:r w:rsidRPr="00CF0EAA">
        <w:rPr>
          <w:rFonts w:eastAsia="SimSun"/>
        </w:rPr>
        <w:lastRenderedPageBreak/>
        <w:t>–</w:t>
      </w:r>
      <w:r w:rsidRPr="00CF0EAA">
        <w:rPr>
          <w:rFonts w:eastAsia="SimSun"/>
        </w:rPr>
        <w:tab/>
        <w:t>Garantía: permite la certificación</w:t>
      </w:r>
      <w:r w:rsidRPr="00214260">
        <w:rPr>
          <w:rFonts w:eastAsia="SimSun"/>
          <w:lang w:val="es-ES" w:eastAsia="ja-JP"/>
        </w:rPr>
        <w:t xml:space="preserve"> de si</w:t>
      </w:r>
      <w:r>
        <w:rPr>
          <w:rFonts w:eastAsia="SimSun"/>
          <w:lang w:val="es-ES" w:eastAsia="ja-JP"/>
        </w:rPr>
        <w:t>stemas de IA</w:t>
      </w:r>
      <w:r w:rsidRPr="00214260">
        <w:rPr>
          <w:rFonts w:eastAsia="SimSun"/>
          <w:lang w:val="es-ES" w:eastAsia="ja-JP"/>
        </w:rPr>
        <w:t>.</w:t>
      </w:r>
    </w:p>
    <w:p w14:paraId="1283FC3D" w14:textId="77777777" w:rsidR="00AC335B" w:rsidRPr="00214260" w:rsidRDefault="00AC335B" w:rsidP="00AC335B">
      <w:pPr>
        <w:rPr>
          <w:rFonts w:eastAsia="SimSun"/>
          <w:lang w:val="es-ES" w:eastAsia="ja-JP"/>
        </w:rPr>
      </w:pPr>
      <w:r w:rsidRPr="00214260">
        <w:rPr>
          <w:rFonts w:eastAsia="SimSun"/>
          <w:lang w:val="es-ES" w:eastAsia="ja-JP"/>
        </w:rPr>
        <w:t xml:space="preserve">Al reducir los riesgos de fragmentación y utilización </w:t>
      </w:r>
      <w:r>
        <w:rPr>
          <w:rFonts w:eastAsia="SimSun"/>
          <w:lang w:val="es-ES" w:eastAsia="ja-JP"/>
        </w:rPr>
        <w:t>indebida, las normas permiten la adopción segura</w:t>
      </w:r>
      <w:r w:rsidRPr="00214260">
        <w:rPr>
          <w:rFonts w:eastAsia="SimSun"/>
          <w:lang w:val="es-ES" w:eastAsia="ja-JP"/>
        </w:rPr>
        <w:t>.</w:t>
      </w:r>
    </w:p>
    <w:p w14:paraId="6C705F83" w14:textId="77777777" w:rsidR="00AC335B" w:rsidRPr="00214260" w:rsidRDefault="00AC335B" w:rsidP="00AC335B">
      <w:pPr>
        <w:rPr>
          <w:rFonts w:eastAsia="SimSun"/>
          <w:lang w:val="es-ES" w:eastAsia="ja-JP"/>
        </w:rPr>
      </w:pPr>
      <w:r w:rsidRPr="004D42EF">
        <w:rPr>
          <w:rFonts w:eastAsia="SimSun"/>
          <w:lang w:val="es-ES" w:eastAsia="ja-JP"/>
        </w:rPr>
        <w:t>Las Recomendaciones y los Suplementos relacionados con el estudio de esta Cuestión son</w:t>
      </w:r>
      <w:r>
        <w:rPr>
          <w:rFonts w:eastAsia="SimSun"/>
          <w:lang w:val="es-ES" w:eastAsia="ja-JP"/>
        </w:rPr>
        <w:t>, al</w:t>
      </w:r>
      <w:r w:rsidRPr="00214260">
        <w:rPr>
          <w:rFonts w:eastAsia="MS Mincho"/>
          <w:lang w:val="es-ES" w:eastAsia="ja-JP"/>
        </w:rPr>
        <w:t xml:space="preserve"> 11</w:t>
      </w:r>
      <w:r w:rsidRPr="00214260">
        <w:rPr>
          <w:rFonts w:eastAsia="SimSun"/>
          <w:lang w:val="es-ES" w:eastAsia="ko-KR"/>
        </w:rPr>
        <w:t xml:space="preserve"> </w:t>
      </w:r>
      <w:r>
        <w:rPr>
          <w:rFonts w:eastAsia="SimSun"/>
          <w:lang w:val="es-ES" w:eastAsia="ko-KR"/>
        </w:rPr>
        <w:t>de diciembre de</w:t>
      </w:r>
      <w:r w:rsidRPr="00214260">
        <w:rPr>
          <w:rFonts w:eastAsia="MS Mincho"/>
          <w:lang w:val="es-ES" w:eastAsia="ja-JP"/>
        </w:rPr>
        <w:t xml:space="preserve"> </w:t>
      </w:r>
      <w:r w:rsidRPr="00214260">
        <w:rPr>
          <w:rFonts w:eastAsia="SimSun"/>
          <w:lang w:val="es-ES" w:eastAsia="ko-KR"/>
        </w:rPr>
        <w:t>202</w:t>
      </w:r>
      <w:r w:rsidRPr="00214260">
        <w:rPr>
          <w:rFonts w:eastAsia="MS Mincho"/>
          <w:lang w:val="es-ES" w:eastAsia="ja-JP"/>
        </w:rPr>
        <w:t>5</w:t>
      </w:r>
      <w:r w:rsidRPr="00214260">
        <w:rPr>
          <w:rFonts w:eastAsia="SimSun"/>
          <w:lang w:val="es-ES" w:eastAsia="ja-JP"/>
        </w:rPr>
        <w:t>: X.1080.0, X.1080.1, X.1080.2, X.1081, X.1082, X.1083, X.1084, X.1085, X.1086, X.1087, X.1088, X.1089, X.1090, X.1091, X.1092, X.1093, X.1094, X.1095, X.1250, X.1251, X.1252, X.1253, X.1254, X.1255, X.1256, X.1257, X.1258, X.1261 (</w:t>
      </w:r>
      <w:r>
        <w:rPr>
          <w:rFonts w:eastAsia="SimSun"/>
          <w:lang w:val="es-ES" w:eastAsia="ja-JP"/>
        </w:rPr>
        <w:t xml:space="preserve">con la CE </w:t>
      </w:r>
      <w:r w:rsidRPr="00214260">
        <w:rPr>
          <w:rFonts w:eastAsia="SimSun"/>
          <w:lang w:val="es-ES" w:eastAsia="ja-JP"/>
        </w:rPr>
        <w:t xml:space="preserve">2), X.1275, X.1276, X.1277, </w:t>
      </w:r>
      <w:r w:rsidRPr="00214260">
        <w:rPr>
          <w:rFonts w:eastAsia="MS Mincho"/>
          <w:lang w:val="es-ES" w:eastAsia="ja-JP"/>
        </w:rPr>
        <w:t xml:space="preserve">X.1277.2, </w:t>
      </w:r>
      <w:r w:rsidRPr="00214260">
        <w:rPr>
          <w:rFonts w:eastAsia="SimSun"/>
          <w:lang w:val="es-ES" w:eastAsia="ja-JP"/>
        </w:rPr>
        <w:t xml:space="preserve">X.1278, </w:t>
      </w:r>
      <w:r w:rsidRPr="00214260">
        <w:rPr>
          <w:rFonts w:eastAsia="MS Mincho"/>
          <w:lang w:val="es-ES" w:eastAsia="ja-JP"/>
        </w:rPr>
        <w:t xml:space="preserve">X.1278.2, </w:t>
      </w:r>
      <w:r w:rsidRPr="00214260">
        <w:rPr>
          <w:rFonts w:eastAsia="SimSun"/>
          <w:lang w:val="es-ES" w:eastAsia="ja-JP"/>
        </w:rPr>
        <w:t xml:space="preserve">X.1279, X.1280, X.1281, </w:t>
      </w:r>
      <w:r w:rsidRPr="00214260">
        <w:rPr>
          <w:rFonts w:eastAsia="MS Mincho"/>
          <w:lang w:val="es-ES" w:eastAsia="ja-JP"/>
        </w:rPr>
        <w:t xml:space="preserve">X.1282, </w:t>
      </w:r>
      <w:r w:rsidRPr="00214260">
        <w:rPr>
          <w:rFonts w:eastAsia="SimSun"/>
          <w:lang w:val="es-ES" w:eastAsia="ja-JP"/>
        </w:rPr>
        <w:t>X.1283,</w:t>
      </w:r>
      <w:r w:rsidRPr="00214260">
        <w:rPr>
          <w:rFonts w:eastAsia="MS Mincho"/>
          <w:lang w:val="es-ES" w:eastAsia="ja-JP"/>
        </w:rPr>
        <w:t xml:space="preserve"> </w:t>
      </w:r>
      <w:r w:rsidRPr="00214260">
        <w:rPr>
          <w:rFonts w:eastAsia="SimSun"/>
          <w:lang w:val="es-ES" w:eastAsia="ja-JP"/>
        </w:rPr>
        <w:t xml:space="preserve">X.1284, X.1285 </w:t>
      </w:r>
      <w:r>
        <w:rPr>
          <w:rFonts w:eastAsia="SimSun"/>
          <w:lang w:val="es-ES" w:eastAsia="ja-JP"/>
        </w:rPr>
        <w:t>y los Suplementos</w:t>
      </w:r>
      <w:r w:rsidRPr="00214260">
        <w:rPr>
          <w:rFonts w:eastAsia="SimSun"/>
          <w:lang w:val="es-ES" w:eastAsia="ja-JP"/>
        </w:rPr>
        <w:t xml:space="preserve"> 7, 35, 41, 42, E.409 (</w:t>
      </w:r>
      <w:r>
        <w:rPr>
          <w:rFonts w:eastAsia="SimSun"/>
          <w:lang w:val="es-ES" w:eastAsia="ja-JP"/>
        </w:rPr>
        <w:t xml:space="preserve">en colaboración con la CE </w:t>
      </w:r>
      <w:r w:rsidRPr="00214260">
        <w:rPr>
          <w:rFonts w:eastAsia="SimSun"/>
          <w:lang w:val="es-ES" w:eastAsia="ja-JP"/>
        </w:rPr>
        <w:t>2), X.1051, X.1052, X.1053, X.1054, X.1055, X.1056, X.1057, X.1058, X.1059, X.1060, X.1061</w:t>
      </w:r>
      <w:r w:rsidRPr="00214260">
        <w:rPr>
          <w:rFonts w:eastAsia="MS Mincho"/>
          <w:lang w:val="es-ES" w:eastAsia="ja-JP"/>
        </w:rPr>
        <w:t>, X.1062</w:t>
      </w:r>
      <w:r w:rsidRPr="00214260">
        <w:rPr>
          <w:rFonts w:eastAsia="SimSun"/>
          <w:lang w:val="es-ES" w:eastAsia="ja-JP"/>
        </w:rPr>
        <w:t xml:space="preserve"> </w:t>
      </w:r>
      <w:r>
        <w:rPr>
          <w:rFonts w:eastAsia="SimSun"/>
          <w:lang w:val="es-ES" w:eastAsia="ja-JP"/>
        </w:rPr>
        <w:t>y los Suplementos</w:t>
      </w:r>
      <w:r w:rsidRPr="00214260">
        <w:rPr>
          <w:rFonts w:eastAsia="SimSun"/>
          <w:lang w:val="es-ES" w:eastAsia="ja-JP"/>
        </w:rPr>
        <w:t xml:space="preserve"> 13, 27, 32, 34, 36</w:t>
      </w:r>
      <w:r w:rsidRPr="00214260">
        <w:rPr>
          <w:rFonts w:eastAsia="MS Mincho"/>
          <w:lang w:val="es-ES" w:eastAsia="ja-JP"/>
        </w:rPr>
        <w:t>, 44</w:t>
      </w:r>
      <w:r w:rsidRPr="00214260">
        <w:rPr>
          <w:rFonts w:eastAsia="SimSun"/>
          <w:lang w:val="es-ES" w:eastAsia="ja-JP"/>
        </w:rPr>
        <w:t xml:space="preserve"> </w:t>
      </w:r>
      <w:r>
        <w:rPr>
          <w:rFonts w:eastAsia="SimSun"/>
          <w:lang w:val="es-ES" w:eastAsia="ja-JP"/>
        </w:rPr>
        <w:t>a las Recomendaciones de la serie X</w:t>
      </w:r>
      <w:r w:rsidRPr="00214260">
        <w:rPr>
          <w:rFonts w:eastAsia="SimSun"/>
          <w:lang w:val="es-ES" w:eastAsia="ja-JP"/>
        </w:rPr>
        <w:t>.</w:t>
      </w:r>
    </w:p>
    <w:p w14:paraId="2E0D1D00" w14:textId="26253AE5" w:rsidR="00AC335B" w:rsidRPr="00214260" w:rsidRDefault="00AC335B" w:rsidP="00AC335B">
      <w:pPr>
        <w:rPr>
          <w:rFonts w:eastAsia="MS Mincho"/>
          <w:lang w:val="es-ES" w:eastAsia="ja-JP"/>
        </w:rPr>
      </w:pPr>
      <w:r w:rsidRPr="00214260">
        <w:rPr>
          <w:rFonts w:eastAsia="SimSun"/>
          <w:lang w:val="es-ES" w:eastAsia="ja-JP"/>
        </w:rPr>
        <w:t>Textos</w:t>
      </w:r>
      <w:r>
        <w:rPr>
          <w:rFonts w:eastAsia="SimSun"/>
          <w:lang w:val="es-ES" w:eastAsia="ja-JP"/>
        </w:rPr>
        <w:t xml:space="preserve"> en preparación al</w:t>
      </w:r>
      <w:r w:rsidRPr="00214260">
        <w:rPr>
          <w:rFonts w:eastAsia="SimSun"/>
          <w:lang w:val="es-ES" w:eastAsia="ja-JP"/>
        </w:rPr>
        <w:t xml:space="preserve"> </w:t>
      </w:r>
      <w:r w:rsidRPr="00214260">
        <w:rPr>
          <w:rFonts w:eastAsia="MS Mincho"/>
          <w:lang w:val="es-ES" w:eastAsia="ja-JP"/>
        </w:rPr>
        <w:t>11</w:t>
      </w:r>
      <w:r w:rsidRPr="00214260">
        <w:rPr>
          <w:rFonts w:eastAsia="SimSun"/>
          <w:lang w:val="es-ES" w:eastAsia="ja-JP"/>
        </w:rPr>
        <w:t xml:space="preserve"> </w:t>
      </w:r>
      <w:r>
        <w:rPr>
          <w:rFonts w:eastAsia="SimSun"/>
          <w:lang w:val="es-ES" w:eastAsia="ja-JP"/>
        </w:rPr>
        <w:t>de diciembre de</w:t>
      </w:r>
      <w:r w:rsidRPr="00214260">
        <w:rPr>
          <w:rFonts w:eastAsia="SimSun"/>
          <w:lang w:val="es-ES" w:eastAsia="ko-KR"/>
        </w:rPr>
        <w:t xml:space="preserve"> 202</w:t>
      </w:r>
      <w:r w:rsidRPr="00214260">
        <w:rPr>
          <w:rFonts w:eastAsia="MS Mincho"/>
          <w:lang w:val="es-ES" w:eastAsia="ja-JP"/>
        </w:rPr>
        <w:t>5</w:t>
      </w:r>
      <w:r w:rsidRPr="00214260">
        <w:rPr>
          <w:rFonts w:eastAsia="SimSun"/>
          <w:lang w:val="es-ES" w:eastAsia="ja-JP"/>
        </w:rPr>
        <w:t>: X.1250rev, X.1254rev, X.1280rev, X.1281.Amd1, X.1901(</w:t>
      </w:r>
      <w:proofErr w:type="spellStart"/>
      <w:r w:rsidRPr="00214260">
        <w:rPr>
          <w:rFonts w:eastAsia="SimSun"/>
          <w:lang w:val="es-ES" w:eastAsia="ja-JP"/>
        </w:rPr>
        <w:t>X.aas</w:t>
      </w:r>
      <w:proofErr w:type="spellEnd"/>
      <w:r w:rsidRPr="00214260">
        <w:rPr>
          <w:rFonts w:eastAsia="SimSun"/>
          <w:lang w:val="es-ES" w:eastAsia="ja-JP"/>
        </w:rPr>
        <w:t>),</w:t>
      </w:r>
      <w:r w:rsidRPr="00214260">
        <w:rPr>
          <w:rFonts w:eastAsia="MS Mincho"/>
          <w:lang w:val="es-ES" w:eastAsia="ja-JP"/>
        </w:rPr>
        <w:t xml:space="preserve"> </w:t>
      </w:r>
      <w:proofErr w:type="spellStart"/>
      <w:proofErr w:type="gramStart"/>
      <w:r w:rsidRPr="00214260">
        <w:rPr>
          <w:rFonts w:eastAsia="SimSun"/>
          <w:lang w:val="es-ES" w:eastAsia="ja-JP"/>
        </w:rPr>
        <w:t>X.accsadlt</w:t>
      </w:r>
      <w:proofErr w:type="spellEnd"/>
      <w:proofErr w:type="gramEnd"/>
      <w:r w:rsidRPr="00214260">
        <w:rPr>
          <w:rFonts w:eastAsia="SimSun"/>
          <w:lang w:val="es-ES" w:eastAsia="ja-JP"/>
        </w:rPr>
        <w:t>, X.1096(</w:t>
      </w:r>
      <w:proofErr w:type="spellStart"/>
      <w:r w:rsidRPr="00214260">
        <w:rPr>
          <w:rFonts w:eastAsia="SimSun"/>
          <w:lang w:val="es-ES" w:eastAsia="ja-JP"/>
        </w:rPr>
        <w:t>X.bvm</w:t>
      </w:r>
      <w:proofErr w:type="spellEnd"/>
      <w:r w:rsidRPr="00214260">
        <w:rPr>
          <w:rFonts w:eastAsia="MS Mincho"/>
          <w:lang w:val="es-ES" w:eastAsia="ja-JP"/>
        </w:rPr>
        <w:t>)</w:t>
      </w:r>
      <w:r w:rsidRPr="00214260">
        <w:rPr>
          <w:rFonts w:eastAsia="SimSun"/>
          <w:lang w:val="es-ES" w:eastAsia="ja-JP"/>
        </w:rPr>
        <w:t xml:space="preserve">, </w:t>
      </w:r>
      <w:r w:rsidRPr="00214260">
        <w:rPr>
          <w:rFonts w:eastAsia="MS Mincho"/>
          <w:lang w:val="es-ES" w:eastAsia="ja-JP"/>
        </w:rPr>
        <w:t>X.1268(</w:t>
      </w:r>
      <w:proofErr w:type="spellStart"/>
      <w:r w:rsidRPr="00214260">
        <w:rPr>
          <w:rFonts w:eastAsia="SimSun"/>
          <w:lang w:val="es-ES" w:eastAsia="ja-JP"/>
        </w:rPr>
        <w:t>X.oob-pacs</w:t>
      </w:r>
      <w:proofErr w:type="spellEnd"/>
      <w:r w:rsidRPr="00214260">
        <w:rPr>
          <w:rFonts w:eastAsia="MS Mincho"/>
          <w:lang w:val="es-ES" w:eastAsia="ja-JP"/>
        </w:rPr>
        <w:t>)</w:t>
      </w:r>
      <w:r w:rsidRPr="00214260">
        <w:rPr>
          <w:rFonts w:eastAsia="SimSun"/>
          <w:lang w:val="es-ES" w:eastAsia="ja-JP"/>
        </w:rPr>
        <w:t xml:space="preserve">, </w:t>
      </w:r>
      <w:r w:rsidRPr="00214260">
        <w:rPr>
          <w:rFonts w:eastAsia="MS Mincho"/>
          <w:lang w:val="es-ES" w:eastAsia="ja-JP"/>
        </w:rPr>
        <w:t>X.2310(</w:t>
      </w:r>
      <w:proofErr w:type="spellStart"/>
      <w:proofErr w:type="gramStart"/>
      <w:r w:rsidRPr="00214260">
        <w:rPr>
          <w:rFonts w:eastAsia="SimSun"/>
          <w:lang w:val="es-ES" w:eastAsia="ja-JP"/>
        </w:rPr>
        <w:t>X.srdidm</w:t>
      </w:r>
      <w:proofErr w:type="spellEnd"/>
      <w:proofErr w:type="gramEnd"/>
      <w:r w:rsidRPr="00214260">
        <w:rPr>
          <w:rFonts w:eastAsia="MS Mincho"/>
          <w:lang w:val="es-ES" w:eastAsia="ja-JP"/>
        </w:rPr>
        <w:t>)</w:t>
      </w:r>
      <w:r w:rsidRPr="00214260">
        <w:rPr>
          <w:rFonts w:eastAsia="SimSun"/>
          <w:lang w:val="es-ES" w:eastAsia="ja-JP"/>
        </w:rPr>
        <w:t xml:space="preserve">, </w:t>
      </w:r>
      <w:r w:rsidRPr="00214260">
        <w:rPr>
          <w:rFonts w:eastAsia="MS Mincho"/>
          <w:lang w:val="es-ES" w:eastAsia="ja-JP"/>
        </w:rPr>
        <w:t>X.1097(</w:t>
      </w:r>
      <w:proofErr w:type="spellStart"/>
      <w:r w:rsidRPr="00214260">
        <w:rPr>
          <w:rFonts w:eastAsia="SimSun"/>
          <w:lang w:val="es-ES" w:eastAsia="ja-JP"/>
        </w:rPr>
        <w:t>X.tas</w:t>
      </w:r>
      <w:proofErr w:type="spellEnd"/>
      <w:r w:rsidRPr="00214260">
        <w:rPr>
          <w:rFonts w:eastAsia="MS Mincho"/>
          <w:lang w:val="es-ES" w:eastAsia="ja-JP"/>
        </w:rPr>
        <w:t>)</w:t>
      </w:r>
      <w:r w:rsidRPr="00214260">
        <w:rPr>
          <w:rFonts w:eastAsia="SimSun"/>
          <w:lang w:val="es-ES" w:eastAsia="ja-JP"/>
        </w:rPr>
        <w:t xml:space="preserve">, </w:t>
      </w:r>
      <w:r w:rsidRPr="00214260">
        <w:rPr>
          <w:rFonts w:eastAsia="MS Mincho"/>
          <w:lang w:val="es-ES" w:eastAsia="ja-JP"/>
        </w:rPr>
        <w:t>X.1098(</w:t>
      </w:r>
      <w:proofErr w:type="spellStart"/>
      <w:r w:rsidRPr="00214260">
        <w:rPr>
          <w:rFonts w:eastAsia="SimSun"/>
          <w:lang w:val="es-ES" w:eastAsia="ja-JP"/>
        </w:rPr>
        <w:t>X.tis</w:t>
      </w:r>
      <w:proofErr w:type="spellEnd"/>
      <w:r w:rsidRPr="00214260">
        <w:rPr>
          <w:rFonts w:eastAsia="MS Mincho"/>
          <w:lang w:val="es-ES" w:eastAsia="ja-JP"/>
        </w:rPr>
        <w:t>)</w:t>
      </w:r>
      <w:r w:rsidRPr="00214260">
        <w:rPr>
          <w:rFonts w:eastAsia="SimSun"/>
          <w:lang w:val="es-ES" w:eastAsia="ja-JP"/>
        </w:rPr>
        <w:t xml:space="preserve">, </w:t>
      </w:r>
      <w:proofErr w:type="spellStart"/>
      <w:proofErr w:type="gramStart"/>
      <w:r w:rsidRPr="00214260">
        <w:rPr>
          <w:rFonts w:eastAsia="SimSun"/>
          <w:lang w:val="es-ES" w:eastAsia="ja-JP"/>
        </w:rPr>
        <w:t>X.vctp</w:t>
      </w:r>
      <w:proofErr w:type="spellEnd"/>
      <w:proofErr w:type="gramEnd"/>
      <w:r w:rsidRPr="00214260">
        <w:rPr>
          <w:rFonts w:eastAsia="SimSun"/>
          <w:lang w:val="es-ES" w:eastAsia="ja-JP"/>
        </w:rPr>
        <w:t xml:space="preserve">, </w:t>
      </w:r>
      <w:proofErr w:type="spellStart"/>
      <w:proofErr w:type="gramStart"/>
      <w:r w:rsidRPr="00214260">
        <w:rPr>
          <w:rFonts w:eastAsia="MS Mincho"/>
          <w:lang w:val="es-ES" w:eastAsia="ja-JP"/>
        </w:rPr>
        <w:t>X.sfdiw</w:t>
      </w:r>
      <w:proofErr w:type="spellEnd"/>
      <w:proofErr w:type="gramEnd"/>
      <w:r w:rsidRPr="00214260">
        <w:rPr>
          <w:rFonts w:eastAsia="MS Mincho"/>
          <w:lang w:val="es-ES" w:eastAsia="ja-JP"/>
        </w:rPr>
        <w:t xml:space="preserve">, </w:t>
      </w:r>
      <w:proofErr w:type="spellStart"/>
      <w:r w:rsidRPr="00214260">
        <w:rPr>
          <w:rFonts w:eastAsia="MS Mincho"/>
          <w:lang w:val="es-ES" w:eastAsia="ja-JP"/>
        </w:rPr>
        <w:t>X</w:t>
      </w:r>
      <w:r w:rsidRPr="00214260">
        <w:rPr>
          <w:rFonts w:eastAsia="SimSun"/>
          <w:lang w:val="es-ES" w:eastAsia="ja-JP"/>
        </w:rPr>
        <w:t>.</w:t>
      </w:r>
      <w:r w:rsidRPr="00214260">
        <w:rPr>
          <w:rFonts w:eastAsia="MS Mincho"/>
          <w:lang w:val="es-ES" w:eastAsia="ja-JP"/>
        </w:rPr>
        <w:t>sup-</w:t>
      </w:r>
      <w:r w:rsidRPr="00214260">
        <w:rPr>
          <w:rFonts w:eastAsia="SimSun"/>
          <w:lang w:val="es-ES" w:eastAsia="ja-JP"/>
        </w:rPr>
        <w:t>divs</w:t>
      </w:r>
      <w:proofErr w:type="spellEnd"/>
      <w:r w:rsidRPr="00214260">
        <w:rPr>
          <w:rFonts w:eastAsia="SimSun"/>
          <w:lang w:val="es-ES" w:eastAsia="ja-JP"/>
        </w:rPr>
        <w:t xml:space="preserve">, </w:t>
      </w:r>
      <w:proofErr w:type="spellStart"/>
      <w:r w:rsidRPr="00214260">
        <w:rPr>
          <w:rFonts w:eastAsia="MS Mincho"/>
          <w:lang w:val="es-ES" w:eastAsia="ja-JP"/>
        </w:rPr>
        <w:t>X.STR</w:t>
      </w:r>
      <w:r w:rsidRPr="00214260">
        <w:rPr>
          <w:rFonts w:eastAsia="SimSun"/>
          <w:lang w:val="es-ES" w:eastAsia="ja-JP"/>
        </w:rPr>
        <w:t>.SIMRegBio</w:t>
      </w:r>
      <w:proofErr w:type="spellEnd"/>
      <w:r w:rsidRPr="00214260">
        <w:rPr>
          <w:rFonts w:eastAsia="SimSun"/>
          <w:lang w:val="es-ES" w:eastAsia="ja-JP"/>
        </w:rPr>
        <w:t xml:space="preserve">, X.1053rev, </w:t>
      </w:r>
      <w:proofErr w:type="spellStart"/>
      <w:r w:rsidRPr="00214260">
        <w:rPr>
          <w:rFonts w:eastAsia="SimSun"/>
          <w:lang w:val="es-ES" w:eastAsia="ja-JP"/>
        </w:rPr>
        <w:t>X.cdc-csirt</w:t>
      </w:r>
      <w:proofErr w:type="spellEnd"/>
      <w:r w:rsidRPr="00214260">
        <w:rPr>
          <w:rFonts w:eastAsia="SimSun"/>
          <w:lang w:val="es-ES" w:eastAsia="ja-JP"/>
        </w:rPr>
        <w:t xml:space="preserve">, </w:t>
      </w:r>
      <w:proofErr w:type="spellStart"/>
      <w:r w:rsidRPr="00214260">
        <w:rPr>
          <w:rFonts w:eastAsia="SimSun"/>
          <w:lang w:val="es-ES" w:eastAsia="ja-JP"/>
        </w:rPr>
        <w:t>X.gsm-cdc</w:t>
      </w:r>
      <w:proofErr w:type="spellEnd"/>
      <w:r w:rsidRPr="00214260">
        <w:rPr>
          <w:rFonts w:eastAsia="SimSun"/>
          <w:lang w:val="es-ES" w:eastAsia="ja-JP"/>
        </w:rPr>
        <w:t xml:space="preserve">, </w:t>
      </w:r>
      <w:r w:rsidRPr="00214260">
        <w:rPr>
          <w:rFonts w:eastAsia="MS Mincho"/>
          <w:lang w:val="es-ES" w:eastAsia="ja-JP"/>
        </w:rPr>
        <w:t>X.C2M2, X-</w:t>
      </w:r>
      <w:proofErr w:type="spellStart"/>
      <w:r w:rsidRPr="00214260">
        <w:rPr>
          <w:rFonts w:eastAsia="MS Mincho"/>
          <w:lang w:val="es-ES" w:eastAsia="ja-JP"/>
        </w:rPr>
        <w:t>srm</w:t>
      </w:r>
      <w:proofErr w:type="spellEnd"/>
      <w:r w:rsidRPr="00214260">
        <w:rPr>
          <w:rFonts w:eastAsia="MS Mincho"/>
          <w:lang w:val="es-ES" w:eastAsia="ja-JP"/>
        </w:rPr>
        <w:t>-</w:t>
      </w:r>
      <w:proofErr w:type="spellStart"/>
      <w:r w:rsidRPr="00214260">
        <w:rPr>
          <w:rFonts w:eastAsia="MS Mincho"/>
          <w:lang w:val="es-ES" w:eastAsia="ja-JP"/>
        </w:rPr>
        <w:t>sup</w:t>
      </w:r>
      <w:proofErr w:type="spellEnd"/>
      <w:r w:rsidRPr="00214260">
        <w:rPr>
          <w:rFonts w:eastAsia="MS Mincho"/>
          <w:lang w:val="es-ES" w:eastAsia="ja-JP"/>
        </w:rPr>
        <w:t xml:space="preserve">, </w:t>
      </w:r>
      <w:proofErr w:type="spellStart"/>
      <w:proofErr w:type="gramStart"/>
      <w:r w:rsidRPr="00214260">
        <w:rPr>
          <w:rFonts w:eastAsia="MS Mincho"/>
          <w:lang w:val="es-ES" w:eastAsia="ja-JP"/>
        </w:rPr>
        <w:t>X.AIssc</w:t>
      </w:r>
      <w:proofErr w:type="gramEnd"/>
      <w:r w:rsidRPr="00214260">
        <w:rPr>
          <w:rFonts w:eastAsia="MS Mincho"/>
          <w:lang w:val="es-ES" w:eastAsia="ja-JP"/>
        </w:rPr>
        <w:t>-sm</w:t>
      </w:r>
      <w:proofErr w:type="spellEnd"/>
      <w:r w:rsidRPr="00214260">
        <w:rPr>
          <w:rFonts w:eastAsia="MS Mincho"/>
          <w:lang w:val="es-ES" w:eastAsia="ja-JP"/>
        </w:rPr>
        <w:t xml:space="preserve">, and </w:t>
      </w:r>
      <w:proofErr w:type="spellStart"/>
      <w:proofErr w:type="gramStart"/>
      <w:r w:rsidRPr="00214260">
        <w:rPr>
          <w:rFonts w:eastAsia="MS Mincho"/>
          <w:lang w:val="es-ES" w:eastAsia="ja-JP"/>
        </w:rPr>
        <w:t>TR.AIsmf</w:t>
      </w:r>
      <w:proofErr w:type="spellEnd"/>
      <w:proofErr w:type="gramEnd"/>
    </w:p>
    <w:p w14:paraId="481E5EF1" w14:textId="77777777" w:rsidR="00AC335B" w:rsidRPr="00627958" w:rsidRDefault="00AC335B" w:rsidP="00AC335B">
      <w:pPr>
        <w:pStyle w:val="Heading3"/>
        <w:rPr>
          <w:lang w:val="es-ES"/>
        </w:rPr>
      </w:pPr>
      <w:r w:rsidRPr="00627958">
        <w:rPr>
          <w:lang w:val="es-ES"/>
        </w:rPr>
        <w:t>2</w:t>
      </w:r>
      <w:r w:rsidRPr="00627958">
        <w:rPr>
          <w:lang w:val="es-ES"/>
        </w:rPr>
        <w:tab/>
      </w:r>
      <w:proofErr w:type="gramStart"/>
      <w:r w:rsidRPr="00627958">
        <w:rPr>
          <w:lang w:val="es-ES"/>
        </w:rPr>
        <w:t>Cuestiones</w:t>
      </w:r>
      <w:proofErr w:type="gramEnd"/>
    </w:p>
    <w:p w14:paraId="502D2A80" w14:textId="77777777" w:rsidR="00AC335B" w:rsidRPr="004D42EF" w:rsidRDefault="00AC335B" w:rsidP="00AC335B">
      <w:pPr>
        <w:rPr>
          <w:rFonts w:eastAsia="SimSun"/>
          <w:lang w:val="es-ES" w:eastAsia="ja-JP"/>
        </w:rPr>
      </w:pPr>
      <w:r w:rsidRPr="00091F8F">
        <w:t>Los temas de estudio que se han de considerar son, entre otros</w:t>
      </w:r>
      <w:r w:rsidRPr="004D42EF">
        <w:rPr>
          <w:rFonts w:eastAsia="SimSun"/>
          <w:lang w:val="es-ES" w:eastAsia="ja-JP"/>
        </w:rPr>
        <w:t>:</w:t>
      </w:r>
    </w:p>
    <w:p w14:paraId="6FC4605E" w14:textId="71D34694" w:rsidR="00AC335B" w:rsidRPr="00214260" w:rsidRDefault="00AC335B" w:rsidP="00AC335B">
      <w:pPr>
        <w:pStyle w:val="enumlev1"/>
        <w:rPr>
          <w:lang w:val="es-ES" w:eastAsia="ja-JP"/>
        </w:rPr>
      </w:pPr>
      <w:r w:rsidRPr="00214260">
        <w:rPr>
          <w:lang w:val="es-ES" w:eastAsia="ja-JP"/>
        </w:rPr>
        <w:t>1</w:t>
      </w:r>
      <w:r w:rsidR="00CF0EAA">
        <w:rPr>
          <w:lang w:val="es-ES" w:eastAsia="ja-JP"/>
        </w:rPr>
        <w:t>)</w:t>
      </w:r>
      <w:r w:rsidRPr="00214260">
        <w:rPr>
          <w:lang w:val="es-ES" w:eastAsia="ja-JP"/>
        </w:rPr>
        <w:tab/>
        <w:t>¿Cuáles son los componentes, requisitos y consideraciones ese</w:t>
      </w:r>
      <w:r>
        <w:rPr>
          <w:lang w:val="es-ES" w:eastAsia="ja-JP"/>
        </w:rPr>
        <w:t>n</w:t>
      </w:r>
      <w:r w:rsidRPr="00214260">
        <w:rPr>
          <w:lang w:val="es-ES" w:eastAsia="ja-JP"/>
        </w:rPr>
        <w:t>ciales para un marco de IDM seguro, centrado en el usuario y compatible co</w:t>
      </w:r>
      <w:r>
        <w:rPr>
          <w:lang w:val="es-ES" w:eastAsia="ja-JP"/>
        </w:rPr>
        <w:t>n la nube, que soporte las carteras digitales, las</w:t>
      </w:r>
      <w:r w:rsidRPr="00214260">
        <w:rPr>
          <w:lang w:val="es-ES" w:eastAsia="ja-JP"/>
        </w:rPr>
        <w:t xml:space="preserve"> DID, </w:t>
      </w:r>
      <w:r>
        <w:rPr>
          <w:lang w:val="es-ES" w:eastAsia="ja-JP"/>
        </w:rPr>
        <w:t>las credenciales verificables, las tecnologías de libro mayor distribuido, la nube, las</w:t>
      </w:r>
      <w:r w:rsidRPr="00214260">
        <w:rPr>
          <w:lang w:val="es-ES" w:eastAsia="ja-JP"/>
        </w:rPr>
        <w:t xml:space="preserve"> IMT-2020/IMT-2030, </w:t>
      </w:r>
      <w:r>
        <w:rPr>
          <w:lang w:val="es-ES" w:eastAsia="ja-JP"/>
        </w:rPr>
        <w:t>los dispositivos móviles y la integración con tecnologías de seguridad (por ejemplo</w:t>
      </w:r>
      <w:r w:rsidRPr="00214260">
        <w:rPr>
          <w:lang w:val="es-ES" w:eastAsia="ja-JP"/>
        </w:rPr>
        <w:t xml:space="preserve">, MFA, </w:t>
      </w:r>
      <w:r>
        <w:rPr>
          <w:lang w:val="es-ES" w:eastAsia="ja-JP"/>
        </w:rPr>
        <w:t>IA</w:t>
      </w:r>
      <w:r w:rsidRPr="00214260">
        <w:rPr>
          <w:lang w:val="es-ES" w:eastAsia="ja-JP"/>
        </w:rPr>
        <w:t xml:space="preserve">) </w:t>
      </w:r>
      <w:r>
        <w:rPr>
          <w:lang w:val="es-ES" w:eastAsia="ja-JP"/>
        </w:rPr>
        <w:t>para evitar amenazas</w:t>
      </w:r>
      <w:r w:rsidRPr="00214260">
        <w:rPr>
          <w:lang w:val="es-ES" w:eastAsia="ja-JP"/>
        </w:rPr>
        <w:t>?</w:t>
      </w:r>
    </w:p>
    <w:p w14:paraId="5BB1D741" w14:textId="514786EA" w:rsidR="00AC335B" w:rsidRPr="00214260" w:rsidRDefault="00AC335B" w:rsidP="00AC335B">
      <w:pPr>
        <w:pStyle w:val="enumlev1"/>
        <w:rPr>
          <w:rFonts w:eastAsia="SimSun"/>
          <w:lang w:val="es-ES" w:eastAsia="ja-JP"/>
        </w:rPr>
      </w:pPr>
      <w:r w:rsidRPr="00214260">
        <w:rPr>
          <w:rFonts w:eastAsia="SimSun"/>
          <w:lang w:val="es-ES" w:eastAsia="ja-JP"/>
        </w:rPr>
        <w:t>2</w:t>
      </w:r>
      <w:r w:rsidR="00CF0EAA">
        <w:rPr>
          <w:rFonts w:eastAsia="SimSun"/>
          <w:lang w:val="es-ES" w:eastAsia="ja-JP"/>
        </w:rPr>
        <w:t>)</w:t>
      </w:r>
      <w:r w:rsidRPr="00214260">
        <w:rPr>
          <w:rFonts w:eastAsia="SimSun"/>
          <w:lang w:val="es-ES" w:eastAsia="ja-JP"/>
        </w:rPr>
        <w:tab/>
        <w:t xml:space="preserve">¿Cómo pueden los sistemas de </w:t>
      </w:r>
      <w:proofErr w:type="spellStart"/>
      <w:r w:rsidRPr="00214260">
        <w:rPr>
          <w:rFonts w:eastAsia="SimSun"/>
          <w:lang w:val="es-ES" w:eastAsia="ja-JP"/>
        </w:rPr>
        <w:t>IdM</w:t>
      </w:r>
      <w:proofErr w:type="spellEnd"/>
      <w:r w:rsidRPr="00214260">
        <w:rPr>
          <w:rFonts w:eastAsia="SimSun"/>
          <w:lang w:val="es-ES" w:eastAsia="ja-JP"/>
        </w:rPr>
        <w:t xml:space="preserve"> garantizar la interoperabilidad </w:t>
      </w:r>
      <w:r>
        <w:rPr>
          <w:rFonts w:eastAsia="SimSun"/>
          <w:lang w:val="es-ES" w:eastAsia="ja-JP"/>
        </w:rPr>
        <w:t>entre plataformas, incluida la federación entre sistemas, servicios, dispositivos</w:t>
      </w:r>
      <w:r w:rsidRPr="00214260">
        <w:rPr>
          <w:lang w:val="es-ES" w:eastAsia="ja-JP"/>
        </w:rPr>
        <w:t xml:space="preserve">, </w:t>
      </w:r>
      <w:proofErr w:type="spellStart"/>
      <w:r w:rsidRPr="00214260">
        <w:rPr>
          <w:lang w:val="es-ES" w:eastAsia="ja-JP"/>
        </w:rPr>
        <w:t>IoT</w:t>
      </w:r>
      <w:proofErr w:type="spellEnd"/>
      <w:r>
        <w:rPr>
          <w:lang w:val="es-ES" w:eastAsia="ja-JP"/>
        </w:rPr>
        <w:t xml:space="preserve"> y aplicaciones</w:t>
      </w:r>
      <w:r w:rsidRPr="00214260">
        <w:rPr>
          <w:lang w:val="es-ES" w:eastAsia="ja-JP"/>
        </w:rPr>
        <w:t>?</w:t>
      </w:r>
    </w:p>
    <w:p w14:paraId="509BC209" w14:textId="400F8F42" w:rsidR="00AC335B" w:rsidRPr="00214260" w:rsidRDefault="00AC335B" w:rsidP="00AC335B">
      <w:pPr>
        <w:pStyle w:val="enumlev1"/>
        <w:rPr>
          <w:lang w:val="es-ES" w:eastAsia="ja-JP"/>
        </w:rPr>
      </w:pPr>
      <w:r w:rsidRPr="00214260">
        <w:rPr>
          <w:lang w:val="es-ES" w:eastAsia="ja-JP"/>
        </w:rPr>
        <w:t>3</w:t>
      </w:r>
      <w:r w:rsidR="00CF0EAA">
        <w:rPr>
          <w:lang w:val="es-ES" w:eastAsia="ja-JP"/>
        </w:rPr>
        <w:t>)</w:t>
      </w:r>
      <w:r w:rsidRPr="00214260">
        <w:rPr>
          <w:lang w:val="es-ES" w:eastAsia="ja-JP"/>
        </w:rPr>
        <w:tab/>
        <w:t>¿Qué se necesita para proteger y compartir la información de identificació</w:t>
      </w:r>
      <w:r>
        <w:rPr>
          <w:lang w:val="es-ES" w:eastAsia="ja-JP"/>
        </w:rPr>
        <w:t>n personal (IIP), incluida la aplicación de una gestión efectiva</w:t>
      </w:r>
      <w:r w:rsidRPr="00214260">
        <w:rPr>
          <w:lang w:val="es-ES" w:eastAsia="ja-JP"/>
        </w:rPr>
        <w:t>?</w:t>
      </w:r>
    </w:p>
    <w:p w14:paraId="026FC2EB" w14:textId="2FF79F0F" w:rsidR="00AC335B" w:rsidRPr="00214260" w:rsidRDefault="00AC335B" w:rsidP="00AC335B">
      <w:pPr>
        <w:pStyle w:val="enumlev1"/>
        <w:rPr>
          <w:lang w:val="es-ES" w:eastAsia="ja-JP"/>
        </w:rPr>
      </w:pPr>
      <w:r w:rsidRPr="00214260">
        <w:rPr>
          <w:lang w:val="es-ES" w:eastAsia="ja-JP"/>
        </w:rPr>
        <w:t>4</w:t>
      </w:r>
      <w:r w:rsidR="00CF0EAA">
        <w:rPr>
          <w:lang w:val="es-ES" w:eastAsia="ja-JP"/>
        </w:rPr>
        <w:t>)</w:t>
      </w:r>
      <w:r w:rsidRPr="00214260">
        <w:rPr>
          <w:lang w:val="es-ES" w:eastAsia="ja-JP"/>
        </w:rPr>
        <w:tab/>
        <w:t>¿Cómo pueden los usuarios controlar las relaciones basadas en la identidad y cómo pueden la confianza y las relacion</w:t>
      </w:r>
      <w:r>
        <w:rPr>
          <w:lang w:val="es-ES" w:eastAsia="ja-JP"/>
        </w:rPr>
        <w:t xml:space="preserve">es mejorar la recuperación de cuentas, la seguridad de los usuarios y la experiencia al tratar con partes </w:t>
      </w:r>
      <w:proofErr w:type="spellStart"/>
      <w:r>
        <w:rPr>
          <w:lang w:val="es-ES" w:eastAsia="ja-JP"/>
        </w:rPr>
        <w:t>confiantes</w:t>
      </w:r>
      <w:proofErr w:type="spellEnd"/>
      <w:r w:rsidRPr="00214260">
        <w:rPr>
          <w:lang w:val="es-ES" w:eastAsia="ja-JP"/>
        </w:rPr>
        <w:t>?</w:t>
      </w:r>
    </w:p>
    <w:p w14:paraId="14955736" w14:textId="499DD23F" w:rsidR="00AC335B" w:rsidRPr="00214260" w:rsidRDefault="00AC335B" w:rsidP="00AC335B">
      <w:pPr>
        <w:pStyle w:val="enumlev1"/>
        <w:rPr>
          <w:lang w:val="es-ES" w:eastAsia="ja-JP"/>
        </w:rPr>
      </w:pPr>
      <w:r w:rsidRPr="00214260">
        <w:rPr>
          <w:lang w:val="es-ES" w:eastAsia="ja-JP"/>
        </w:rPr>
        <w:t>5</w:t>
      </w:r>
      <w:r w:rsidR="00CF0EAA">
        <w:rPr>
          <w:lang w:val="es-ES" w:eastAsia="ja-JP"/>
        </w:rPr>
        <w:t>)</w:t>
      </w:r>
      <w:r w:rsidRPr="00214260">
        <w:rPr>
          <w:lang w:val="es-ES" w:eastAsia="ja-JP"/>
        </w:rPr>
        <w:tab/>
        <w:t xml:space="preserve">¿Cómo puede la </w:t>
      </w:r>
      <w:proofErr w:type="spellStart"/>
      <w:r w:rsidRPr="00214260">
        <w:rPr>
          <w:lang w:val="es-ES" w:eastAsia="ja-JP"/>
        </w:rPr>
        <w:t>IdM</w:t>
      </w:r>
      <w:proofErr w:type="spellEnd"/>
      <w:r w:rsidRPr="00214260">
        <w:rPr>
          <w:lang w:val="es-ES" w:eastAsia="ja-JP"/>
        </w:rPr>
        <w:t xml:space="preserve"> soportar la verificación de la edad, proteger a los </w:t>
      </w:r>
      <w:r>
        <w:rPr>
          <w:lang w:val="es-ES" w:eastAsia="ja-JP"/>
        </w:rPr>
        <w:t>menores en línea y verificar atributos de identificación como la edad, el lugar de residencia y la ubicación mediante</w:t>
      </w:r>
      <w:r w:rsidRPr="00214260">
        <w:rPr>
          <w:lang w:val="es-ES" w:eastAsia="ja-JP"/>
        </w:rPr>
        <w:t xml:space="preserve"> DID?</w:t>
      </w:r>
    </w:p>
    <w:p w14:paraId="403F820B" w14:textId="4697A5E2" w:rsidR="00AC335B" w:rsidRPr="00214260" w:rsidRDefault="00AC335B" w:rsidP="00AC335B">
      <w:pPr>
        <w:pStyle w:val="enumlev1"/>
        <w:rPr>
          <w:lang w:val="es-ES" w:eastAsia="ja-JP"/>
        </w:rPr>
      </w:pPr>
      <w:r w:rsidRPr="00214260">
        <w:rPr>
          <w:lang w:val="es-ES" w:eastAsia="ja-JP"/>
        </w:rPr>
        <w:t>6</w:t>
      </w:r>
      <w:r w:rsidR="00CF0EAA">
        <w:rPr>
          <w:lang w:val="es-ES" w:eastAsia="ja-JP"/>
        </w:rPr>
        <w:t>)</w:t>
      </w:r>
      <w:r w:rsidRPr="00214260">
        <w:rPr>
          <w:lang w:val="es-ES" w:eastAsia="ja-JP"/>
        </w:rPr>
        <w:tab/>
        <w:t>¿Cómo pu</w:t>
      </w:r>
      <w:r>
        <w:rPr>
          <w:lang w:val="es-ES" w:eastAsia="ja-JP"/>
        </w:rPr>
        <w:t>e</w:t>
      </w:r>
      <w:r w:rsidRPr="00214260">
        <w:rPr>
          <w:lang w:val="es-ES" w:eastAsia="ja-JP"/>
        </w:rPr>
        <w:t xml:space="preserve">den los registros fiables facilitar la gestión de </w:t>
      </w:r>
      <w:r>
        <w:rPr>
          <w:lang w:val="es-ES" w:eastAsia="ja-JP"/>
        </w:rPr>
        <w:t>identidad y acceso (IAM) segura</w:t>
      </w:r>
      <w:r w:rsidRPr="00214260">
        <w:rPr>
          <w:lang w:val="es-ES" w:eastAsia="ja-JP"/>
        </w:rPr>
        <w:t>?</w:t>
      </w:r>
    </w:p>
    <w:p w14:paraId="5F6CBF27" w14:textId="42C3B7A0" w:rsidR="00AC335B" w:rsidRPr="00214260" w:rsidRDefault="00AC335B" w:rsidP="00AC335B">
      <w:pPr>
        <w:pStyle w:val="enumlev1"/>
        <w:rPr>
          <w:lang w:val="es-ES" w:eastAsia="ja-JP"/>
        </w:rPr>
      </w:pPr>
      <w:r w:rsidRPr="00214260">
        <w:rPr>
          <w:lang w:val="es-ES" w:eastAsia="ja-JP"/>
        </w:rPr>
        <w:t>7</w:t>
      </w:r>
      <w:r w:rsidR="00CF0EAA">
        <w:rPr>
          <w:lang w:val="es-ES" w:eastAsia="ja-JP"/>
        </w:rPr>
        <w:t>)</w:t>
      </w:r>
      <w:r w:rsidRPr="00214260">
        <w:rPr>
          <w:lang w:val="es-ES" w:eastAsia="ja-JP"/>
        </w:rPr>
        <w:tab/>
        <w:t xml:space="preserve">¿Cómo puede realizarse la autentificación por PKI de </w:t>
      </w:r>
      <w:r>
        <w:rPr>
          <w:lang w:val="es-ES" w:eastAsia="ja-JP"/>
        </w:rPr>
        <w:t>manera interoperable y segura</w:t>
      </w:r>
      <w:r w:rsidRPr="00214260">
        <w:rPr>
          <w:lang w:val="es-ES" w:eastAsia="ja-JP"/>
        </w:rPr>
        <w:t>?</w:t>
      </w:r>
    </w:p>
    <w:p w14:paraId="69EE2F3B" w14:textId="69685DDF" w:rsidR="00AC335B" w:rsidRPr="00214260" w:rsidRDefault="00AC335B" w:rsidP="00AC335B">
      <w:pPr>
        <w:pStyle w:val="enumlev1"/>
        <w:rPr>
          <w:lang w:val="es-ES" w:eastAsia="ja-JP"/>
        </w:rPr>
      </w:pPr>
      <w:r w:rsidRPr="00214260">
        <w:rPr>
          <w:lang w:val="es-ES" w:eastAsia="ja-JP"/>
        </w:rPr>
        <w:t>8</w:t>
      </w:r>
      <w:r w:rsidR="00CF0EAA">
        <w:rPr>
          <w:lang w:val="es-ES" w:eastAsia="ja-JP"/>
        </w:rPr>
        <w:t>)</w:t>
      </w:r>
      <w:r w:rsidRPr="00214260">
        <w:rPr>
          <w:lang w:val="es-ES" w:eastAsia="ja-JP"/>
        </w:rPr>
        <w:tab/>
        <w:t>¿Cómo pu</w:t>
      </w:r>
      <w:r>
        <w:rPr>
          <w:lang w:val="es-ES" w:eastAsia="ja-JP"/>
        </w:rPr>
        <w:t>e</w:t>
      </w:r>
      <w:r w:rsidRPr="00214260">
        <w:rPr>
          <w:lang w:val="es-ES" w:eastAsia="ja-JP"/>
        </w:rPr>
        <w:t xml:space="preserve">den los sistemas de </w:t>
      </w:r>
      <w:proofErr w:type="spellStart"/>
      <w:r w:rsidRPr="00214260">
        <w:rPr>
          <w:lang w:val="es-ES" w:eastAsia="ja-JP"/>
        </w:rPr>
        <w:t>IdM</w:t>
      </w:r>
      <w:proofErr w:type="spellEnd"/>
      <w:r w:rsidRPr="00214260">
        <w:rPr>
          <w:lang w:val="es-ES" w:eastAsia="ja-JP"/>
        </w:rPr>
        <w:t xml:space="preserve"> sin contraseña mejorar la </w:t>
      </w:r>
      <w:r>
        <w:rPr>
          <w:lang w:val="es-ES" w:eastAsia="ja-JP"/>
        </w:rPr>
        <w:t>seguridad y la experiencia del usuario</w:t>
      </w:r>
      <w:r w:rsidRPr="00214260">
        <w:rPr>
          <w:lang w:val="es-ES" w:eastAsia="ja-JP"/>
        </w:rPr>
        <w:t>?</w:t>
      </w:r>
    </w:p>
    <w:p w14:paraId="7196D222" w14:textId="63E631AA" w:rsidR="00AC335B" w:rsidRPr="00214260" w:rsidRDefault="00AC335B" w:rsidP="00AC335B">
      <w:pPr>
        <w:pStyle w:val="enumlev1"/>
        <w:rPr>
          <w:lang w:val="es-ES" w:eastAsia="ja-JP"/>
        </w:rPr>
      </w:pPr>
      <w:r w:rsidRPr="00214260">
        <w:rPr>
          <w:lang w:val="es-ES" w:eastAsia="ja-JP"/>
        </w:rPr>
        <w:t>9</w:t>
      </w:r>
      <w:r w:rsidR="00CF0EAA">
        <w:rPr>
          <w:lang w:val="es-ES" w:eastAsia="ja-JP"/>
        </w:rPr>
        <w:t>)</w:t>
      </w:r>
      <w:r w:rsidRPr="00214260">
        <w:rPr>
          <w:lang w:val="es-ES" w:eastAsia="ja-JP"/>
        </w:rPr>
        <w:tab/>
        <w:t>¿</w:t>
      </w:r>
      <w:r>
        <w:rPr>
          <w:lang w:val="es-ES" w:eastAsia="ja-JP"/>
        </w:rPr>
        <w:t>C</w:t>
      </w:r>
      <w:r w:rsidRPr="00214260">
        <w:rPr>
          <w:lang w:val="es-ES" w:eastAsia="ja-JP"/>
        </w:rPr>
        <w:t>uáles son los requisitos de IDM específicos de los proveedores de servicio y cómo</w:t>
      </w:r>
      <w:r>
        <w:rPr>
          <w:lang w:val="es-ES" w:eastAsia="ja-JP"/>
        </w:rPr>
        <w:t xml:space="preserve"> pude la </w:t>
      </w:r>
      <w:proofErr w:type="spellStart"/>
      <w:r>
        <w:rPr>
          <w:lang w:val="es-ES" w:eastAsia="ja-JP"/>
        </w:rPr>
        <w:t>IdM</w:t>
      </w:r>
      <w:proofErr w:type="spellEnd"/>
      <w:r>
        <w:rPr>
          <w:lang w:val="es-ES" w:eastAsia="ja-JP"/>
        </w:rPr>
        <w:t xml:space="preserve"> proteger contra ciberataques</w:t>
      </w:r>
      <w:r w:rsidRPr="00214260">
        <w:rPr>
          <w:lang w:val="es-ES" w:eastAsia="ja-JP"/>
        </w:rPr>
        <w:t>?</w:t>
      </w:r>
    </w:p>
    <w:p w14:paraId="42084B2D" w14:textId="110C380D" w:rsidR="00AC335B" w:rsidRPr="00214260" w:rsidRDefault="00AC335B" w:rsidP="00AC335B">
      <w:pPr>
        <w:pStyle w:val="enumlev1"/>
        <w:rPr>
          <w:lang w:val="es-ES" w:eastAsia="ja-JP"/>
        </w:rPr>
      </w:pPr>
      <w:r w:rsidRPr="00214260">
        <w:rPr>
          <w:lang w:val="es-ES" w:eastAsia="ja-JP"/>
        </w:rPr>
        <w:t>10</w:t>
      </w:r>
      <w:r w:rsidR="00CF0EAA">
        <w:rPr>
          <w:lang w:val="es-ES" w:eastAsia="ja-JP"/>
        </w:rPr>
        <w:t>)</w:t>
      </w:r>
      <w:r w:rsidRPr="00214260">
        <w:rPr>
          <w:lang w:val="es-ES" w:eastAsia="ja-JP"/>
        </w:rPr>
        <w:tab/>
        <w:t>¿Cuáles son los requisitos y mecanismos para garantizar la identidad en la autentificación y la federación, incluidas la</w:t>
      </w:r>
      <w:r>
        <w:rPr>
          <w:lang w:val="es-ES" w:eastAsia="ja-JP"/>
        </w:rPr>
        <w:t xml:space="preserve"> correspondencia y el </w:t>
      </w:r>
      <w:proofErr w:type="spellStart"/>
      <w:r>
        <w:rPr>
          <w:lang w:val="es-ES" w:eastAsia="ja-JP"/>
        </w:rPr>
        <w:t>interfuncionamiento</w:t>
      </w:r>
      <w:proofErr w:type="spellEnd"/>
      <w:r>
        <w:rPr>
          <w:lang w:val="es-ES" w:eastAsia="ja-JP"/>
        </w:rPr>
        <w:t xml:space="preserve"> de distintos métodos de una red a otra</w:t>
      </w:r>
      <w:r w:rsidRPr="00214260">
        <w:rPr>
          <w:lang w:val="es-ES" w:eastAsia="ja-JP"/>
        </w:rPr>
        <w:t>?</w:t>
      </w:r>
    </w:p>
    <w:p w14:paraId="5338DBAE" w14:textId="1CCF16C7" w:rsidR="00AC335B" w:rsidRPr="00214260" w:rsidRDefault="00AC335B" w:rsidP="00AC335B">
      <w:pPr>
        <w:pStyle w:val="enumlev1"/>
        <w:rPr>
          <w:lang w:val="es-ES" w:eastAsia="ja-JP"/>
        </w:rPr>
      </w:pPr>
      <w:r w:rsidRPr="00214260">
        <w:rPr>
          <w:lang w:val="es-ES" w:eastAsia="ja-JP"/>
        </w:rPr>
        <w:t>11</w:t>
      </w:r>
      <w:r w:rsidR="00CF0EAA">
        <w:rPr>
          <w:lang w:val="es-ES" w:eastAsia="ja-JP"/>
        </w:rPr>
        <w:t>)</w:t>
      </w:r>
      <w:r w:rsidRPr="00214260">
        <w:rPr>
          <w:lang w:val="es-ES" w:eastAsia="ja-JP"/>
        </w:rPr>
        <w:tab/>
        <w:t xml:space="preserve">¿Cuáles son los requisitos para integrar los mecanismos de </w:t>
      </w:r>
      <w:proofErr w:type="spellStart"/>
      <w:r>
        <w:rPr>
          <w:lang w:val="es-ES" w:eastAsia="ja-JP"/>
        </w:rPr>
        <w:t>IdM</w:t>
      </w:r>
      <w:proofErr w:type="spellEnd"/>
      <w:r>
        <w:rPr>
          <w:lang w:val="es-ES" w:eastAsia="ja-JP"/>
        </w:rPr>
        <w:t xml:space="preserve"> y confianza para la seguridad</w:t>
      </w:r>
      <w:r w:rsidRPr="00214260">
        <w:rPr>
          <w:lang w:val="es-ES" w:eastAsia="ja-JP"/>
        </w:rPr>
        <w:t>?</w:t>
      </w:r>
    </w:p>
    <w:p w14:paraId="4750965A" w14:textId="3E9FCD1B" w:rsidR="00AC335B" w:rsidRPr="00214260" w:rsidRDefault="00AC335B" w:rsidP="00AC335B">
      <w:pPr>
        <w:pStyle w:val="enumlev1"/>
        <w:rPr>
          <w:lang w:val="es-ES" w:eastAsia="ja-JP"/>
        </w:rPr>
      </w:pPr>
      <w:r w:rsidRPr="00214260">
        <w:rPr>
          <w:lang w:val="es-ES" w:eastAsia="ja-JP"/>
        </w:rPr>
        <w:lastRenderedPageBreak/>
        <w:t>12</w:t>
      </w:r>
      <w:r w:rsidR="00CF0EAA">
        <w:rPr>
          <w:lang w:val="es-ES" w:eastAsia="ja-JP"/>
        </w:rPr>
        <w:t>)</w:t>
      </w:r>
      <w:r w:rsidRPr="00214260">
        <w:rPr>
          <w:lang w:val="es-ES" w:eastAsia="ja-JP"/>
        </w:rPr>
        <w:tab/>
        <w:t>¿Cómo puede emplearse la biometría como parte de capas sólidas de autentificación y confianza para permitir las interacciones fiables en las redes, inclui</w:t>
      </w:r>
      <w:r>
        <w:rPr>
          <w:lang w:val="es-ES" w:eastAsia="ja-JP"/>
        </w:rPr>
        <w:t>da la integración en marcos y requisitos de identidad fiable para redes avanzadas, seguras y de alto rendimiento</w:t>
      </w:r>
      <w:r w:rsidRPr="00214260">
        <w:rPr>
          <w:lang w:val="es-ES" w:eastAsia="ja-JP"/>
        </w:rPr>
        <w:t>?</w:t>
      </w:r>
    </w:p>
    <w:p w14:paraId="79A4C2FF" w14:textId="374A760E" w:rsidR="00AC335B" w:rsidRPr="00214260" w:rsidRDefault="00AC335B" w:rsidP="00AC335B">
      <w:pPr>
        <w:pStyle w:val="enumlev1"/>
        <w:rPr>
          <w:lang w:val="es-ES" w:eastAsia="ja-JP"/>
        </w:rPr>
      </w:pPr>
      <w:r w:rsidRPr="00214260">
        <w:rPr>
          <w:lang w:val="es-ES" w:eastAsia="ja-JP"/>
        </w:rPr>
        <w:t>13</w:t>
      </w:r>
      <w:r w:rsidR="00CF0EAA">
        <w:rPr>
          <w:lang w:val="es-ES" w:eastAsia="ja-JP"/>
        </w:rPr>
        <w:t>)</w:t>
      </w:r>
      <w:r w:rsidRPr="00214260">
        <w:rPr>
          <w:lang w:val="es-ES" w:eastAsia="ja-JP"/>
        </w:rPr>
        <w:tab/>
        <w:t>¿Cuáles son los requisitos para evaluar las técnicas de protección de datos técnicos, operativos y de seguridad en el ámbito de la</w:t>
      </w:r>
      <w:r>
        <w:rPr>
          <w:lang w:val="es-ES" w:eastAsia="ja-JP"/>
        </w:rPr>
        <w:t xml:space="preserve"> biometría, incluida la evaluación de la eficacia contra riesgos y el desarrollo de sistemas conformes con los requisitos de seguridad (por ejemplo, para la computación en la nube</w:t>
      </w:r>
      <w:r w:rsidRPr="00214260">
        <w:rPr>
          <w:lang w:val="es-ES" w:eastAsia="ja-JP"/>
        </w:rPr>
        <w:t>)?</w:t>
      </w:r>
    </w:p>
    <w:p w14:paraId="40D9BBB4" w14:textId="138C4C5E" w:rsidR="00AC335B" w:rsidRPr="00214260" w:rsidRDefault="00AC335B" w:rsidP="00AC335B">
      <w:pPr>
        <w:pStyle w:val="enumlev1"/>
        <w:rPr>
          <w:lang w:val="es-ES" w:eastAsia="ja-JP"/>
        </w:rPr>
      </w:pPr>
      <w:r w:rsidRPr="00214260">
        <w:rPr>
          <w:lang w:val="es-ES" w:eastAsia="ja-JP"/>
        </w:rPr>
        <w:t>14</w:t>
      </w:r>
      <w:r w:rsidR="00CF0EAA">
        <w:rPr>
          <w:lang w:val="es-ES" w:eastAsia="ja-JP"/>
        </w:rPr>
        <w:t>)</w:t>
      </w:r>
      <w:r w:rsidRPr="00214260">
        <w:rPr>
          <w:lang w:val="es-ES" w:eastAsia="ja-JP"/>
        </w:rPr>
        <w:tab/>
        <w:t>¿Cómo pueden mejorarse la identificación y la autentificación de lo</w:t>
      </w:r>
      <w:r>
        <w:rPr>
          <w:lang w:val="es-ES" w:eastAsia="ja-JP"/>
        </w:rPr>
        <w:t>s usuarios en el ámbito de la seguridad y la protección utilizando modelos biométricos interoperables</w:t>
      </w:r>
      <w:r w:rsidRPr="00214260">
        <w:rPr>
          <w:lang w:val="es-ES" w:eastAsia="ja-JP"/>
        </w:rPr>
        <w:t>?</w:t>
      </w:r>
    </w:p>
    <w:p w14:paraId="7C02C706" w14:textId="085A7789" w:rsidR="00AC335B" w:rsidRPr="00214260" w:rsidRDefault="00AC335B" w:rsidP="00AC335B">
      <w:pPr>
        <w:pStyle w:val="enumlev1"/>
        <w:rPr>
          <w:lang w:val="es-ES" w:eastAsia="ja-JP"/>
        </w:rPr>
      </w:pPr>
      <w:r w:rsidRPr="00214260">
        <w:rPr>
          <w:lang w:val="es-ES" w:eastAsia="ja-JP"/>
        </w:rPr>
        <w:t>15</w:t>
      </w:r>
      <w:r w:rsidR="00CF0EAA">
        <w:rPr>
          <w:lang w:val="es-ES" w:eastAsia="ja-JP"/>
        </w:rPr>
        <w:t>)</w:t>
      </w:r>
      <w:r w:rsidRPr="00214260">
        <w:rPr>
          <w:lang w:val="es-ES" w:eastAsia="ja-JP"/>
        </w:rPr>
        <w:tab/>
        <w:t>¿Cómo pueden transmitirse las métricas biológicas entre sistemas y máquinas</w:t>
      </w:r>
      <w:r>
        <w:rPr>
          <w:lang w:val="es-ES" w:eastAsia="ja-JP"/>
        </w:rPr>
        <w:t xml:space="preserve"> biológicos, que interoperan con los protocolos máquina-máquina existentes</w:t>
      </w:r>
      <w:r w:rsidRPr="00214260">
        <w:rPr>
          <w:lang w:val="es-ES" w:eastAsia="ja-JP"/>
        </w:rPr>
        <w:t>?</w:t>
      </w:r>
    </w:p>
    <w:p w14:paraId="119A1AD5" w14:textId="07F2535F" w:rsidR="00AC335B" w:rsidRPr="00214260" w:rsidRDefault="00AC335B" w:rsidP="00AC335B">
      <w:pPr>
        <w:pStyle w:val="enumlev1"/>
        <w:rPr>
          <w:lang w:val="es-ES" w:eastAsia="ja-JP"/>
        </w:rPr>
      </w:pPr>
      <w:r w:rsidRPr="00214260">
        <w:rPr>
          <w:lang w:val="es-ES" w:eastAsia="ja-JP"/>
        </w:rPr>
        <w:t>16</w:t>
      </w:r>
      <w:r w:rsidR="00CF0EAA">
        <w:rPr>
          <w:lang w:val="es-ES" w:eastAsia="ja-JP"/>
        </w:rPr>
        <w:t>)</w:t>
      </w:r>
      <w:r w:rsidRPr="00214260">
        <w:rPr>
          <w:lang w:val="es-ES" w:eastAsia="ja-JP"/>
        </w:rPr>
        <w:tab/>
        <w:t xml:space="preserve">¿Cómo pueden utilizarse </w:t>
      </w:r>
      <w:proofErr w:type="gramStart"/>
      <w:r w:rsidRPr="00214260">
        <w:rPr>
          <w:lang w:val="es-ES" w:eastAsia="ja-JP"/>
        </w:rPr>
        <w:t>las bioseñales</w:t>
      </w:r>
      <w:proofErr w:type="gramEnd"/>
      <w:r w:rsidRPr="00214260">
        <w:rPr>
          <w:lang w:val="es-ES" w:eastAsia="ja-JP"/>
        </w:rPr>
        <w:t xml:space="preserve"> para aplicaciones </w:t>
      </w:r>
      <w:proofErr w:type="spellStart"/>
      <w:r w:rsidRPr="00214260">
        <w:rPr>
          <w:lang w:val="es-ES" w:eastAsia="ja-JP"/>
        </w:rPr>
        <w:t>telebiométricas</w:t>
      </w:r>
      <w:proofErr w:type="spellEnd"/>
      <w:r w:rsidRPr="00214260">
        <w:rPr>
          <w:lang w:val="es-ES" w:eastAsia="ja-JP"/>
        </w:rPr>
        <w:t>, incluidas sus posibles usos, y cu</w:t>
      </w:r>
      <w:r>
        <w:rPr>
          <w:lang w:val="es-ES" w:eastAsia="ja-JP"/>
        </w:rPr>
        <w:t xml:space="preserve">áles son los requisitos para proteger el tratamiento de datos biométricos en la </w:t>
      </w:r>
      <w:proofErr w:type="spellStart"/>
      <w:r>
        <w:rPr>
          <w:lang w:val="es-ES" w:eastAsia="ja-JP"/>
        </w:rPr>
        <w:t>telebiometría</w:t>
      </w:r>
      <w:proofErr w:type="spellEnd"/>
      <w:r>
        <w:rPr>
          <w:lang w:val="es-ES" w:eastAsia="ja-JP"/>
        </w:rPr>
        <w:t xml:space="preserve"> (por ejemplo, </w:t>
      </w:r>
      <w:proofErr w:type="spellStart"/>
      <w:r>
        <w:rPr>
          <w:lang w:val="es-ES" w:eastAsia="ja-JP"/>
        </w:rPr>
        <w:t>cibersalud</w:t>
      </w:r>
      <w:proofErr w:type="spellEnd"/>
      <w:r w:rsidRPr="00214260">
        <w:rPr>
          <w:lang w:val="es-ES" w:eastAsia="ja-JP"/>
        </w:rPr>
        <w:t>)?</w:t>
      </w:r>
    </w:p>
    <w:p w14:paraId="60041559" w14:textId="7675182F" w:rsidR="00AC335B" w:rsidRPr="00AC0F0A" w:rsidRDefault="00AC335B" w:rsidP="00AC335B">
      <w:pPr>
        <w:pStyle w:val="enumlev1"/>
        <w:rPr>
          <w:lang w:val="es-ES" w:eastAsia="ja-JP"/>
        </w:rPr>
      </w:pPr>
      <w:r w:rsidRPr="00AC0F0A">
        <w:rPr>
          <w:lang w:val="es-ES" w:eastAsia="ja-JP"/>
        </w:rPr>
        <w:t>17</w:t>
      </w:r>
      <w:r w:rsidR="00CF0EAA">
        <w:rPr>
          <w:lang w:val="es-ES" w:eastAsia="ja-JP"/>
        </w:rPr>
        <w:t>)</w:t>
      </w:r>
      <w:r w:rsidRPr="00AC0F0A">
        <w:rPr>
          <w:lang w:val="es-ES" w:eastAsia="ja-JP"/>
        </w:rPr>
        <w:tab/>
        <w:t xml:space="preserve">¿Cuál es la incidencia de la IA en la </w:t>
      </w:r>
      <w:r>
        <w:rPr>
          <w:lang w:val="es-ES" w:eastAsia="ja-JP"/>
        </w:rPr>
        <w:t>biometría y la gestión de la identidad</w:t>
      </w:r>
      <w:r w:rsidRPr="00AC0F0A">
        <w:rPr>
          <w:lang w:val="es-ES" w:eastAsia="ja-JP"/>
        </w:rPr>
        <w:t>?</w:t>
      </w:r>
    </w:p>
    <w:p w14:paraId="17B3EB79" w14:textId="052DB784" w:rsidR="00AC335B" w:rsidRPr="00AC0F0A" w:rsidRDefault="00AC335B" w:rsidP="00AC335B">
      <w:pPr>
        <w:pStyle w:val="enumlev1"/>
        <w:rPr>
          <w:lang w:val="es-ES" w:eastAsia="ja-JP"/>
        </w:rPr>
      </w:pPr>
      <w:r w:rsidRPr="00AC0F0A">
        <w:rPr>
          <w:lang w:val="es-ES" w:eastAsia="ja-JP"/>
        </w:rPr>
        <w:t>18</w:t>
      </w:r>
      <w:r w:rsidR="00CF0EAA">
        <w:rPr>
          <w:lang w:val="es-ES" w:eastAsia="ja-JP"/>
        </w:rPr>
        <w:t>)</w:t>
      </w:r>
      <w:r w:rsidRPr="00AC0F0A">
        <w:rPr>
          <w:lang w:val="es-ES" w:eastAsia="ja-JP"/>
        </w:rPr>
        <w:tab/>
        <w:t>¿Qué tipo de sistema debe soportar la posición de seguridad de una organización en el actual panorama cibernético, incluidas las funciones de gobern</w:t>
      </w:r>
      <w:r>
        <w:rPr>
          <w:lang w:val="es-ES" w:eastAsia="ja-JP"/>
        </w:rPr>
        <w:t xml:space="preserve">anza esenciales para la estrategia de seguridad, la gestión operativa y los requisitos aplicables a los mecanismos de </w:t>
      </w:r>
      <w:proofErr w:type="spellStart"/>
      <w:r>
        <w:rPr>
          <w:lang w:val="es-ES" w:eastAsia="ja-JP"/>
        </w:rPr>
        <w:t>IdM</w:t>
      </w:r>
      <w:proofErr w:type="spellEnd"/>
      <w:r>
        <w:rPr>
          <w:lang w:val="es-ES" w:eastAsia="ja-JP"/>
        </w:rPr>
        <w:t xml:space="preserve"> y confianza</w:t>
      </w:r>
      <w:r w:rsidRPr="00AC0F0A">
        <w:rPr>
          <w:lang w:val="es-ES" w:eastAsia="ja-JP"/>
        </w:rPr>
        <w:t>?</w:t>
      </w:r>
    </w:p>
    <w:p w14:paraId="6C5D4943" w14:textId="45E600EB" w:rsidR="00AC335B" w:rsidRPr="00AC0F0A" w:rsidRDefault="00AC335B" w:rsidP="00AC335B">
      <w:pPr>
        <w:pStyle w:val="enumlev1"/>
        <w:rPr>
          <w:rFonts w:eastAsia="SimSun"/>
          <w:lang w:val="es-ES" w:eastAsia="ja-JP"/>
        </w:rPr>
      </w:pPr>
      <w:r w:rsidRPr="00AC0F0A">
        <w:rPr>
          <w:rFonts w:eastAsia="SimSun"/>
          <w:lang w:val="es-ES" w:eastAsia="ja-JP"/>
        </w:rPr>
        <w:t>19</w:t>
      </w:r>
      <w:r w:rsidR="00CF0EAA">
        <w:rPr>
          <w:rFonts w:eastAsia="SimSun"/>
          <w:lang w:val="es-ES" w:eastAsia="ja-JP"/>
        </w:rPr>
        <w:t>)</w:t>
      </w:r>
      <w:r w:rsidRPr="00AC0F0A">
        <w:rPr>
          <w:rFonts w:eastAsia="SimSun"/>
          <w:lang w:val="es-ES" w:eastAsia="ja-JP"/>
        </w:rPr>
        <w:tab/>
        <w:t xml:space="preserve">¿Cómo deben identificarse los problemas concretos de gestión de la seguridad para organizaciones de telecomunicaciones, incluidas la medición, la </w:t>
      </w:r>
      <w:r>
        <w:rPr>
          <w:rFonts w:eastAsia="SimSun"/>
          <w:lang w:val="es-ES" w:eastAsia="ja-JP"/>
        </w:rPr>
        <w:t>gestión para organizaciones (por ejemplo, pyme) y las dificultades de aplicación de las normas de gestión de la seguridad</w:t>
      </w:r>
      <w:r w:rsidRPr="00AC0F0A">
        <w:rPr>
          <w:lang w:val="es-ES" w:eastAsia="ja-JP"/>
        </w:rPr>
        <w:t>?</w:t>
      </w:r>
    </w:p>
    <w:p w14:paraId="51D0740B" w14:textId="23BE1987" w:rsidR="00AC335B" w:rsidRPr="00AC0F0A" w:rsidRDefault="00AC335B" w:rsidP="00AC335B">
      <w:pPr>
        <w:pStyle w:val="enumlev1"/>
        <w:rPr>
          <w:rFonts w:eastAsia="SimSun"/>
          <w:lang w:val="es-ES" w:eastAsia="ja-JP"/>
        </w:rPr>
      </w:pPr>
      <w:r w:rsidRPr="00AC0F0A">
        <w:rPr>
          <w:rFonts w:eastAsia="SimSun"/>
          <w:lang w:val="es-ES" w:eastAsia="ja-JP"/>
        </w:rPr>
        <w:t>20</w:t>
      </w:r>
      <w:r w:rsidR="00CF0EAA">
        <w:rPr>
          <w:rFonts w:eastAsia="SimSun"/>
          <w:lang w:val="es-ES" w:eastAsia="ja-JP"/>
        </w:rPr>
        <w:t>)</w:t>
      </w:r>
      <w:r w:rsidRPr="00AC0F0A">
        <w:rPr>
          <w:rFonts w:eastAsia="SimSun"/>
          <w:lang w:val="es-ES" w:eastAsia="ja-JP"/>
        </w:rPr>
        <w:tab/>
        <w:t>¿Cómo deben los conceptos, principios y prácticas idóneas de gobernanza de la seguri</w:t>
      </w:r>
      <w:r>
        <w:rPr>
          <w:rFonts w:eastAsia="SimSun"/>
          <w:lang w:val="es-ES" w:eastAsia="ja-JP"/>
        </w:rPr>
        <w:t>d</w:t>
      </w:r>
      <w:r w:rsidRPr="00AC0F0A">
        <w:rPr>
          <w:rFonts w:eastAsia="SimSun"/>
          <w:lang w:val="es-ES" w:eastAsia="ja-JP"/>
        </w:rPr>
        <w:t>ad (incluida la IA para la seguridad) aplic</w:t>
      </w:r>
      <w:r>
        <w:rPr>
          <w:rFonts w:eastAsia="SimSun"/>
          <w:lang w:val="es-ES" w:eastAsia="ja-JP"/>
        </w:rPr>
        <w:t>arse a fin de orientar los servicios de seguridad en las organizaciones, por ejemplo, los</w:t>
      </w:r>
      <w:r w:rsidRPr="00AC0F0A">
        <w:rPr>
          <w:lang w:val="es-ES" w:eastAsia="ja-JP"/>
        </w:rPr>
        <w:t xml:space="preserve"> CDC/CSC </w:t>
      </w:r>
      <w:r>
        <w:rPr>
          <w:lang w:val="es-ES" w:eastAsia="ja-JP"/>
        </w:rPr>
        <w:t>y distintos tipos de EII</w:t>
      </w:r>
      <w:r w:rsidRPr="00AC0F0A">
        <w:rPr>
          <w:lang w:val="es-ES" w:eastAsia="ja-JP"/>
        </w:rPr>
        <w:t>?</w:t>
      </w:r>
    </w:p>
    <w:p w14:paraId="4500A8A1" w14:textId="4EE627EF" w:rsidR="00AC335B" w:rsidRPr="00AC0F0A" w:rsidRDefault="00AC335B" w:rsidP="00AC335B">
      <w:pPr>
        <w:pStyle w:val="enumlev1"/>
        <w:rPr>
          <w:rFonts w:eastAsia="SimSun"/>
          <w:lang w:val="es-ES" w:eastAsia="ja-JP"/>
        </w:rPr>
      </w:pPr>
      <w:r w:rsidRPr="00AC0F0A">
        <w:rPr>
          <w:rFonts w:eastAsia="SimSun"/>
          <w:lang w:val="es-ES" w:eastAsia="ja-JP"/>
        </w:rPr>
        <w:t>21</w:t>
      </w:r>
      <w:r w:rsidR="00CF0EAA">
        <w:rPr>
          <w:rFonts w:eastAsia="SimSun"/>
          <w:lang w:val="es-ES" w:eastAsia="ja-JP"/>
        </w:rPr>
        <w:t>)</w:t>
      </w:r>
      <w:r w:rsidRPr="00AC0F0A">
        <w:rPr>
          <w:rFonts w:eastAsia="SimSun"/>
          <w:lang w:val="es-ES" w:eastAsia="ja-JP"/>
        </w:rPr>
        <w:tab/>
        <w:t xml:space="preserve">¿Como debe implementarse adecuadamente la gestión de la seguridad para organizaciones de </w:t>
      </w:r>
      <w:r>
        <w:rPr>
          <w:rFonts w:eastAsia="SimSun"/>
          <w:lang w:val="es-ES" w:eastAsia="ja-JP"/>
        </w:rPr>
        <w:t>telecomunicaciones utilizando las normas existentes</w:t>
      </w:r>
      <w:r w:rsidRPr="00AC0F0A">
        <w:rPr>
          <w:lang w:val="es-ES" w:eastAsia="ja-JP"/>
        </w:rPr>
        <w:t xml:space="preserve"> (</w:t>
      </w:r>
      <w:r>
        <w:rPr>
          <w:lang w:val="es-ES" w:eastAsia="ja-JP"/>
        </w:rPr>
        <w:t>UIT</w:t>
      </w:r>
      <w:r w:rsidRPr="00AC0F0A">
        <w:rPr>
          <w:lang w:val="es-ES" w:eastAsia="ja-JP"/>
        </w:rPr>
        <w:t>-T, ISO/</w:t>
      </w:r>
      <w:r>
        <w:rPr>
          <w:lang w:val="es-ES" w:eastAsia="ja-JP"/>
        </w:rPr>
        <w:t>CEI y otras</w:t>
      </w:r>
      <w:r w:rsidRPr="00AC0F0A">
        <w:rPr>
          <w:lang w:val="es-ES" w:eastAsia="ja-JP"/>
        </w:rPr>
        <w:t>)?</w:t>
      </w:r>
    </w:p>
    <w:p w14:paraId="45521223" w14:textId="6E96D822" w:rsidR="00AC335B" w:rsidRPr="00AC0F0A" w:rsidRDefault="00AC335B" w:rsidP="00AC335B">
      <w:pPr>
        <w:pStyle w:val="enumlev1"/>
        <w:rPr>
          <w:rFonts w:eastAsia="SimSun"/>
          <w:lang w:val="es-ES" w:eastAsia="ja-JP"/>
        </w:rPr>
      </w:pPr>
      <w:r w:rsidRPr="00AC0F0A">
        <w:rPr>
          <w:rFonts w:eastAsia="SimSun"/>
          <w:lang w:val="es-ES" w:eastAsia="ja-JP"/>
        </w:rPr>
        <w:t>22</w:t>
      </w:r>
      <w:r w:rsidR="00CF0EAA">
        <w:rPr>
          <w:rFonts w:eastAsia="SimSun"/>
          <w:lang w:val="es-ES" w:eastAsia="ja-JP"/>
        </w:rPr>
        <w:t>)</w:t>
      </w:r>
      <w:r w:rsidRPr="00AC0F0A">
        <w:rPr>
          <w:rFonts w:eastAsia="SimSun"/>
          <w:lang w:val="es-ES" w:eastAsia="ja-JP"/>
        </w:rPr>
        <w:tab/>
        <w:t xml:space="preserve">¿Cómo debe una organización mejorar las competencias y </w:t>
      </w:r>
      <w:r>
        <w:rPr>
          <w:rFonts w:eastAsia="SimSun"/>
          <w:lang w:val="es-ES" w:eastAsia="ja-JP"/>
        </w:rPr>
        <w:t>capacidades en materia de seguridad de su personal</w:t>
      </w:r>
      <w:r w:rsidRPr="00AC0F0A">
        <w:rPr>
          <w:lang w:val="es-ES" w:eastAsia="ja-JP"/>
        </w:rPr>
        <w:t>?</w:t>
      </w:r>
    </w:p>
    <w:p w14:paraId="788EA6E6" w14:textId="2BEE882A" w:rsidR="00AC335B" w:rsidRPr="00AC0F0A" w:rsidRDefault="00AC335B" w:rsidP="00AC335B">
      <w:pPr>
        <w:pStyle w:val="enumlev1"/>
        <w:rPr>
          <w:rFonts w:eastAsia="SimSun"/>
          <w:lang w:val="es-ES" w:eastAsia="ja-JP"/>
        </w:rPr>
      </w:pPr>
      <w:r w:rsidRPr="00AC0F0A">
        <w:rPr>
          <w:rFonts w:eastAsia="SimSun"/>
          <w:lang w:val="es-ES" w:eastAsia="ja-JP"/>
        </w:rPr>
        <w:t>23</w:t>
      </w:r>
      <w:r w:rsidR="00CF0EAA">
        <w:rPr>
          <w:rFonts w:eastAsia="SimSun"/>
          <w:lang w:val="es-ES" w:eastAsia="ja-JP"/>
        </w:rPr>
        <w:t>)</w:t>
      </w:r>
      <w:r w:rsidRPr="00AC0F0A">
        <w:rPr>
          <w:rFonts w:eastAsia="SimSun"/>
          <w:lang w:val="es-ES" w:eastAsia="ja-JP"/>
        </w:rPr>
        <w:tab/>
        <w:t xml:space="preserve">¿Cómo debe una organización identificar las relaciones entre CDC y </w:t>
      </w:r>
      <w:r>
        <w:rPr>
          <w:rFonts w:eastAsia="SimSun"/>
          <w:lang w:val="es-ES" w:eastAsia="ja-JP"/>
        </w:rPr>
        <w:t>EIISI</w:t>
      </w:r>
      <w:r w:rsidRPr="00AC0F0A">
        <w:rPr>
          <w:lang w:val="es-ES" w:eastAsia="ja-JP"/>
        </w:rPr>
        <w:t>?</w:t>
      </w:r>
    </w:p>
    <w:p w14:paraId="13A5ABC3" w14:textId="78EA77D0" w:rsidR="00AC335B" w:rsidRPr="00AC0F0A" w:rsidRDefault="00AC335B" w:rsidP="00AC335B">
      <w:pPr>
        <w:pStyle w:val="enumlev1"/>
        <w:rPr>
          <w:rFonts w:eastAsia="SimSun"/>
          <w:lang w:val="es-ES" w:eastAsia="ja-JP"/>
        </w:rPr>
      </w:pPr>
      <w:r w:rsidRPr="00AC0F0A">
        <w:rPr>
          <w:rFonts w:eastAsia="SimSun"/>
          <w:lang w:val="es-ES" w:eastAsia="ja-JP"/>
        </w:rPr>
        <w:t>24</w:t>
      </w:r>
      <w:r w:rsidR="00CF0EAA">
        <w:rPr>
          <w:rFonts w:eastAsia="SimSun"/>
          <w:lang w:val="es-ES" w:eastAsia="ja-JP"/>
        </w:rPr>
        <w:t>)</w:t>
      </w:r>
      <w:r w:rsidRPr="00AC0F0A">
        <w:rPr>
          <w:rFonts w:eastAsia="SimSun"/>
          <w:lang w:val="es-ES" w:eastAsia="ja-JP"/>
        </w:rPr>
        <w:tab/>
        <w:t>¿Cómo debe una organización establecer una referencia comparativa de los niveles de madurez de la ciberseguridad, permitiend</w:t>
      </w:r>
      <w:r>
        <w:rPr>
          <w:rFonts w:eastAsia="SimSun"/>
          <w:lang w:val="es-ES" w:eastAsia="ja-JP"/>
        </w:rPr>
        <w:t xml:space="preserve">o que sean mensurables, y gestionar los riesgos en la cadena de suministro de </w:t>
      </w:r>
      <w:r w:rsidRPr="00A34408">
        <w:rPr>
          <w:rFonts w:eastAsia="SimSun"/>
          <w:i/>
          <w:iCs/>
          <w:lang w:val="es-ES" w:eastAsia="ja-JP"/>
        </w:rPr>
        <w:t>software</w:t>
      </w:r>
      <w:r w:rsidRPr="00AC0F0A">
        <w:rPr>
          <w:lang w:val="es-ES" w:eastAsia="ja-JP"/>
        </w:rPr>
        <w:t>?</w:t>
      </w:r>
    </w:p>
    <w:p w14:paraId="55BB0206" w14:textId="56036E7B" w:rsidR="00AC335B" w:rsidRPr="00AC0F0A" w:rsidRDefault="00AC335B" w:rsidP="00AC335B">
      <w:pPr>
        <w:pStyle w:val="enumlev1"/>
        <w:rPr>
          <w:lang w:val="es-ES" w:eastAsia="ja-JP"/>
        </w:rPr>
      </w:pPr>
      <w:r w:rsidRPr="00AC0F0A">
        <w:rPr>
          <w:lang w:val="es-ES" w:eastAsia="ja-JP"/>
        </w:rPr>
        <w:t>25</w:t>
      </w:r>
      <w:r w:rsidR="00CF0EAA">
        <w:rPr>
          <w:lang w:val="es-ES" w:eastAsia="ja-JP"/>
        </w:rPr>
        <w:t>)</w:t>
      </w:r>
      <w:r w:rsidRPr="00AC0F0A">
        <w:rPr>
          <w:lang w:val="es-ES" w:eastAsia="ja-JP"/>
        </w:rPr>
        <w:tab/>
        <w:t xml:space="preserve">¿Qué marcos permiten la interoperabilidad mundial de las carteras de </w:t>
      </w:r>
      <w:r>
        <w:rPr>
          <w:lang w:val="es-ES" w:eastAsia="ja-JP"/>
        </w:rPr>
        <w:t>identidad digital en ecosistemas de identidad descentralizada, incluidos los requisitos para aplicar políticas de acceso basadas en las preferencias del usuario</w:t>
      </w:r>
      <w:r w:rsidRPr="00AC0F0A">
        <w:rPr>
          <w:lang w:val="es-ES" w:eastAsia="ja-JP"/>
        </w:rPr>
        <w:t>?</w:t>
      </w:r>
    </w:p>
    <w:p w14:paraId="02498423" w14:textId="5CB251B4" w:rsidR="00AC335B" w:rsidRPr="00AC0F0A" w:rsidRDefault="00AC335B" w:rsidP="00AC335B">
      <w:pPr>
        <w:pStyle w:val="enumlev1"/>
        <w:rPr>
          <w:lang w:val="es-ES" w:eastAsia="ja-JP"/>
        </w:rPr>
      </w:pPr>
      <w:r w:rsidRPr="00AC0F0A">
        <w:rPr>
          <w:lang w:val="es-ES" w:eastAsia="ja-JP"/>
        </w:rPr>
        <w:t>26</w:t>
      </w:r>
      <w:r w:rsidR="00CF0EAA">
        <w:rPr>
          <w:lang w:val="es-ES" w:eastAsia="ja-JP"/>
        </w:rPr>
        <w:t>)</w:t>
      </w:r>
      <w:r w:rsidRPr="00AC0F0A">
        <w:rPr>
          <w:lang w:val="es-ES" w:eastAsia="ja-JP"/>
        </w:rPr>
        <w:tab/>
        <w:t xml:space="preserve">¿Cuáles son los requisitos para integrar en la gestión de la identidad digital la gestión de las entidades de IA </w:t>
      </w:r>
      <w:proofErr w:type="spellStart"/>
      <w:r w:rsidRPr="00AC0F0A">
        <w:rPr>
          <w:lang w:val="es-ES" w:eastAsia="ja-JP"/>
        </w:rPr>
        <w:t>agéntica</w:t>
      </w:r>
      <w:proofErr w:type="spellEnd"/>
      <w:r w:rsidRPr="00AC0F0A">
        <w:rPr>
          <w:lang w:val="es-ES" w:eastAsia="ja-JP"/>
        </w:rPr>
        <w:t>, incluida la definición de la identidad (atributos, credenciales, funciones), el ciclo de vida (creación, vinculac</w:t>
      </w:r>
      <w:r>
        <w:rPr>
          <w:lang w:val="es-ES" w:eastAsia="ja-JP"/>
        </w:rPr>
        <w:t>ión, delegación, revocación, terminación), los mecanismos de autentificación (por ejemplo</w:t>
      </w:r>
      <w:r w:rsidRPr="00AC0F0A">
        <w:rPr>
          <w:lang w:val="es-ES" w:eastAsia="ja-JP"/>
        </w:rPr>
        <w:t xml:space="preserve">, </w:t>
      </w:r>
      <w:proofErr w:type="spellStart"/>
      <w:r w:rsidRPr="00AC0F0A">
        <w:rPr>
          <w:lang w:val="es-ES" w:eastAsia="ja-JP"/>
        </w:rPr>
        <w:t>DIDs</w:t>
      </w:r>
      <w:proofErr w:type="spellEnd"/>
      <w:r w:rsidRPr="00AC0F0A">
        <w:rPr>
          <w:lang w:val="es-ES" w:eastAsia="ja-JP"/>
        </w:rPr>
        <w:t xml:space="preserve">, </w:t>
      </w:r>
      <w:r>
        <w:rPr>
          <w:lang w:val="es-ES" w:eastAsia="ja-JP"/>
        </w:rPr>
        <w:t xml:space="preserve">contraseñas), los flujos de delegación, la utilización </w:t>
      </w:r>
      <w:proofErr w:type="spellStart"/>
      <w:r>
        <w:rPr>
          <w:lang w:val="es-ES" w:eastAsia="ja-JP"/>
        </w:rPr>
        <w:t>transdominio</w:t>
      </w:r>
      <w:proofErr w:type="spellEnd"/>
      <w:r>
        <w:rPr>
          <w:lang w:val="es-ES" w:eastAsia="ja-JP"/>
        </w:rPr>
        <w:t xml:space="preserve">, los protocolos de federación, los marcos de confianza, la vinculación al propietario/controlador, los modelos de responsabilidad y fiabilidad, las </w:t>
      </w:r>
      <w:r>
        <w:rPr>
          <w:lang w:val="es-ES" w:eastAsia="ja-JP"/>
        </w:rPr>
        <w:lastRenderedPageBreak/>
        <w:t>estructuras de supervisión, la conformidad con la privacidad/protección de IIP/auditabilidad, y las normas sobre niveles de garantía</w:t>
      </w:r>
      <w:r w:rsidRPr="00AC0F0A">
        <w:rPr>
          <w:lang w:val="es-ES" w:eastAsia="ja-JP"/>
        </w:rPr>
        <w:t>?</w:t>
      </w:r>
    </w:p>
    <w:p w14:paraId="595EF207" w14:textId="3FF54B3F" w:rsidR="00AC335B" w:rsidRPr="00AC0F0A" w:rsidRDefault="00AC335B" w:rsidP="00AC335B">
      <w:pPr>
        <w:pStyle w:val="enumlev1"/>
        <w:rPr>
          <w:lang w:val="es-ES" w:eastAsia="ja-JP"/>
        </w:rPr>
      </w:pPr>
      <w:r w:rsidRPr="00AC0F0A">
        <w:rPr>
          <w:lang w:val="es-ES" w:eastAsia="ja-JP"/>
        </w:rPr>
        <w:t>27</w:t>
      </w:r>
      <w:r w:rsidR="00CF0EAA">
        <w:rPr>
          <w:lang w:val="es-ES" w:eastAsia="ja-JP"/>
        </w:rPr>
        <w:t>)</w:t>
      </w:r>
      <w:r w:rsidRPr="00AC0F0A">
        <w:rPr>
          <w:lang w:val="es-ES" w:eastAsia="ja-JP"/>
        </w:rPr>
        <w:tab/>
        <w:t>¿Cuáles son los modelos de datos de las credenciales verificables, incluido el esquema normativo aplicables a los atributos de</w:t>
      </w:r>
      <w:r>
        <w:rPr>
          <w:lang w:val="es-ES" w:eastAsia="ja-JP"/>
        </w:rPr>
        <w:t xml:space="preserve"> identidad (por ejemplo, nombre, función, organización, vinculación al agente) y metadatos para la expedición, expiración, revocación y nivel de garantía</w:t>
      </w:r>
      <w:r w:rsidRPr="00AC0F0A">
        <w:rPr>
          <w:lang w:val="es-ES" w:eastAsia="ja-JP"/>
        </w:rPr>
        <w:t>?</w:t>
      </w:r>
    </w:p>
    <w:p w14:paraId="2A77E30B" w14:textId="40547618" w:rsidR="00AC335B" w:rsidRPr="00AC0F0A" w:rsidRDefault="00AC335B" w:rsidP="00AC335B">
      <w:pPr>
        <w:pStyle w:val="enumlev1"/>
        <w:rPr>
          <w:lang w:val="es-ES" w:eastAsia="ja-JP"/>
        </w:rPr>
      </w:pPr>
      <w:r w:rsidRPr="00AC0F0A">
        <w:rPr>
          <w:lang w:val="es-ES" w:eastAsia="ja-JP"/>
        </w:rPr>
        <w:t>28</w:t>
      </w:r>
      <w:r w:rsidR="00CF0EAA">
        <w:rPr>
          <w:lang w:val="es-ES" w:eastAsia="ja-JP"/>
        </w:rPr>
        <w:t>)</w:t>
      </w:r>
      <w:r w:rsidRPr="00AC0F0A">
        <w:rPr>
          <w:lang w:val="es-ES" w:eastAsia="ja-JP"/>
        </w:rPr>
        <w:tab/>
        <w:t>¿Cuáles son los formatos y firmas de las credenciales verificables, incluidas las series criptográficas comunes (por ejemplo, JSON-LD, JWT, BBS+ p</w:t>
      </w:r>
      <w:r>
        <w:rPr>
          <w:lang w:val="es-ES" w:eastAsia="ja-JP"/>
        </w:rPr>
        <w:t xml:space="preserve">ara la divulgación selectiva) y el soporte de algoritmos </w:t>
      </w:r>
      <w:proofErr w:type="spellStart"/>
      <w:r>
        <w:rPr>
          <w:lang w:val="es-ES" w:eastAsia="ja-JP"/>
        </w:rPr>
        <w:t>postcuánticos</w:t>
      </w:r>
      <w:proofErr w:type="spellEnd"/>
      <w:r>
        <w:rPr>
          <w:lang w:val="es-ES" w:eastAsia="ja-JP"/>
        </w:rPr>
        <w:t xml:space="preserve"> en el futuro</w:t>
      </w:r>
      <w:r w:rsidRPr="00AC0F0A">
        <w:rPr>
          <w:lang w:val="es-ES" w:eastAsia="ja-JP"/>
        </w:rPr>
        <w:t>?</w:t>
      </w:r>
    </w:p>
    <w:p w14:paraId="544DE813" w14:textId="07664BA3" w:rsidR="00AC335B" w:rsidRPr="00AC0F0A" w:rsidRDefault="00AC335B" w:rsidP="00AC335B">
      <w:pPr>
        <w:pStyle w:val="enumlev1"/>
        <w:rPr>
          <w:lang w:val="es-ES" w:eastAsia="ja-JP"/>
        </w:rPr>
      </w:pPr>
      <w:r w:rsidRPr="00AC0F0A">
        <w:rPr>
          <w:lang w:val="es-ES" w:eastAsia="ja-JP"/>
        </w:rPr>
        <w:t>29</w:t>
      </w:r>
      <w:r w:rsidR="00CF0EAA">
        <w:rPr>
          <w:lang w:val="es-ES" w:eastAsia="ja-JP"/>
        </w:rPr>
        <w:t>)</w:t>
      </w:r>
      <w:r w:rsidRPr="00AC0F0A">
        <w:rPr>
          <w:lang w:val="es-ES" w:eastAsia="ja-JP"/>
        </w:rPr>
        <w:tab/>
        <w:t>¿Cuáles son los métodos e identificadores de DID, incluida la utilización normalizada de DID (</w:t>
      </w:r>
      <w:r>
        <w:rPr>
          <w:lang w:val="es-ES" w:eastAsia="ja-JP"/>
        </w:rPr>
        <w:t>por ejemplo,</w:t>
      </w:r>
      <w:r w:rsidRPr="00AC0F0A">
        <w:rPr>
          <w:lang w:val="es-ES" w:eastAsia="ja-JP"/>
        </w:rPr>
        <w:t xml:space="preserve"> </w:t>
      </w:r>
      <w:proofErr w:type="spellStart"/>
      <w:proofErr w:type="gramStart"/>
      <w:r w:rsidRPr="00AC0F0A">
        <w:rPr>
          <w:lang w:val="es-ES" w:eastAsia="ja-JP"/>
        </w:rPr>
        <w:t>DID:web</w:t>
      </w:r>
      <w:proofErr w:type="spellEnd"/>
      <w:proofErr w:type="gramEnd"/>
      <w:r w:rsidRPr="00AC0F0A">
        <w:rPr>
          <w:lang w:val="es-ES" w:eastAsia="ja-JP"/>
        </w:rPr>
        <w:t xml:space="preserve">, </w:t>
      </w:r>
      <w:proofErr w:type="spellStart"/>
      <w:r w:rsidRPr="00AC0F0A">
        <w:rPr>
          <w:lang w:val="es-ES" w:eastAsia="ja-JP"/>
        </w:rPr>
        <w:t>DID:</w:t>
      </w:r>
      <w:proofErr w:type="gramStart"/>
      <w:r w:rsidRPr="00AC0F0A">
        <w:rPr>
          <w:lang w:val="es-ES" w:eastAsia="ja-JP"/>
        </w:rPr>
        <w:t>key</w:t>
      </w:r>
      <w:proofErr w:type="spellEnd"/>
      <w:r w:rsidRPr="00AC0F0A">
        <w:rPr>
          <w:lang w:val="es-ES" w:eastAsia="ja-JP"/>
        </w:rPr>
        <w:t xml:space="preserve">) </w:t>
      </w:r>
      <w:r>
        <w:rPr>
          <w:lang w:val="es-ES" w:eastAsia="ja-JP"/>
        </w:rPr>
        <w:t>para expedidores, detentores y agentes, con reglas de resolución para la interoperabilidad entre dominios</w:t>
      </w:r>
      <w:r w:rsidRPr="00AC0F0A">
        <w:rPr>
          <w:lang w:val="es-ES" w:eastAsia="ja-JP"/>
        </w:rPr>
        <w:t>?</w:t>
      </w:r>
      <w:proofErr w:type="gramEnd"/>
    </w:p>
    <w:p w14:paraId="4BCCFAE4" w14:textId="45614BF9" w:rsidR="00AC335B" w:rsidRPr="00AC0F0A" w:rsidRDefault="00AC335B" w:rsidP="00AC335B">
      <w:pPr>
        <w:pStyle w:val="enumlev1"/>
        <w:rPr>
          <w:lang w:val="es-ES" w:eastAsia="ja-JP"/>
        </w:rPr>
      </w:pPr>
      <w:r w:rsidRPr="00AC0F0A">
        <w:rPr>
          <w:lang w:val="es-ES" w:eastAsia="ja-JP"/>
        </w:rPr>
        <w:t>30</w:t>
      </w:r>
      <w:r w:rsidR="00CF0EAA">
        <w:rPr>
          <w:lang w:val="es-ES" w:eastAsia="ja-JP"/>
        </w:rPr>
        <w:t>)</w:t>
      </w:r>
      <w:r w:rsidRPr="00AC0F0A">
        <w:rPr>
          <w:lang w:val="es-ES" w:eastAsia="ja-JP"/>
        </w:rPr>
        <w:tab/>
        <w:t>¿Cuáles son los marcos de vinculación y confianza, incluida la manera en que los VC vinculan una identidad a una persona, or</w:t>
      </w:r>
      <w:r>
        <w:rPr>
          <w:lang w:val="es-ES" w:eastAsia="ja-JP"/>
        </w:rPr>
        <w:t>ganización o agente de IA, las políticas en materia de niveles de garantía (bajo</w:t>
      </w:r>
      <w:r w:rsidRPr="00AC0F0A">
        <w:rPr>
          <w:lang w:val="es-ES" w:eastAsia="ja-JP"/>
        </w:rPr>
        <w:t xml:space="preserve"> → </w:t>
      </w:r>
      <w:r>
        <w:rPr>
          <w:lang w:val="es-ES" w:eastAsia="ja-JP"/>
        </w:rPr>
        <w:t>alto) y los modelos de fiabilidad</w:t>
      </w:r>
      <w:r w:rsidRPr="00AC0F0A">
        <w:rPr>
          <w:lang w:val="es-ES" w:eastAsia="ja-JP"/>
        </w:rPr>
        <w:t>?</w:t>
      </w:r>
    </w:p>
    <w:p w14:paraId="11C1DC71" w14:textId="2E9E7952" w:rsidR="00AC335B" w:rsidRPr="00AC0F0A" w:rsidRDefault="00AC335B" w:rsidP="00AC335B">
      <w:pPr>
        <w:pStyle w:val="enumlev1"/>
        <w:rPr>
          <w:rFonts w:eastAsia="MS Mincho"/>
          <w:lang w:val="es-ES" w:eastAsia="ja-JP"/>
        </w:rPr>
      </w:pPr>
      <w:r w:rsidRPr="00AC0F0A">
        <w:rPr>
          <w:rFonts w:eastAsia="MS Mincho"/>
          <w:lang w:val="es-ES" w:eastAsia="ja-JP"/>
        </w:rPr>
        <w:t>31</w:t>
      </w:r>
      <w:r w:rsidR="00CF0EAA">
        <w:rPr>
          <w:rFonts w:eastAsia="MS Mincho"/>
          <w:lang w:val="es-ES" w:eastAsia="ja-JP"/>
        </w:rPr>
        <w:t>)</w:t>
      </w:r>
      <w:r w:rsidRPr="00AC0F0A">
        <w:rPr>
          <w:rFonts w:eastAsia="MS Mincho"/>
          <w:lang w:val="es-ES" w:eastAsia="ja-JP"/>
        </w:rPr>
        <w:tab/>
        <w:t>¿Cuáles deben ser los protocolos interoperables</w:t>
      </w:r>
      <w:r w:rsidRPr="00AC0F0A">
        <w:rPr>
          <w:lang w:val="es-ES" w:eastAsia="ja-JP"/>
        </w:rPr>
        <w:t xml:space="preserve"> (por ejemplo, OIDC4VC, </w:t>
      </w:r>
      <w:proofErr w:type="spellStart"/>
      <w:r w:rsidRPr="00AC0F0A">
        <w:rPr>
          <w:lang w:val="es-ES" w:eastAsia="ja-JP"/>
        </w:rPr>
        <w:t>DIDComm</w:t>
      </w:r>
      <w:proofErr w:type="spellEnd"/>
      <w:r w:rsidRPr="00AC0F0A">
        <w:rPr>
          <w:lang w:val="es-ES" w:eastAsia="ja-JP"/>
        </w:rPr>
        <w:t xml:space="preserve">, </w:t>
      </w:r>
      <w:proofErr w:type="gramStart"/>
      <w:r w:rsidRPr="00AC0F0A">
        <w:rPr>
          <w:lang w:val="es-ES" w:eastAsia="ja-JP"/>
        </w:rPr>
        <w:t>CHAPI) para la</w:t>
      </w:r>
      <w:r>
        <w:rPr>
          <w:lang w:val="es-ES" w:eastAsia="ja-JP"/>
        </w:rPr>
        <w:t xml:space="preserve"> expedición, presentación y verificación, y los formatos de presentación normalizada en distintos contextos (móvil, agente a agente, federado</w:t>
      </w:r>
      <w:r w:rsidRPr="00AC0F0A">
        <w:rPr>
          <w:lang w:val="es-ES" w:eastAsia="ja-JP"/>
        </w:rPr>
        <w:t>)?</w:t>
      </w:r>
      <w:proofErr w:type="gramEnd"/>
    </w:p>
    <w:p w14:paraId="553285D5" w14:textId="77777777" w:rsidR="00AC335B" w:rsidRPr="00627958" w:rsidRDefault="00AC335B" w:rsidP="00AC335B">
      <w:pPr>
        <w:pStyle w:val="Heading3"/>
        <w:rPr>
          <w:lang w:val="es-ES"/>
        </w:rPr>
      </w:pPr>
      <w:r w:rsidRPr="00627958">
        <w:rPr>
          <w:lang w:val="es-ES"/>
        </w:rPr>
        <w:t>3</w:t>
      </w:r>
      <w:r w:rsidRPr="00627958">
        <w:rPr>
          <w:lang w:val="es-ES"/>
        </w:rPr>
        <w:tab/>
      </w:r>
      <w:proofErr w:type="gramStart"/>
      <w:r w:rsidRPr="00627958">
        <w:rPr>
          <w:lang w:val="es-ES"/>
        </w:rPr>
        <w:t>Tareas</w:t>
      </w:r>
      <w:proofErr w:type="gramEnd"/>
    </w:p>
    <w:p w14:paraId="0E4531B8" w14:textId="77777777" w:rsidR="00AC335B" w:rsidRPr="00AC0F0A" w:rsidRDefault="00AC335B" w:rsidP="00AC335B">
      <w:pPr>
        <w:rPr>
          <w:rFonts w:eastAsia="SimSun"/>
          <w:lang w:val="es-ES" w:eastAsia="ja-JP"/>
        </w:rPr>
      </w:pPr>
      <w:r w:rsidRPr="00AC0F0A">
        <w:rPr>
          <w:rFonts w:eastAsia="SimSun"/>
          <w:lang w:val="es-ES" w:eastAsia="ja-JP"/>
        </w:rPr>
        <w:t>Las tareas son, entre otras:</w:t>
      </w:r>
    </w:p>
    <w:p w14:paraId="00D91410" w14:textId="77777777" w:rsidR="00133A72" w:rsidRDefault="00AC335B" w:rsidP="00AC335B">
      <w:pPr>
        <w:pStyle w:val="enumlev1"/>
        <w:rPr>
          <w:rFonts w:eastAsia="SimSun"/>
          <w:lang w:val="es-ES" w:eastAsia="ja-JP"/>
        </w:rPr>
      </w:pPr>
      <w:r w:rsidRPr="004E3E81">
        <w:rPr>
          <w:rFonts w:ascii="Times New Roman" w:eastAsia="SimSun" w:hAnsi="Times New Roman"/>
          <w:lang w:val="es-ES" w:eastAsia="ja-JP"/>
        </w:rPr>
        <w:t>–</w:t>
      </w:r>
      <w:r w:rsidRPr="004E3E81">
        <w:rPr>
          <w:rFonts w:ascii="Times New Roman" w:eastAsia="SimSun" w:hAnsi="Times New Roman"/>
          <w:lang w:val="es-ES" w:eastAsia="ja-JP"/>
        </w:rPr>
        <w:tab/>
      </w:r>
      <w:r w:rsidRPr="004E3E81">
        <w:rPr>
          <w:rFonts w:eastAsia="SimSun"/>
          <w:lang w:val="es-ES" w:eastAsia="ja-JP"/>
        </w:rPr>
        <w:t xml:space="preserve">Desarrollar un marco de </w:t>
      </w:r>
      <w:proofErr w:type="spellStart"/>
      <w:r w:rsidRPr="004E3E81">
        <w:rPr>
          <w:rFonts w:eastAsia="SimSun"/>
          <w:lang w:val="es-ES" w:eastAsia="ja-JP"/>
        </w:rPr>
        <w:t>IdM</w:t>
      </w:r>
      <w:proofErr w:type="spellEnd"/>
      <w:r w:rsidRPr="004E3E81">
        <w:rPr>
          <w:rFonts w:eastAsia="SimSun"/>
          <w:lang w:val="es-ES" w:eastAsia="ja-JP"/>
        </w:rPr>
        <w:t xml:space="preserve"> seguro y centrado en el usuario incorporando la cadena de bloques, las carteras digitales, las DID</w:t>
      </w:r>
      <w:r>
        <w:rPr>
          <w:rFonts w:eastAsia="SimSun"/>
          <w:lang w:val="es-ES" w:eastAsia="ja-JP"/>
        </w:rPr>
        <w:t>, las credenciales verificables, la</w:t>
      </w:r>
      <w:r w:rsidRPr="004E3E81">
        <w:rPr>
          <w:rFonts w:eastAsia="SimSun"/>
          <w:lang w:val="es-ES" w:eastAsia="ja-JP"/>
        </w:rPr>
        <w:t xml:space="preserve"> MFA, </w:t>
      </w:r>
      <w:r>
        <w:rPr>
          <w:rFonts w:eastAsia="SimSun"/>
          <w:lang w:val="es-ES" w:eastAsia="ja-JP"/>
        </w:rPr>
        <w:t>la IA, la encriptación, la</w:t>
      </w:r>
      <w:r w:rsidRPr="004E3E81">
        <w:rPr>
          <w:rFonts w:eastAsia="SimSun"/>
          <w:lang w:val="es-ES" w:eastAsia="ja-JP"/>
        </w:rPr>
        <w:t xml:space="preserve"> PKI, </w:t>
      </w:r>
      <w:r>
        <w:rPr>
          <w:rFonts w:eastAsia="SimSun"/>
          <w:lang w:val="es-ES" w:eastAsia="ja-JP"/>
        </w:rPr>
        <w:t>la autentificación sin contraseñas y el soporte de la nube, las</w:t>
      </w:r>
      <w:r w:rsidRPr="004E3E81">
        <w:rPr>
          <w:rFonts w:eastAsia="SimSun"/>
          <w:lang w:val="es-ES" w:eastAsia="ja-JP"/>
        </w:rPr>
        <w:t xml:space="preserve"> IMT</w:t>
      </w:r>
      <w:r w:rsidR="00133A72">
        <w:rPr>
          <w:rFonts w:eastAsia="SimSun"/>
          <w:lang w:val="es-ES" w:eastAsia="ja-JP"/>
        </w:rPr>
        <w:noBreakHyphen/>
      </w:r>
      <w:r w:rsidRPr="004E3E81">
        <w:rPr>
          <w:rFonts w:eastAsia="SimSun"/>
          <w:lang w:val="es-ES" w:eastAsia="ja-JP"/>
        </w:rPr>
        <w:t xml:space="preserve">2020/IMT-2030, </w:t>
      </w:r>
      <w:r>
        <w:rPr>
          <w:rFonts w:eastAsia="SimSun"/>
          <w:lang w:val="es-ES" w:eastAsia="ja-JP"/>
        </w:rPr>
        <w:t>los servicios móviles y la</w:t>
      </w:r>
      <w:r w:rsidRPr="004E3E81">
        <w:rPr>
          <w:rFonts w:eastAsia="SimSun"/>
          <w:lang w:val="es-ES" w:eastAsia="ja-JP"/>
        </w:rPr>
        <w:t xml:space="preserve"> </w:t>
      </w:r>
      <w:proofErr w:type="spellStart"/>
      <w:r w:rsidRPr="004E3E81">
        <w:rPr>
          <w:rFonts w:eastAsia="SimSun"/>
          <w:lang w:val="es-ES" w:eastAsia="ja-JP"/>
        </w:rPr>
        <w:t>IoT</w:t>
      </w:r>
      <w:proofErr w:type="spellEnd"/>
      <w:r w:rsidRPr="004E3E81">
        <w:rPr>
          <w:rFonts w:eastAsia="SimSun"/>
          <w:lang w:val="es-ES" w:eastAsia="ja-JP"/>
        </w:rPr>
        <w:t xml:space="preserve">, </w:t>
      </w:r>
      <w:r>
        <w:rPr>
          <w:rFonts w:eastAsia="SimSun"/>
          <w:lang w:val="es-ES" w:eastAsia="ja-JP"/>
        </w:rPr>
        <w:t>haciendo hincapié en el control del usuario, la privacidad, la interoperabilidad, la federación y la protección contra ciberataques</w:t>
      </w:r>
      <w:r w:rsidRPr="004E3E81">
        <w:rPr>
          <w:rFonts w:eastAsia="SimSun"/>
          <w:lang w:val="es-ES" w:eastAsia="ja-JP"/>
        </w:rPr>
        <w:t>.</w:t>
      </w:r>
    </w:p>
    <w:p w14:paraId="0F91248E" w14:textId="22E369A7" w:rsidR="00AC335B" w:rsidRPr="004E3E81" w:rsidRDefault="00133A72"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 xml:space="preserve">Esta tarea responde a los requisitos de las cuestiones 1, 2, 7, 8, 9, 10 </w:t>
      </w:r>
      <w:r w:rsidR="00AC335B">
        <w:rPr>
          <w:rFonts w:eastAsia="SimSun"/>
          <w:lang w:val="es-ES" w:eastAsia="ja-JP"/>
        </w:rPr>
        <w:t>y</w:t>
      </w:r>
      <w:r w:rsidR="00AC335B" w:rsidRPr="004E3E81">
        <w:rPr>
          <w:rFonts w:eastAsia="SimSun"/>
          <w:lang w:val="es-ES" w:eastAsia="ja-JP"/>
        </w:rPr>
        <w:t xml:space="preserve"> 11 </w:t>
      </w:r>
      <w:r w:rsidR="00AC335B">
        <w:rPr>
          <w:rFonts w:eastAsia="SimSun"/>
          <w:lang w:val="es-ES" w:eastAsia="ja-JP"/>
        </w:rPr>
        <w:t>de la sección</w:t>
      </w:r>
      <w:r>
        <w:rPr>
          <w:rFonts w:eastAsia="SimSun"/>
          <w:lang w:val="es-ES" w:eastAsia="ja-JP"/>
        </w:rPr>
        <w:t> </w:t>
      </w:r>
      <w:r w:rsidR="00AC335B">
        <w:rPr>
          <w:rFonts w:eastAsia="SimSun"/>
          <w:lang w:val="es-ES" w:eastAsia="ja-JP"/>
        </w:rPr>
        <w:t>2 anterior</w:t>
      </w:r>
      <w:r w:rsidR="00AC335B" w:rsidRPr="004E3E81">
        <w:rPr>
          <w:rFonts w:eastAsia="SimSun"/>
          <w:lang w:val="es-ES" w:eastAsia="ja-JP"/>
        </w:rPr>
        <w:t>.</w:t>
      </w:r>
    </w:p>
    <w:p w14:paraId="35D0B970" w14:textId="77777777" w:rsidR="00133A72" w:rsidRDefault="00AC335B" w:rsidP="00AC335B">
      <w:pPr>
        <w:pStyle w:val="enumlev1"/>
        <w:rPr>
          <w:rFonts w:eastAsia="SimSun"/>
          <w:lang w:val="es-ES" w:eastAsia="ja-JP"/>
        </w:rPr>
      </w:pPr>
      <w:r w:rsidRPr="004E3E81">
        <w:rPr>
          <w:rFonts w:ascii="Times New Roman" w:eastAsia="SimSun" w:hAnsi="Times New Roman"/>
          <w:lang w:val="es-ES" w:eastAsia="ja-JP"/>
        </w:rPr>
        <w:t>–</w:t>
      </w:r>
      <w:r w:rsidRPr="004E3E81">
        <w:rPr>
          <w:rFonts w:ascii="Times New Roman" w:eastAsia="SimSun" w:hAnsi="Times New Roman"/>
          <w:lang w:val="es-ES" w:eastAsia="ja-JP"/>
        </w:rPr>
        <w:tab/>
      </w:r>
      <w:r w:rsidRPr="004E3E81">
        <w:rPr>
          <w:rFonts w:eastAsia="SimSun"/>
          <w:lang w:val="es-ES" w:eastAsia="ja-JP"/>
        </w:rPr>
        <w:t>Definir requisitos para la protección, la compartición y la gestión de la IIP, incluida</w:t>
      </w:r>
      <w:r>
        <w:rPr>
          <w:rFonts w:eastAsia="SimSun"/>
          <w:lang w:val="es-ES" w:eastAsia="ja-JP"/>
        </w:rPr>
        <w:t>s la verificación de la edad, la privacidad de los menores, la verificación de atributos (por ejemplo, edad, ubicación) y las políticas de acceso basadas en las preferencias del usuario</w:t>
      </w:r>
      <w:r w:rsidRPr="004E3E81">
        <w:rPr>
          <w:rFonts w:eastAsia="SimSun"/>
          <w:lang w:val="es-ES" w:eastAsia="ja-JP"/>
        </w:rPr>
        <w:t>.</w:t>
      </w:r>
    </w:p>
    <w:p w14:paraId="4E3424B7" w14:textId="399F8C40" w:rsidR="00AC335B" w:rsidRPr="004E3E81" w:rsidRDefault="00133A72"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 xml:space="preserve">Esta tarea responde a los requisitos de las cuestiones 3 y </w:t>
      </w:r>
      <w:r w:rsidR="00AC335B">
        <w:rPr>
          <w:rFonts w:eastAsia="SimSun"/>
          <w:lang w:val="es-ES" w:eastAsia="ja-JP"/>
        </w:rPr>
        <w:t>5 de la sección 2 anterior</w:t>
      </w:r>
      <w:r w:rsidR="00AC335B" w:rsidRPr="004E3E81">
        <w:rPr>
          <w:rFonts w:eastAsia="SimSun"/>
          <w:lang w:val="es-ES" w:eastAsia="ja-JP"/>
        </w:rPr>
        <w:t>.</w:t>
      </w:r>
    </w:p>
    <w:p w14:paraId="6FF16AFA"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4E3E81">
        <w:rPr>
          <w:rFonts w:eastAsia="SimSun"/>
          <w:lang w:val="es-ES" w:eastAsia="ja-JP"/>
        </w:rPr>
        <w:t xml:space="preserve">Establecer registros y mecanismos fiables para la IAM, incluidas la integración de redes fiables para </w:t>
      </w:r>
      <w:r>
        <w:rPr>
          <w:rFonts w:eastAsia="SimSun"/>
          <w:lang w:val="es-ES" w:eastAsia="ja-JP"/>
        </w:rPr>
        <w:t xml:space="preserve">la recuperación robusta de cuentas, la seguridad y la facilidad de interacción con las partes </w:t>
      </w:r>
      <w:proofErr w:type="spellStart"/>
      <w:r>
        <w:rPr>
          <w:rFonts w:eastAsia="SimSun"/>
          <w:lang w:val="es-ES" w:eastAsia="ja-JP"/>
        </w:rPr>
        <w:t>confiantes</w:t>
      </w:r>
      <w:proofErr w:type="spellEnd"/>
      <w:r w:rsidRPr="004E3E81">
        <w:rPr>
          <w:rFonts w:eastAsia="SimSun"/>
          <w:lang w:val="es-ES" w:eastAsia="ja-JP"/>
        </w:rPr>
        <w:t>.</w:t>
      </w:r>
    </w:p>
    <w:p w14:paraId="4171651C" w14:textId="2E7C7CB5" w:rsidR="00AC335B" w:rsidRPr="004E3E81" w:rsidRDefault="006524F8"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 xml:space="preserve">Esta tarea responde a los requisitos de las cuestiones 4 y </w:t>
      </w:r>
      <w:r w:rsidR="00AC335B">
        <w:rPr>
          <w:rFonts w:eastAsia="SimSun"/>
          <w:lang w:val="es-ES" w:eastAsia="ja-JP"/>
        </w:rPr>
        <w:t>6 de la sección 2 anterior</w:t>
      </w:r>
      <w:r w:rsidR="00AC335B" w:rsidRPr="004E3E81">
        <w:rPr>
          <w:rFonts w:eastAsia="SimSun"/>
          <w:lang w:val="es-ES" w:eastAsia="ja-JP"/>
        </w:rPr>
        <w:t>.</w:t>
      </w:r>
    </w:p>
    <w:p w14:paraId="4EBDF9DF"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t>Especificar requisitos y mecanismos para la garantía de la identidad en la autentificación y la federación, incluidos la correspondencia/</w:t>
      </w:r>
      <w:proofErr w:type="spellStart"/>
      <w:r w:rsidRPr="006524F8">
        <w:rPr>
          <w:rFonts w:eastAsia="SimSun"/>
          <w:lang w:val="es-ES" w:eastAsia="ja-JP"/>
        </w:rPr>
        <w:t>interfuncionamiento</w:t>
      </w:r>
      <w:proofErr w:type="spellEnd"/>
      <w:r w:rsidRPr="006524F8">
        <w:rPr>
          <w:rFonts w:eastAsia="SimSun"/>
          <w:lang w:val="es-ES" w:eastAsia="ja-JP"/>
        </w:rPr>
        <w:t xml:space="preserve"> entre redes, los patrones de identidad, la reputación y las necesidades de los proveedores de servicio</w:t>
      </w:r>
      <w:r w:rsidRPr="004E3E81">
        <w:rPr>
          <w:rFonts w:eastAsia="SimSun"/>
          <w:lang w:val="es-ES" w:eastAsia="ja-JP"/>
        </w:rPr>
        <w:t>.</w:t>
      </w:r>
    </w:p>
    <w:p w14:paraId="3640BAD7" w14:textId="332BBC37" w:rsidR="00AC335B" w:rsidRPr="004E3E81" w:rsidRDefault="006524F8"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Esta tarea responde a las cuestiones 4 y 5 de la sección 2 anterior.</w:t>
      </w:r>
    </w:p>
    <w:p w14:paraId="4B3FE9AA" w14:textId="05B75B2A"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006524F8">
        <w:rPr>
          <w:rFonts w:eastAsia="SimSun"/>
          <w:lang w:val="es-ES" w:eastAsia="ja-JP"/>
        </w:rPr>
        <w:t>A</w:t>
      </w:r>
      <w:r w:rsidRPr="006524F8">
        <w:rPr>
          <w:rFonts w:eastAsia="SimSun"/>
          <w:lang w:val="es-ES" w:eastAsia="ja-JP"/>
        </w:rPr>
        <w:t>nalizar la interoperabilidad, la compatibilidad normativa (por ejemplo, UIT-T, ISO/CEI) y la gobernanza de sistemas</w:t>
      </w:r>
      <w:r w:rsidRPr="004E3E81">
        <w:rPr>
          <w:rFonts w:eastAsia="SimSun"/>
          <w:lang w:val="es-ES" w:eastAsia="ja-JP"/>
        </w:rPr>
        <w:t xml:space="preserve"> </w:t>
      </w:r>
      <w:proofErr w:type="spellStart"/>
      <w:r w:rsidRPr="004E3E81">
        <w:rPr>
          <w:rFonts w:eastAsia="SimSun"/>
          <w:lang w:val="es-ES" w:eastAsia="ja-JP"/>
        </w:rPr>
        <w:t>IdM</w:t>
      </w:r>
      <w:proofErr w:type="spellEnd"/>
      <w:r w:rsidRPr="004E3E81">
        <w:rPr>
          <w:rFonts w:eastAsia="SimSun"/>
          <w:lang w:val="es-ES" w:eastAsia="ja-JP"/>
        </w:rPr>
        <w:t>,</w:t>
      </w:r>
      <w:r>
        <w:rPr>
          <w:rFonts w:eastAsia="SimSun"/>
          <w:lang w:val="es-ES" w:eastAsia="ja-JP"/>
        </w:rPr>
        <w:t xml:space="preserve"> incluidos los modelos federados/descentralizados, las redes puente, y minimizar los problemas entre plataformas, dispositivos y aplicaciones</w:t>
      </w:r>
      <w:r w:rsidRPr="004E3E81">
        <w:rPr>
          <w:rFonts w:eastAsia="SimSun"/>
          <w:lang w:val="es-ES" w:eastAsia="ja-JP"/>
        </w:rPr>
        <w:t>.</w:t>
      </w:r>
    </w:p>
    <w:p w14:paraId="6C4C9182" w14:textId="46F33075" w:rsidR="00AC335B" w:rsidRPr="004E3E81" w:rsidRDefault="006524F8"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Esta tarea responde a las cuestiones 2 y 10 de la sección 2 anterior.</w:t>
      </w:r>
    </w:p>
    <w:p w14:paraId="023C3EBB" w14:textId="77777777" w:rsidR="006524F8" w:rsidRDefault="00AC335B" w:rsidP="00AC335B">
      <w:pPr>
        <w:pStyle w:val="enumlev1"/>
        <w:rPr>
          <w:rFonts w:eastAsia="SimSun"/>
          <w:lang w:val="es-ES" w:eastAsia="ja-JP"/>
        </w:rPr>
      </w:pPr>
      <w:r w:rsidRPr="006524F8">
        <w:rPr>
          <w:rFonts w:eastAsia="SimSun"/>
          <w:lang w:val="es-ES" w:eastAsia="ja-JP"/>
        </w:rPr>
        <w:lastRenderedPageBreak/>
        <w:t>–</w:t>
      </w:r>
      <w:r w:rsidRPr="006524F8">
        <w:rPr>
          <w:rFonts w:eastAsia="SimSun"/>
          <w:lang w:val="es-ES" w:eastAsia="ja-JP"/>
        </w:rPr>
        <w:tab/>
      </w:r>
      <w:r w:rsidRPr="004E3E81">
        <w:rPr>
          <w:rFonts w:eastAsia="SimSun"/>
          <w:lang w:val="es-ES" w:eastAsia="ja-JP"/>
        </w:rPr>
        <w:t xml:space="preserve">Integrar la biometría en la </w:t>
      </w:r>
      <w:proofErr w:type="spellStart"/>
      <w:r w:rsidRPr="004E3E81">
        <w:rPr>
          <w:rFonts w:eastAsia="SimSun"/>
          <w:lang w:val="es-ES" w:eastAsia="ja-JP"/>
        </w:rPr>
        <w:t>IdM</w:t>
      </w:r>
      <w:proofErr w:type="spellEnd"/>
      <w:r w:rsidRPr="004E3E81">
        <w:rPr>
          <w:rFonts w:eastAsia="SimSun"/>
          <w:lang w:val="es-ES" w:eastAsia="ja-JP"/>
        </w:rPr>
        <w:t xml:space="preserve"> para una autentificación sólida en redes seguras y de alto re</w:t>
      </w:r>
      <w:r>
        <w:rPr>
          <w:rFonts w:eastAsia="SimSun"/>
          <w:lang w:val="es-ES" w:eastAsia="ja-JP"/>
        </w:rPr>
        <w:t>ndimiento, incluida la evaluación de los riesgos de seguridad, las técnicas operativas/de protección de datos</w:t>
      </w:r>
      <w:r w:rsidRPr="004E3E81">
        <w:rPr>
          <w:rFonts w:eastAsia="SimSun"/>
          <w:lang w:val="es-ES" w:eastAsia="ja-JP"/>
        </w:rPr>
        <w:t xml:space="preserve"> </w:t>
      </w:r>
      <w:r>
        <w:rPr>
          <w:rFonts w:eastAsia="SimSun"/>
          <w:lang w:val="es-ES" w:eastAsia="ja-JP"/>
        </w:rPr>
        <w:t>y los marcos interoperables (centralizados/descentralizados con credenciales verificables</w:t>
      </w:r>
      <w:r w:rsidRPr="004E3E81">
        <w:rPr>
          <w:rFonts w:eastAsia="SimSun"/>
          <w:lang w:val="es-ES" w:eastAsia="ja-JP"/>
        </w:rPr>
        <w:t>).</w:t>
      </w:r>
    </w:p>
    <w:p w14:paraId="50772C66" w14:textId="1FD13733" w:rsidR="00AC335B" w:rsidRPr="004E3E81" w:rsidRDefault="006524F8" w:rsidP="00AC335B">
      <w:pPr>
        <w:pStyle w:val="enumlev1"/>
        <w:rPr>
          <w:rFonts w:eastAsia="SimSun"/>
          <w:lang w:val="es-ES" w:eastAsia="ja-JP"/>
        </w:rPr>
      </w:pPr>
      <w:r>
        <w:rPr>
          <w:rFonts w:eastAsia="SimSun"/>
          <w:lang w:val="es-ES" w:eastAsia="ja-JP"/>
        </w:rPr>
        <w:tab/>
      </w:r>
      <w:r w:rsidR="00AC335B" w:rsidRPr="004E3E81">
        <w:rPr>
          <w:rFonts w:eastAsia="SimSun"/>
          <w:lang w:val="es-ES" w:eastAsia="ja-JP"/>
        </w:rPr>
        <w:t xml:space="preserve">Esta tarea responde a las cuestiones 12, 13 y 14 </w:t>
      </w:r>
      <w:r w:rsidR="00AC335B">
        <w:rPr>
          <w:rFonts w:eastAsia="SimSun"/>
          <w:lang w:val="es-ES" w:eastAsia="ja-JP"/>
        </w:rPr>
        <w:t>de la sección 2 anterior</w:t>
      </w:r>
      <w:r w:rsidR="00AC335B" w:rsidRPr="004E3E81">
        <w:rPr>
          <w:rFonts w:eastAsia="SimSun"/>
          <w:lang w:val="es-ES" w:eastAsia="ja-JP"/>
        </w:rPr>
        <w:t>.</w:t>
      </w:r>
    </w:p>
    <w:p w14:paraId="72B4C60B"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0850CB">
        <w:rPr>
          <w:rFonts w:eastAsia="SimSun"/>
          <w:lang w:val="es-ES" w:eastAsia="ja-JP"/>
        </w:rPr>
        <w:t xml:space="preserve">Considerar protocolos para el tratamiento seguro de datos biométricos en la </w:t>
      </w:r>
      <w:proofErr w:type="spellStart"/>
      <w:r w:rsidRPr="000850CB">
        <w:rPr>
          <w:rFonts w:eastAsia="SimSun"/>
          <w:lang w:val="es-ES" w:eastAsia="ja-JP"/>
        </w:rPr>
        <w:t>telebiometrí</w:t>
      </w:r>
      <w:r>
        <w:rPr>
          <w:rFonts w:eastAsia="SimSun"/>
          <w:lang w:val="es-ES" w:eastAsia="ja-JP"/>
        </w:rPr>
        <w:t>a</w:t>
      </w:r>
      <w:proofErr w:type="spellEnd"/>
      <w:r>
        <w:rPr>
          <w:rFonts w:eastAsia="SimSun"/>
          <w:lang w:val="es-ES" w:eastAsia="ja-JP"/>
        </w:rPr>
        <w:t>, incluida la interoperabilidad</w:t>
      </w:r>
      <w:r w:rsidRPr="000850CB">
        <w:rPr>
          <w:rFonts w:eastAsia="SimSun"/>
          <w:lang w:val="es-ES" w:eastAsia="ja-JP"/>
        </w:rPr>
        <w:t xml:space="preserve"> B2M/M2M</w:t>
      </w:r>
      <w:r>
        <w:rPr>
          <w:rFonts w:eastAsia="SimSun"/>
          <w:lang w:val="es-ES" w:eastAsia="ja-JP"/>
        </w:rPr>
        <w:t xml:space="preserve">, </w:t>
      </w:r>
      <w:proofErr w:type="gramStart"/>
      <w:r>
        <w:rPr>
          <w:rFonts w:eastAsia="SimSun"/>
          <w:lang w:val="es-ES" w:eastAsia="ja-JP"/>
        </w:rPr>
        <w:t>las bioseñales</w:t>
      </w:r>
      <w:proofErr w:type="gramEnd"/>
      <w:r>
        <w:rPr>
          <w:rFonts w:eastAsia="SimSun"/>
          <w:lang w:val="es-ES" w:eastAsia="ja-JP"/>
        </w:rPr>
        <w:t xml:space="preserve"> para aplicaciones (por ejemplo, autentificación, identificación y supervisión de </w:t>
      </w:r>
      <w:proofErr w:type="spellStart"/>
      <w:r>
        <w:rPr>
          <w:rFonts w:eastAsia="SimSun"/>
          <w:lang w:val="es-ES" w:eastAsia="ja-JP"/>
        </w:rPr>
        <w:t>cibersalud</w:t>
      </w:r>
      <w:proofErr w:type="spellEnd"/>
      <w:r>
        <w:rPr>
          <w:rFonts w:eastAsia="SimSun"/>
          <w:lang w:val="es-ES" w:eastAsia="ja-JP"/>
        </w:rPr>
        <w:t>), y marcos para entornos de almacenamiento de datos/en la nube</w:t>
      </w:r>
      <w:r w:rsidRPr="000850CB">
        <w:rPr>
          <w:rFonts w:eastAsia="SimSun"/>
          <w:lang w:val="es-ES" w:eastAsia="ja-JP"/>
        </w:rPr>
        <w:t>.</w:t>
      </w:r>
    </w:p>
    <w:p w14:paraId="06EF2EC8" w14:textId="383F6057" w:rsidR="00AC335B" w:rsidRPr="000850CB" w:rsidRDefault="006524F8" w:rsidP="00AC335B">
      <w:pPr>
        <w:pStyle w:val="enumlev1"/>
        <w:rPr>
          <w:rFonts w:eastAsia="SimSun"/>
          <w:lang w:val="es-ES" w:eastAsia="ja-JP"/>
        </w:rPr>
      </w:pPr>
      <w:r>
        <w:rPr>
          <w:rFonts w:eastAsia="SimSun"/>
          <w:lang w:val="es-ES" w:eastAsia="ja-JP"/>
        </w:rPr>
        <w:tab/>
      </w:r>
      <w:r w:rsidR="00AC335B" w:rsidRPr="000850CB">
        <w:rPr>
          <w:rFonts w:eastAsia="SimSun"/>
          <w:lang w:val="es-ES" w:eastAsia="ja-JP"/>
        </w:rPr>
        <w:t xml:space="preserve">Esta tarea responde a las cuestiones 15 y 16 </w:t>
      </w:r>
      <w:r w:rsidR="00AC335B">
        <w:rPr>
          <w:rFonts w:eastAsia="SimSun"/>
          <w:lang w:val="es-ES" w:eastAsia="ja-JP"/>
        </w:rPr>
        <w:t>de la sección 2 anterior</w:t>
      </w:r>
      <w:r w:rsidR="00AC335B" w:rsidRPr="000850CB">
        <w:rPr>
          <w:rFonts w:eastAsia="SimSun"/>
          <w:lang w:val="es-ES" w:eastAsia="ja-JP"/>
        </w:rPr>
        <w:t>.</w:t>
      </w:r>
    </w:p>
    <w:p w14:paraId="360DD890"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t>Evaluar la influencia de la IA en la biometría y la</w:t>
      </w:r>
      <w:r w:rsidRPr="000850CB">
        <w:rPr>
          <w:rFonts w:eastAsia="SimSun"/>
          <w:lang w:val="es-ES" w:eastAsia="ja-JP"/>
        </w:rPr>
        <w:t xml:space="preserve"> </w:t>
      </w:r>
      <w:proofErr w:type="spellStart"/>
      <w:r w:rsidRPr="000850CB">
        <w:rPr>
          <w:rFonts w:eastAsia="SimSun"/>
          <w:lang w:val="es-ES" w:eastAsia="ja-JP"/>
        </w:rPr>
        <w:t>IdM</w:t>
      </w:r>
      <w:proofErr w:type="spellEnd"/>
      <w:r w:rsidRPr="000850CB">
        <w:rPr>
          <w:rFonts w:eastAsia="SimSun"/>
          <w:lang w:val="es-ES" w:eastAsia="ja-JP"/>
        </w:rPr>
        <w:t xml:space="preserve">, incluidos los requisitos de </w:t>
      </w:r>
      <w:r>
        <w:rPr>
          <w:rFonts w:eastAsia="SimSun"/>
          <w:lang w:val="es-ES" w:eastAsia="ja-JP"/>
        </w:rPr>
        <w:t xml:space="preserve">ampliación de la gestión de la identidad digital a las entidades de IA </w:t>
      </w:r>
      <w:proofErr w:type="spellStart"/>
      <w:r>
        <w:rPr>
          <w:rFonts w:eastAsia="SimSun"/>
          <w:lang w:val="es-ES" w:eastAsia="ja-JP"/>
        </w:rPr>
        <w:t>agéntica</w:t>
      </w:r>
      <w:proofErr w:type="spellEnd"/>
      <w:r>
        <w:rPr>
          <w:rFonts w:eastAsia="SimSun"/>
          <w:lang w:val="es-ES" w:eastAsia="ja-JP"/>
        </w:rPr>
        <w:t xml:space="preserve"> (por ejemplo, atributos, credenciales, funciones, ciclo de vida, autentificación, delegación, federación, confianza, responsabilidad, respeto de la privacidad y niveles de garantía</w:t>
      </w:r>
      <w:r w:rsidRPr="000850CB">
        <w:rPr>
          <w:rFonts w:eastAsia="SimSun"/>
          <w:lang w:val="es-ES" w:eastAsia="ja-JP"/>
        </w:rPr>
        <w:t>).</w:t>
      </w:r>
    </w:p>
    <w:p w14:paraId="20E26D73" w14:textId="725FC803" w:rsidR="00AC335B" w:rsidRPr="000850CB" w:rsidRDefault="006524F8" w:rsidP="00AC335B">
      <w:pPr>
        <w:pStyle w:val="enumlev1"/>
        <w:rPr>
          <w:rFonts w:eastAsia="SimSun"/>
          <w:lang w:val="es-ES" w:eastAsia="ja-JP"/>
        </w:rPr>
      </w:pPr>
      <w:r>
        <w:rPr>
          <w:rFonts w:eastAsia="SimSun"/>
          <w:lang w:val="es-ES" w:eastAsia="ja-JP"/>
        </w:rPr>
        <w:tab/>
      </w:r>
      <w:r w:rsidR="00AC335B" w:rsidRPr="000850CB">
        <w:rPr>
          <w:rFonts w:eastAsia="SimSun"/>
          <w:lang w:val="es-ES" w:eastAsia="ja-JP"/>
        </w:rPr>
        <w:t xml:space="preserve">Esta tarea responde a las cuestiones 17 y 26 </w:t>
      </w:r>
      <w:r w:rsidR="00AC335B">
        <w:rPr>
          <w:rFonts w:eastAsia="SimSun"/>
          <w:lang w:val="es-ES" w:eastAsia="ja-JP"/>
        </w:rPr>
        <w:t>de la sección 2 anterior</w:t>
      </w:r>
      <w:r w:rsidR="00AC335B" w:rsidRPr="000850CB">
        <w:rPr>
          <w:rFonts w:eastAsia="SimSun"/>
          <w:lang w:val="es-ES" w:eastAsia="ja-JP"/>
        </w:rPr>
        <w:t>.</w:t>
      </w:r>
    </w:p>
    <w:p w14:paraId="52E5CB5D"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t>Estudiar y desarrollar marcos para la interoperabilidad de carteras de identidad digital en ecosistemas descentralizados, incluidas normas mundiales, aplicación de las preferencias del usuario e integración con la</w:t>
      </w:r>
      <w:r w:rsidRPr="000850CB">
        <w:rPr>
          <w:rFonts w:eastAsia="SimSun"/>
          <w:lang w:val="es-ES" w:eastAsia="ja-JP"/>
        </w:rPr>
        <w:t xml:space="preserve"> </w:t>
      </w:r>
      <w:proofErr w:type="spellStart"/>
      <w:r w:rsidRPr="000850CB">
        <w:rPr>
          <w:rFonts w:eastAsia="SimSun"/>
          <w:lang w:val="es-ES" w:eastAsia="ja-JP"/>
        </w:rPr>
        <w:t>IdM</w:t>
      </w:r>
      <w:proofErr w:type="spellEnd"/>
      <w:r w:rsidRPr="000850CB">
        <w:rPr>
          <w:rFonts w:eastAsia="SimSun"/>
          <w:lang w:val="es-ES" w:eastAsia="ja-JP"/>
        </w:rPr>
        <w:t xml:space="preserve"> </w:t>
      </w:r>
      <w:r>
        <w:rPr>
          <w:rFonts w:eastAsia="SimSun"/>
          <w:lang w:val="es-ES" w:eastAsia="ja-JP"/>
        </w:rPr>
        <w:t>como servicio</w:t>
      </w:r>
      <w:r w:rsidRPr="000850CB">
        <w:rPr>
          <w:rFonts w:eastAsia="SimSun"/>
          <w:lang w:val="es-ES" w:eastAsia="ja-JP"/>
        </w:rPr>
        <w:t>.</w:t>
      </w:r>
    </w:p>
    <w:p w14:paraId="298D907F" w14:textId="5F891632" w:rsidR="00AC335B" w:rsidRPr="000850CB" w:rsidRDefault="006524F8" w:rsidP="00AC335B">
      <w:pPr>
        <w:pStyle w:val="enumlev1"/>
        <w:rPr>
          <w:rFonts w:eastAsia="SimSun"/>
          <w:lang w:val="es-ES" w:eastAsia="ja-JP"/>
        </w:rPr>
      </w:pPr>
      <w:r>
        <w:rPr>
          <w:rFonts w:eastAsia="SimSun"/>
          <w:lang w:val="es-ES" w:eastAsia="ja-JP"/>
        </w:rPr>
        <w:tab/>
      </w:r>
      <w:r w:rsidR="00AC335B" w:rsidRPr="000850CB">
        <w:rPr>
          <w:rFonts w:eastAsia="SimSun"/>
          <w:lang w:val="es-ES" w:eastAsia="ja-JP"/>
        </w:rPr>
        <w:t xml:space="preserve">Esta tarea responde a la cuestión 25 de la </w:t>
      </w:r>
      <w:r w:rsidR="00AC335B">
        <w:rPr>
          <w:rFonts w:eastAsia="SimSun"/>
          <w:lang w:val="es-ES" w:eastAsia="ja-JP"/>
        </w:rPr>
        <w:t>sección 2 anterior</w:t>
      </w:r>
      <w:r w:rsidR="00AC335B" w:rsidRPr="000850CB">
        <w:rPr>
          <w:rFonts w:eastAsia="SimSun"/>
          <w:lang w:val="es-ES" w:eastAsia="ja-JP"/>
        </w:rPr>
        <w:t>.</w:t>
      </w:r>
    </w:p>
    <w:p w14:paraId="53291FD5" w14:textId="1AE51912"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0850CB">
        <w:rPr>
          <w:rFonts w:eastAsia="SimSun"/>
          <w:lang w:val="es-ES" w:eastAsia="ja-JP"/>
        </w:rPr>
        <w:t>Definir un modelo de datos de credenciales integral, formatos, firmas (por ejemplo, JSON</w:t>
      </w:r>
      <w:r w:rsidR="006524F8">
        <w:rPr>
          <w:rFonts w:eastAsia="SimSun"/>
          <w:lang w:val="es-ES" w:eastAsia="ja-JP"/>
        </w:rPr>
        <w:noBreakHyphen/>
      </w:r>
      <w:r w:rsidRPr="000850CB">
        <w:rPr>
          <w:rFonts w:eastAsia="SimSun"/>
          <w:lang w:val="es-ES" w:eastAsia="ja-JP"/>
        </w:rPr>
        <w:t xml:space="preserve">LD, JWT, BBS+, </w:t>
      </w:r>
      <w:proofErr w:type="spellStart"/>
      <w:r w:rsidRPr="000850CB">
        <w:rPr>
          <w:rFonts w:eastAsia="SimSun"/>
          <w:lang w:val="es-ES" w:eastAsia="ja-JP"/>
        </w:rPr>
        <w:t>postcuántica</w:t>
      </w:r>
      <w:proofErr w:type="spellEnd"/>
      <w:r w:rsidRPr="000850CB">
        <w:rPr>
          <w:rFonts w:eastAsia="SimSun"/>
          <w:lang w:val="es-ES" w:eastAsia="ja-JP"/>
        </w:rPr>
        <w:t>), métodos/identificador</w:t>
      </w:r>
      <w:r>
        <w:rPr>
          <w:rFonts w:eastAsia="SimSun"/>
          <w:lang w:val="es-ES" w:eastAsia="ja-JP"/>
        </w:rPr>
        <w:t xml:space="preserve">es de </w:t>
      </w:r>
      <w:r w:rsidRPr="000850CB">
        <w:rPr>
          <w:rFonts w:eastAsia="SimSun"/>
          <w:lang w:val="es-ES" w:eastAsia="ja-JP"/>
        </w:rPr>
        <w:t>DID (</w:t>
      </w:r>
      <w:r>
        <w:rPr>
          <w:rFonts w:eastAsia="SimSun"/>
          <w:lang w:val="es-ES" w:eastAsia="ja-JP"/>
        </w:rPr>
        <w:t>por ejemplo</w:t>
      </w:r>
      <w:r w:rsidRPr="000850CB">
        <w:rPr>
          <w:rFonts w:eastAsia="SimSun"/>
          <w:lang w:val="es-ES" w:eastAsia="ja-JP"/>
        </w:rPr>
        <w:t xml:space="preserve">, </w:t>
      </w:r>
      <w:proofErr w:type="spellStart"/>
      <w:proofErr w:type="gramStart"/>
      <w:r w:rsidRPr="000850CB">
        <w:rPr>
          <w:rFonts w:eastAsia="SimSun"/>
          <w:lang w:val="es-ES" w:eastAsia="ja-JP"/>
        </w:rPr>
        <w:t>DID:web</w:t>
      </w:r>
      <w:proofErr w:type="spellEnd"/>
      <w:proofErr w:type="gramEnd"/>
      <w:r w:rsidRPr="000850CB">
        <w:rPr>
          <w:rFonts w:eastAsia="SimSun"/>
          <w:lang w:val="es-ES" w:eastAsia="ja-JP"/>
        </w:rPr>
        <w:t xml:space="preserve">, </w:t>
      </w:r>
      <w:proofErr w:type="spellStart"/>
      <w:r w:rsidRPr="000850CB">
        <w:rPr>
          <w:rFonts w:eastAsia="SimSun"/>
          <w:lang w:val="es-ES" w:eastAsia="ja-JP"/>
        </w:rPr>
        <w:t>DID:key</w:t>
      </w:r>
      <w:proofErr w:type="spellEnd"/>
      <w:r w:rsidRPr="000850CB">
        <w:rPr>
          <w:rFonts w:eastAsia="SimSun"/>
          <w:lang w:val="es-ES" w:eastAsia="ja-JP"/>
        </w:rPr>
        <w:t xml:space="preserve">), </w:t>
      </w:r>
      <w:r>
        <w:rPr>
          <w:rFonts w:eastAsia="SimSun"/>
          <w:lang w:val="es-ES" w:eastAsia="ja-JP"/>
        </w:rPr>
        <w:t>marcos de vinculación/confianza (por ejemplo</w:t>
      </w:r>
      <w:r w:rsidRPr="000850CB">
        <w:rPr>
          <w:rFonts w:eastAsia="SimSun"/>
          <w:lang w:val="es-ES" w:eastAsia="ja-JP"/>
        </w:rPr>
        <w:t xml:space="preserve">, </w:t>
      </w:r>
      <w:r>
        <w:rPr>
          <w:rFonts w:eastAsia="SimSun"/>
          <w:lang w:val="es-ES" w:eastAsia="ja-JP"/>
        </w:rPr>
        <w:t>niveles de garantía, fiabilidad) y protocolos interoperables (por ejemplo</w:t>
      </w:r>
      <w:r w:rsidRPr="000850CB">
        <w:rPr>
          <w:rFonts w:eastAsia="SimSun"/>
          <w:lang w:val="es-ES" w:eastAsia="ja-JP"/>
        </w:rPr>
        <w:t xml:space="preserve">, OIDC4VC, </w:t>
      </w:r>
      <w:proofErr w:type="spellStart"/>
      <w:r w:rsidRPr="000850CB">
        <w:rPr>
          <w:rFonts w:eastAsia="SimSun"/>
          <w:lang w:val="es-ES" w:eastAsia="ja-JP"/>
        </w:rPr>
        <w:t>DIDComm</w:t>
      </w:r>
      <w:proofErr w:type="spellEnd"/>
      <w:r w:rsidRPr="000850CB">
        <w:rPr>
          <w:rFonts w:eastAsia="SimSun"/>
          <w:lang w:val="es-ES" w:eastAsia="ja-JP"/>
        </w:rPr>
        <w:t xml:space="preserve">, CHAPI) </w:t>
      </w:r>
      <w:r>
        <w:rPr>
          <w:rFonts w:eastAsia="SimSun"/>
          <w:lang w:val="es-ES" w:eastAsia="ja-JP"/>
        </w:rPr>
        <w:t>para la expedición, presentación y verificación en distintos contextos</w:t>
      </w:r>
      <w:r w:rsidRPr="000850CB">
        <w:rPr>
          <w:rFonts w:eastAsia="SimSun"/>
          <w:lang w:val="es-ES" w:eastAsia="ja-JP"/>
        </w:rPr>
        <w:t>.</w:t>
      </w:r>
    </w:p>
    <w:p w14:paraId="36ED290F" w14:textId="61FF782A" w:rsidR="00AC335B" w:rsidRPr="000850CB" w:rsidRDefault="006524F8" w:rsidP="00AC335B">
      <w:pPr>
        <w:pStyle w:val="enumlev1"/>
        <w:rPr>
          <w:rFonts w:eastAsia="SimSun"/>
          <w:lang w:val="es-ES" w:eastAsia="ja-JP"/>
        </w:rPr>
      </w:pPr>
      <w:r>
        <w:rPr>
          <w:rFonts w:eastAsia="SimSun"/>
          <w:lang w:val="es-ES" w:eastAsia="ja-JP"/>
        </w:rPr>
        <w:tab/>
      </w:r>
      <w:r w:rsidR="00AC335B" w:rsidRPr="000850CB">
        <w:rPr>
          <w:rFonts w:eastAsia="SimSun"/>
          <w:lang w:val="es-ES" w:eastAsia="ja-JP"/>
        </w:rPr>
        <w:t xml:space="preserve">Esta tarea responde a las cuestiones 27, 28, 29,30 y 31 </w:t>
      </w:r>
      <w:r w:rsidR="00AC335B">
        <w:rPr>
          <w:rFonts w:eastAsia="SimSun"/>
          <w:lang w:val="es-ES" w:eastAsia="ja-JP"/>
        </w:rPr>
        <w:t>de la sección 2 anterior</w:t>
      </w:r>
      <w:r w:rsidR="00AC335B" w:rsidRPr="000850CB">
        <w:rPr>
          <w:rFonts w:eastAsia="SimSun"/>
          <w:lang w:val="es-ES" w:eastAsia="ja-JP"/>
        </w:rPr>
        <w:t>.</w:t>
      </w:r>
    </w:p>
    <w:p w14:paraId="03DA5673"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0850CB">
        <w:rPr>
          <w:rFonts w:eastAsia="SimSun"/>
          <w:lang w:val="es-ES" w:eastAsia="ja-JP"/>
        </w:rPr>
        <w:t>Identificar sistemas, funciones de gobernanza y mecanismos de confianza (por ejemplo, DID, VC) para re</w:t>
      </w:r>
      <w:r>
        <w:rPr>
          <w:rFonts w:eastAsia="SimSun"/>
          <w:lang w:val="es-ES" w:eastAsia="ja-JP"/>
        </w:rPr>
        <w:t>forzar la posición de seguridad institucional, incluida la integración con</w:t>
      </w:r>
      <w:r w:rsidRPr="000850CB">
        <w:rPr>
          <w:rFonts w:eastAsia="SimSun"/>
          <w:lang w:val="es-ES" w:eastAsia="ja-JP"/>
        </w:rPr>
        <w:t xml:space="preserve"> CDC/CSC, autenti</w:t>
      </w:r>
      <w:r>
        <w:rPr>
          <w:rFonts w:eastAsia="SimSun"/>
          <w:lang w:val="es-ES" w:eastAsia="ja-JP"/>
        </w:rPr>
        <w:t>ficación/autorización/control de acceso y coordinación para el intercambio de información sobre ciberataques</w:t>
      </w:r>
      <w:r w:rsidRPr="000850CB">
        <w:rPr>
          <w:rFonts w:eastAsia="SimSun"/>
          <w:lang w:val="es-ES" w:eastAsia="ja-JP"/>
        </w:rPr>
        <w:t>.</w:t>
      </w:r>
    </w:p>
    <w:p w14:paraId="434D04E2" w14:textId="20B1DF0B" w:rsidR="00AC335B" w:rsidRPr="000850CB" w:rsidRDefault="006524F8" w:rsidP="00AC335B">
      <w:pPr>
        <w:pStyle w:val="enumlev1"/>
        <w:rPr>
          <w:rFonts w:eastAsia="SimSun"/>
          <w:lang w:val="es-ES" w:eastAsia="ja-JP"/>
        </w:rPr>
      </w:pPr>
      <w:r>
        <w:rPr>
          <w:rFonts w:eastAsia="SimSun"/>
          <w:lang w:val="es-ES" w:eastAsia="ja-JP"/>
        </w:rPr>
        <w:tab/>
      </w:r>
      <w:r w:rsidR="00AC335B" w:rsidRPr="000850CB">
        <w:rPr>
          <w:rFonts w:eastAsia="SimSun"/>
          <w:lang w:val="es-ES" w:eastAsia="ja-JP"/>
        </w:rPr>
        <w:t xml:space="preserve">Esta tarea responde a las cuestiones 11, 18 y 23 </w:t>
      </w:r>
      <w:r w:rsidR="00AC335B">
        <w:rPr>
          <w:rFonts w:eastAsia="SimSun"/>
          <w:lang w:val="es-ES" w:eastAsia="ja-JP"/>
        </w:rPr>
        <w:t>de la sección 2 anterior</w:t>
      </w:r>
      <w:r w:rsidR="00AC335B" w:rsidRPr="000850CB">
        <w:rPr>
          <w:rFonts w:eastAsia="SimSun"/>
          <w:lang w:val="es-ES" w:eastAsia="ja-JP"/>
        </w:rPr>
        <w:t>.</w:t>
      </w:r>
    </w:p>
    <w:p w14:paraId="5B3AC2BA"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5D7E27">
        <w:rPr>
          <w:rFonts w:eastAsia="SimSun"/>
          <w:lang w:val="es-ES" w:eastAsia="ja-JP"/>
        </w:rPr>
        <w:t xml:space="preserve">Determinar cómo deben las organizaciones de telecomunicaciones (incluidas </w:t>
      </w:r>
      <w:proofErr w:type="gramStart"/>
      <w:r w:rsidRPr="005D7E27">
        <w:rPr>
          <w:rFonts w:eastAsia="SimSun"/>
          <w:lang w:val="es-ES" w:eastAsia="ja-JP"/>
        </w:rPr>
        <w:t>las pyme</w:t>
      </w:r>
      <w:proofErr w:type="gramEnd"/>
      <w:r w:rsidRPr="005D7E27">
        <w:rPr>
          <w:rFonts w:eastAsia="SimSun"/>
          <w:lang w:val="es-ES" w:eastAsia="ja-JP"/>
        </w:rPr>
        <w:t>) identificar, medir, gestionar y clasificar los problemas de seguridad, los niveles de madurez</w:t>
      </w:r>
      <w:r>
        <w:rPr>
          <w:rFonts w:eastAsia="SimSun"/>
          <w:lang w:val="es-ES" w:eastAsia="ja-JP"/>
        </w:rPr>
        <w:t xml:space="preserve">, los retos a la hora de aplicar las normas y los riesgos (por ejemplo, cadena de suministro de </w:t>
      </w:r>
      <w:r w:rsidRPr="00A34408">
        <w:rPr>
          <w:rFonts w:eastAsia="SimSun"/>
          <w:i/>
          <w:iCs/>
          <w:lang w:val="es-ES" w:eastAsia="ja-JP"/>
        </w:rPr>
        <w:t>software</w:t>
      </w:r>
      <w:r>
        <w:rPr>
          <w:rFonts w:eastAsia="SimSun"/>
          <w:lang w:val="es-ES" w:eastAsia="ja-JP"/>
        </w:rPr>
        <w:t>), utilizando las normas existentes (UIT-T</w:t>
      </w:r>
      <w:r w:rsidRPr="005D7E27">
        <w:rPr>
          <w:rFonts w:eastAsia="SimSun"/>
          <w:lang w:val="es-ES" w:eastAsia="ja-JP"/>
        </w:rPr>
        <w:t>, ISO/</w:t>
      </w:r>
      <w:r>
        <w:rPr>
          <w:rFonts w:eastAsia="SimSun"/>
          <w:lang w:val="es-ES" w:eastAsia="ja-JP"/>
        </w:rPr>
        <w:t>CEI</w:t>
      </w:r>
      <w:r w:rsidRPr="005D7E27">
        <w:rPr>
          <w:rFonts w:eastAsia="SimSun"/>
          <w:lang w:val="es-ES" w:eastAsia="ja-JP"/>
        </w:rPr>
        <w:t>).</w:t>
      </w:r>
    </w:p>
    <w:p w14:paraId="7CC1232C" w14:textId="62C65F2B" w:rsidR="00AC335B" w:rsidRPr="005D7E27" w:rsidRDefault="006524F8" w:rsidP="00AC335B">
      <w:pPr>
        <w:pStyle w:val="enumlev1"/>
        <w:rPr>
          <w:rFonts w:eastAsia="SimSun"/>
          <w:lang w:val="es-ES" w:eastAsia="ja-JP"/>
        </w:rPr>
      </w:pPr>
      <w:r>
        <w:rPr>
          <w:rFonts w:eastAsia="SimSun"/>
          <w:lang w:val="es-ES" w:eastAsia="ja-JP"/>
        </w:rPr>
        <w:tab/>
      </w:r>
      <w:r w:rsidR="00AC335B" w:rsidRPr="005D7E27">
        <w:rPr>
          <w:rFonts w:eastAsia="SimSun"/>
          <w:lang w:val="es-ES" w:eastAsia="ja-JP"/>
        </w:rPr>
        <w:t>Esta tarea responde a las cuestiones 19, 21 y 24 d</w:t>
      </w:r>
      <w:r w:rsidR="00AC335B">
        <w:rPr>
          <w:rFonts w:eastAsia="SimSun"/>
          <w:lang w:val="es-ES" w:eastAsia="ja-JP"/>
        </w:rPr>
        <w:t>e la sección 2 anterior</w:t>
      </w:r>
      <w:r w:rsidR="00AC335B" w:rsidRPr="005D7E27">
        <w:rPr>
          <w:rFonts w:eastAsia="SimSun"/>
          <w:lang w:val="es-ES" w:eastAsia="ja-JP"/>
        </w:rPr>
        <w:t>.</w:t>
      </w:r>
    </w:p>
    <w:p w14:paraId="7BD5FE6B"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5D7E27">
        <w:rPr>
          <w:rFonts w:eastAsia="SimSun"/>
          <w:lang w:val="es-ES" w:eastAsia="ja-JP"/>
        </w:rPr>
        <w:t xml:space="preserve">Aplicar principios de gobernanza de la seguridad (incluida la IA para la seguridad) y </w:t>
      </w:r>
      <w:r>
        <w:rPr>
          <w:rFonts w:eastAsia="SimSun"/>
          <w:lang w:val="es-ES" w:eastAsia="ja-JP"/>
        </w:rPr>
        <w:t>prácticas idóneas para orientar los servicios de la organización</w:t>
      </w:r>
      <w:r w:rsidRPr="005D7E27">
        <w:rPr>
          <w:rFonts w:eastAsia="SimSun"/>
          <w:lang w:val="es-ES" w:eastAsia="ja-JP"/>
        </w:rPr>
        <w:t xml:space="preserve"> (</w:t>
      </w:r>
      <w:r>
        <w:rPr>
          <w:rFonts w:eastAsia="SimSun"/>
          <w:lang w:val="es-ES" w:eastAsia="ja-JP"/>
        </w:rPr>
        <w:t>por ejemplo</w:t>
      </w:r>
      <w:r w:rsidRPr="005D7E27">
        <w:rPr>
          <w:rFonts w:eastAsia="SimSun"/>
          <w:lang w:val="es-ES" w:eastAsia="ja-JP"/>
        </w:rPr>
        <w:t xml:space="preserve">, CDC/CSC, </w:t>
      </w:r>
      <w:r>
        <w:rPr>
          <w:rFonts w:eastAsia="SimSun"/>
          <w:lang w:val="es-ES" w:eastAsia="ja-JP"/>
        </w:rPr>
        <w:t>EII</w:t>
      </w:r>
      <w:r w:rsidRPr="005D7E27">
        <w:rPr>
          <w:rFonts w:eastAsia="SimSun"/>
          <w:lang w:val="es-ES" w:eastAsia="ja-JP"/>
        </w:rPr>
        <w:t>), inclu</w:t>
      </w:r>
      <w:r>
        <w:rPr>
          <w:rFonts w:eastAsia="SimSun"/>
          <w:lang w:val="es-ES" w:eastAsia="ja-JP"/>
        </w:rPr>
        <w:t>idas las relaciones entre</w:t>
      </w:r>
      <w:r w:rsidRPr="005D7E27">
        <w:rPr>
          <w:rFonts w:eastAsia="SimSun"/>
          <w:lang w:val="es-ES" w:eastAsia="ja-JP"/>
        </w:rPr>
        <w:t xml:space="preserve"> CDC </w:t>
      </w:r>
      <w:r>
        <w:rPr>
          <w:rFonts w:eastAsia="SimSun"/>
          <w:lang w:val="es-ES" w:eastAsia="ja-JP"/>
        </w:rPr>
        <w:t>y EIISI</w:t>
      </w:r>
      <w:r w:rsidRPr="005D7E27">
        <w:rPr>
          <w:rFonts w:eastAsia="SimSun"/>
          <w:lang w:val="es-ES" w:eastAsia="ja-JP"/>
        </w:rPr>
        <w:t>.</w:t>
      </w:r>
    </w:p>
    <w:p w14:paraId="186F3D5B" w14:textId="6F3DDAF8" w:rsidR="00AC335B" w:rsidRPr="005D7E27" w:rsidRDefault="006524F8" w:rsidP="00AC335B">
      <w:pPr>
        <w:pStyle w:val="enumlev1"/>
        <w:rPr>
          <w:rFonts w:eastAsia="SimSun"/>
          <w:lang w:val="es-ES" w:eastAsia="ja-JP"/>
        </w:rPr>
      </w:pPr>
      <w:r>
        <w:rPr>
          <w:rFonts w:eastAsia="SimSun"/>
          <w:lang w:val="es-ES" w:eastAsia="ja-JP"/>
        </w:rPr>
        <w:tab/>
      </w:r>
      <w:r w:rsidR="00AC335B" w:rsidRPr="005D7E27">
        <w:rPr>
          <w:rFonts w:eastAsia="SimSun"/>
          <w:lang w:val="es-ES" w:eastAsia="ja-JP"/>
        </w:rPr>
        <w:t>Esta tarea responde a las cuestiones 20 y 23 d</w:t>
      </w:r>
      <w:r w:rsidR="00AC335B">
        <w:rPr>
          <w:rFonts w:eastAsia="SimSun"/>
          <w:lang w:val="es-ES" w:eastAsia="ja-JP"/>
        </w:rPr>
        <w:t>e la sección 2 anterior</w:t>
      </w:r>
      <w:r w:rsidR="00AC335B" w:rsidRPr="005D7E27">
        <w:rPr>
          <w:rFonts w:eastAsia="SimSun"/>
          <w:lang w:val="es-ES" w:eastAsia="ja-JP"/>
        </w:rPr>
        <w:t>.</w:t>
      </w:r>
    </w:p>
    <w:p w14:paraId="31426F63" w14:textId="77777777" w:rsidR="006524F8" w:rsidRDefault="00AC335B" w:rsidP="00AC335B">
      <w:pPr>
        <w:pStyle w:val="enumlev1"/>
        <w:rPr>
          <w:rFonts w:eastAsia="SimSun"/>
          <w:lang w:val="es-ES" w:eastAsia="ja-JP"/>
        </w:rPr>
      </w:pPr>
      <w:r w:rsidRPr="006524F8">
        <w:rPr>
          <w:rFonts w:eastAsia="SimSun"/>
          <w:lang w:val="es-ES" w:eastAsia="ja-JP"/>
        </w:rPr>
        <w:t>–</w:t>
      </w:r>
      <w:r w:rsidRPr="006524F8">
        <w:rPr>
          <w:rFonts w:eastAsia="SimSun"/>
          <w:lang w:val="es-ES" w:eastAsia="ja-JP"/>
        </w:rPr>
        <w:tab/>
      </w:r>
      <w:r w:rsidRPr="005D7E27">
        <w:rPr>
          <w:rFonts w:eastAsia="SimSun"/>
          <w:lang w:val="es-ES" w:eastAsia="ja-JP"/>
        </w:rPr>
        <w:t>Implementar la gestión de la seguridad de la información y la mejora de</w:t>
      </w:r>
      <w:r>
        <w:rPr>
          <w:rFonts w:eastAsia="SimSun"/>
          <w:lang w:val="es-ES" w:eastAsia="ja-JP"/>
        </w:rPr>
        <w:t xml:space="preserve"> las capacidades del personal en las organizaciones de telecomunicaciones, centrándose en particular en la gestión efectiva de la IIP y el desarrollo de competencias</w:t>
      </w:r>
      <w:r w:rsidRPr="005D7E27">
        <w:rPr>
          <w:rFonts w:eastAsia="SimSun"/>
          <w:lang w:val="es-ES" w:eastAsia="ja-JP"/>
        </w:rPr>
        <w:t>.</w:t>
      </w:r>
    </w:p>
    <w:p w14:paraId="7E9194F6" w14:textId="330660F1" w:rsidR="00AC335B" w:rsidRPr="005D7E27" w:rsidRDefault="006524F8" w:rsidP="00AC335B">
      <w:pPr>
        <w:pStyle w:val="enumlev1"/>
        <w:rPr>
          <w:rFonts w:eastAsia="SimSun"/>
          <w:lang w:val="es-ES" w:eastAsia="ja-JP"/>
        </w:rPr>
      </w:pPr>
      <w:r>
        <w:rPr>
          <w:rFonts w:eastAsia="SimSun"/>
          <w:lang w:val="es-ES" w:eastAsia="ja-JP"/>
        </w:rPr>
        <w:tab/>
      </w:r>
      <w:r w:rsidR="00AC335B" w:rsidRPr="005D7E27">
        <w:rPr>
          <w:rFonts w:eastAsia="SimSun"/>
          <w:lang w:val="es-ES" w:eastAsia="ja-JP"/>
        </w:rPr>
        <w:t>Esta tarea responde a las cuestiones 3, 21 y 22 d</w:t>
      </w:r>
      <w:r w:rsidR="00AC335B">
        <w:rPr>
          <w:rFonts w:eastAsia="SimSun"/>
          <w:lang w:val="es-ES" w:eastAsia="ja-JP"/>
        </w:rPr>
        <w:t>e la sección 2 anterior</w:t>
      </w:r>
      <w:r w:rsidR="00AC335B" w:rsidRPr="005D7E27">
        <w:rPr>
          <w:rFonts w:eastAsia="SimSun"/>
          <w:lang w:val="es-ES" w:eastAsia="ja-JP"/>
        </w:rPr>
        <w:t>.</w:t>
      </w:r>
    </w:p>
    <w:p w14:paraId="1BF9BAAF" w14:textId="77777777" w:rsidR="006524F8" w:rsidRDefault="00AC335B" w:rsidP="00AC335B">
      <w:pPr>
        <w:pStyle w:val="enumlev1"/>
        <w:rPr>
          <w:rFonts w:eastAsia="SimSun"/>
          <w:lang w:val="es-ES" w:eastAsia="ja-JP"/>
        </w:rPr>
      </w:pPr>
      <w:r w:rsidRPr="006524F8">
        <w:rPr>
          <w:rFonts w:eastAsia="SimSun"/>
          <w:lang w:val="es-ES" w:eastAsia="ja-JP"/>
        </w:rPr>
        <w:lastRenderedPageBreak/>
        <w:t>–</w:t>
      </w:r>
      <w:r w:rsidRPr="006524F8">
        <w:rPr>
          <w:rFonts w:eastAsia="SimSun"/>
          <w:lang w:val="es-ES" w:eastAsia="ja-JP"/>
        </w:rPr>
        <w:tab/>
      </w:r>
      <w:r w:rsidRPr="005D7E27">
        <w:rPr>
          <w:rFonts w:eastAsia="SimSun"/>
          <w:lang w:val="es-ES" w:eastAsia="ja-JP"/>
        </w:rPr>
        <w:t xml:space="preserve">Evaluar el diseño de sistemas de </w:t>
      </w:r>
      <w:proofErr w:type="spellStart"/>
      <w:r w:rsidRPr="005D7E27">
        <w:rPr>
          <w:rFonts w:eastAsia="SimSun"/>
          <w:lang w:val="es-ES" w:eastAsia="ja-JP"/>
        </w:rPr>
        <w:t>IdM</w:t>
      </w:r>
      <w:proofErr w:type="spellEnd"/>
      <w:r w:rsidRPr="005D7E27">
        <w:rPr>
          <w:rFonts w:eastAsia="SimSun"/>
          <w:lang w:val="es-ES" w:eastAsia="ja-JP"/>
        </w:rPr>
        <w:t xml:space="preserve"> relacionados con los CDC/CSC para funcionalidades robustas, incluida la identificación de</w:t>
      </w:r>
      <w:r>
        <w:rPr>
          <w:rFonts w:eastAsia="SimSun"/>
          <w:lang w:val="es-ES" w:eastAsia="ja-JP"/>
        </w:rPr>
        <w:t xml:space="preserve"> amenazas/riesgos de seguridad, los protocolos seguros, la educación del usuario y la armonización con las normas industriales.</w:t>
      </w:r>
    </w:p>
    <w:p w14:paraId="320C9775" w14:textId="16C1D957" w:rsidR="00AC335B" w:rsidRPr="005D7E27" w:rsidRDefault="006524F8" w:rsidP="00AC335B">
      <w:pPr>
        <w:pStyle w:val="enumlev1"/>
        <w:rPr>
          <w:rFonts w:eastAsia="SimSun"/>
          <w:lang w:val="es-ES" w:eastAsia="ja-JP"/>
        </w:rPr>
      </w:pPr>
      <w:r>
        <w:rPr>
          <w:rFonts w:eastAsia="SimSun"/>
          <w:lang w:val="es-ES" w:eastAsia="ja-JP"/>
        </w:rPr>
        <w:tab/>
      </w:r>
      <w:r w:rsidR="00AC335B" w:rsidRPr="005D7E27">
        <w:rPr>
          <w:rFonts w:eastAsia="SimSun"/>
          <w:lang w:val="es-ES" w:eastAsia="ja-JP"/>
        </w:rPr>
        <w:t>Esta tarea responde a las cuestiones 18, 19 y 21 d</w:t>
      </w:r>
      <w:r w:rsidR="00AC335B">
        <w:rPr>
          <w:rFonts w:eastAsia="SimSun"/>
          <w:lang w:val="es-ES" w:eastAsia="ja-JP"/>
        </w:rPr>
        <w:t>e la sección 2 anterior</w:t>
      </w:r>
      <w:r w:rsidR="00AC335B" w:rsidRPr="005D7E27">
        <w:rPr>
          <w:rFonts w:eastAsia="SimSun"/>
          <w:lang w:val="es-ES" w:eastAsia="ja-JP"/>
        </w:rPr>
        <w:t>.</w:t>
      </w:r>
    </w:p>
    <w:p w14:paraId="281B212C" w14:textId="77777777" w:rsidR="00AC335B" w:rsidRPr="005D7E27" w:rsidRDefault="00AC335B" w:rsidP="00AC335B">
      <w:pPr>
        <w:rPr>
          <w:rFonts w:eastAsia="MS Mincho"/>
          <w:lang w:val="es-ES" w:eastAsia="ja-JP"/>
        </w:rPr>
      </w:pPr>
      <w:r w:rsidRPr="00091F8F">
        <w:t>La situación actual de los trabajos relativos a esta Cuestión figura en el programa de trabajo de la CE 17 en</w:t>
      </w:r>
      <w:r w:rsidRPr="005D7E27">
        <w:rPr>
          <w:rFonts w:eastAsia="SimSun"/>
          <w:lang w:val="es-ES" w:eastAsia="ja-JP"/>
        </w:rPr>
        <w:t xml:space="preserve"> </w:t>
      </w:r>
      <w:hyperlink r:id="rId12" w:history="1">
        <w:r w:rsidRPr="005D7E27">
          <w:rPr>
            <w:rFonts w:eastAsia="SimSun"/>
            <w:color w:val="0000FF"/>
            <w:u w:val="single"/>
            <w:lang w:val="es-ES" w:eastAsia="ja-JP"/>
          </w:rPr>
          <w:t>https://www.itu.int/ITU-T/workprog/wp_search.aspx?sp=18&amp;q=10/17</w:t>
        </w:r>
      </w:hyperlink>
      <w:r w:rsidRPr="005D7E27">
        <w:rPr>
          <w:rFonts w:eastAsia="MS Mincho"/>
          <w:lang w:val="es-ES" w:eastAsia="ja-JP"/>
        </w:rPr>
        <w:t>.</w:t>
      </w:r>
    </w:p>
    <w:p w14:paraId="33D45B45" w14:textId="77777777" w:rsidR="00AC335B" w:rsidRPr="00627958" w:rsidRDefault="00AC335B" w:rsidP="00AC335B">
      <w:pPr>
        <w:pStyle w:val="Heading3"/>
        <w:rPr>
          <w:lang w:val="es-ES"/>
        </w:rPr>
      </w:pPr>
      <w:r w:rsidRPr="00627958">
        <w:rPr>
          <w:lang w:val="es-ES"/>
        </w:rPr>
        <w:t>4</w:t>
      </w:r>
      <w:r w:rsidRPr="00627958">
        <w:rPr>
          <w:lang w:val="es-ES"/>
        </w:rPr>
        <w:tab/>
      </w:r>
      <w:proofErr w:type="gramStart"/>
      <w:r w:rsidRPr="00627958">
        <w:rPr>
          <w:lang w:val="es-ES"/>
        </w:rPr>
        <w:t>Relaciones</w:t>
      </w:r>
      <w:proofErr w:type="gramEnd"/>
    </w:p>
    <w:p w14:paraId="74BE2813" w14:textId="77777777" w:rsidR="00AC335B" w:rsidRPr="005D7E27" w:rsidRDefault="00AC335B" w:rsidP="00AC335B">
      <w:pPr>
        <w:pStyle w:val="Headingb0"/>
        <w:rPr>
          <w:rFonts w:eastAsia="SimSun"/>
          <w:lang w:val="es-ES" w:eastAsia="ja-JP"/>
        </w:rPr>
      </w:pPr>
      <w:r w:rsidRPr="005D7E27">
        <w:rPr>
          <w:rFonts w:eastAsia="SimSun"/>
          <w:lang w:val="es-ES" w:eastAsia="ja-JP"/>
        </w:rPr>
        <w:t>Recomendaciones:</w:t>
      </w:r>
    </w:p>
    <w:p w14:paraId="3E146214"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Series X e Y</w:t>
      </w:r>
    </w:p>
    <w:p w14:paraId="2F0378CD"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X.200, X.273, X.274, X.509, X.680, X.805 y X.1051</w:t>
      </w:r>
    </w:p>
    <w:p w14:paraId="333E1AA7" w14:textId="77777777" w:rsidR="00AC335B" w:rsidRPr="005D7E27" w:rsidRDefault="00AC335B" w:rsidP="00AC335B">
      <w:pPr>
        <w:pStyle w:val="Headingb0"/>
        <w:rPr>
          <w:rFonts w:eastAsia="SimSun"/>
          <w:lang w:val="es-ES" w:eastAsia="ja-JP"/>
        </w:rPr>
      </w:pPr>
      <w:r w:rsidRPr="005D7E27">
        <w:rPr>
          <w:rFonts w:eastAsia="SimSun"/>
          <w:lang w:val="es-ES" w:eastAsia="ja-JP"/>
        </w:rPr>
        <w:t>Cuestiones:</w:t>
      </w:r>
    </w:p>
    <w:p w14:paraId="70914BC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Todas las Cuestiones de la CE 17 del U</w:t>
      </w:r>
      <w:r>
        <w:rPr>
          <w:rFonts w:eastAsia="SimSun"/>
          <w:lang w:val="es-ES" w:eastAsia="ja-JP"/>
        </w:rPr>
        <w:t>IT-T</w:t>
      </w:r>
    </w:p>
    <w:p w14:paraId="1114628A" w14:textId="77777777" w:rsidR="00AC335B" w:rsidRPr="00627958" w:rsidRDefault="00AC335B" w:rsidP="00AC335B">
      <w:pPr>
        <w:pStyle w:val="Headingb0"/>
        <w:rPr>
          <w:rFonts w:eastAsia="SimSun"/>
          <w:lang w:val="fr-FR" w:eastAsia="ja-JP"/>
        </w:rPr>
      </w:pPr>
      <w:proofErr w:type="spellStart"/>
      <w:r w:rsidRPr="00627958">
        <w:rPr>
          <w:rFonts w:eastAsia="SimSun"/>
          <w:lang w:val="fr-FR" w:eastAsia="ja-JP"/>
        </w:rPr>
        <w:t>Comisiones</w:t>
      </w:r>
      <w:proofErr w:type="spellEnd"/>
      <w:r w:rsidRPr="00627958">
        <w:rPr>
          <w:rFonts w:eastAsia="SimSun"/>
          <w:lang w:val="fr-FR" w:eastAsia="ja-JP"/>
        </w:rPr>
        <w:t xml:space="preserve"> de </w:t>
      </w:r>
      <w:proofErr w:type="spellStart"/>
      <w:proofErr w:type="gramStart"/>
      <w:r w:rsidRPr="00627958">
        <w:rPr>
          <w:rFonts w:eastAsia="SimSun"/>
          <w:lang w:val="fr-FR" w:eastAsia="ja-JP"/>
        </w:rPr>
        <w:t>Estudio</w:t>
      </w:r>
      <w:proofErr w:type="spellEnd"/>
      <w:r w:rsidRPr="00627958">
        <w:rPr>
          <w:rFonts w:eastAsia="SimSun"/>
          <w:lang w:val="fr-FR" w:eastAsia="ja-JP"/>
        </w:rPr>
        <w:t>:</w:t>
      </w:r>
      <w:proofErr w:type="gramEnd"/>
    </w:p>
    <w:p w14:paraId="561514C9"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2 </w:t>
      </w:r>
      <w:proofErr w:type="spellStart"/>
      <w:r>
        <w:rPr>
          <w:rFonts w:eastAsia="SimSun"/>
          <w:lang w:val="fr-FR" w:eastAsia="ja-JP"/>
        </w:rPr>
        <w:t>del</w:t>
      </w:r>
      <w:proofErr w:type="spellEnd"/>
      <w:r>
        <w:rPr>
          <w:rFonts w:eastAsia="SimSun"/>
          <w:lang w:val="fr-FR" w:eastAsia="ja-JP"/>
        </w:rPr>
        <w:t xml:space="preserve"> UIT-T</w:t>
      </w:r>
    </w:p>
    <w:p w14:paraId="01CB35E5"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5 </w:t>
      </w:r>
      <w:proofErr w:type="spellStart"/>
      <w:r>
        <w:rPr>
          <w:rFonts w:eastAsia="SimSun"/>
          <w:lang w:val="fr-FR" w:eastAsia="ja-JP"/>
        </w:rPr>
        <w:t>del</w:t>
      </w:r>
      <w:proofErr w:type="spellEnd"/>
      <w:r>
        <w:rPr>
          <w:rFonts w:eastAsia="SimSun"/>
          <w:lang w:val="fr-FR" w:eastAsia="ja-JP"/>
        </w:rPr>
        <w:t xml:space="preserve"> UIT-T</w:t>
      </w:r>
    </w:p>
    <w:p w14:paraId="6BDF419E"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11 </w:t>
      </w:r>
      <w:proofErr w:type="spellStart"/>
      <w:r>
        <w:rPr>
          <w:rFonts w:eastAsia="SimSun"/>
          <w:lang w:val="fr-FR" w:eastAsia="ja-JP"/>
        </w:rPr>
        <w:t>del</w:t>
      </w:r>
      <w:proofErr w:type="spellEnd"/>
      <w:r>
        <w:rPr>
          <w:rFonts w:eastAsia="SimSun"/>
          <w:lang w:val="fr-FR" w:eastAsia="ja-JP"/>
        </w:rPr>
        <w:t xml:space="preserve"> UIT-T</w:t>
      </w:r>
    </w:p>
    <w:p w14:paraId="6EE549C7"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13 </w:t>
      </w:r>
      <w:proofErr w:type="spellStart"/>
      <w:r>
        <w:rPr>
          <w:rFonts w:eastAsia="SimSun"/>
          <w:lang w:val="fr-FR" w:eastAsia="ja-JP"/>
        </w:rPr>
        <w:t>del</w:t>
      </w:r>
      <w:proofErr w:type="spellEnd"/>
      <w:r>
        <w:rPr>
          <w:rFonts w:eastAsia="SimSun"/>
          <w:lang w:val="fr-FR" w:eastAsia="ja-JP"/>
        </w:rPr>
        <w:t xml:space="preserve"> UIT-T</w:t>
      </w:r>
    </w:p>
    <w:p w14:paraId="6D4C401D"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15 </w:t>
      </w:r>
      <w:proofErr w:type="spellStart"/>
      <w:r>
        <w:rPr>
          <w:rFonts w:eastAsia="SimSun"/>
          <w:lang w:val="fr-FR" w:eastAsia="ja-JP"/>
        </w:rPr>
        <w:t>del</w:t>
      </w:r>
      <w:proofErr w:type="spellEnd"/>
      <w:r>
        <w:rPr>
          <w:rFonts w:eastAsia="SimSun"/>
          <w:lang w:val="fr-FR" w:eastAsia="ja-JP"/>
        </w:rPr>
        <w:t xml:space="preserve"> UIT-T</w:t>
      </w:r>
    </w:p>
    <w:p w14:paraId="21449D3C" w14:textId="77777777" w:rsidR="00AC335B" w:rsidRPr="00C278FB" w:rsidRDefault="00AC335B" w:rsidP="00AC335B">
      <w:pPr>
        <w:pStyle w:val="enumlev1"/>
        <w:rPr>
          <w:rFonts w:eastAsia="SimSun"/>
          <w:lang w:val="fr-FR" w:eastAsia="ja-JP"/>
        </w:rPr>
      </w:pPr>
      <w:r w:rsidRPr="00C278FB">
        <w:rPr>
          <w:rFonts w:eastAsia="SimSun"/>
          <w:lang w:val="fr-FR" w:eastAsia="ja-JP"/>
        </w:rPr>
        <w:t>–</w:t>
      </w:r>
      <w:r w:rsidRPr="00C278FB">
        <w:rPr>
          <w:rFonts w:eastAsia="SimSun"/>
          <w:lang w:val="fr-FR" w:eastAsia="ja-JP"/>
        </w:rPr>
        <w:tab/>
      </w:r>
      <w:r>
        <w:rPr>
          <w:rFonts w:eastAsia="SimSun"/>
          <w:lang w:val="fr-FR" w:eastAsia="ja-JP"/>
        </w:rPr>
        <w:t xml:space="preserve">CE 20 </w:t>
      </w:r>
      <w:proofErr w:type="spellStart"/>
      <w:r>
        <w:rPr>
          <w:rFonts w:eastAsia="SimSun"/>
          <w:lang w:val="fr-FR" w:eastAsia="ja-JP"/>
        </w:rPr>
        <w:t>del</w:t>
      </w:r>
      <w:proofErr w:type="spellEnd"/>
      <w:r>
        <w:rPr>
          <w:rFonts w:eastAsia="SimSun"/>
          <w:lang w:val="fr-FR" w:eastAsia="ja-JP"/>
        </w:rPr>
        <w:t xml:space="preserve"> UIT-T</w:t>
      </w:r>
    </w:p>
    <w:p w14:paraId="6050D4A5" w14:textId="77777777" w:rsidR="00AC335B" w:rsidRPr="00627958" w:rsidRDefault="00AC335B" w:rsidP="00AC335B">
      <w:pPr>
        <w:pStyle w:val="enumlev1"/>
        <w:rPr>
          <w:rFonts w:eastAsia="SimSun"/>
          <w:lang w:val="fr-FR" w:eastAsia="ja-JP"/>
        </w:rPr>
      </w:pPr>
      <w:r w:rsidRPr="00627958">
        <w:rPr>
          <w:rFonts w:eastAsia="SimSun"/>
          <w:lang w:val="fr-FR" w:eastAsia="ja-JP"/>
        </w:rPr>
        <w:t>–</w:t>
      </w:r>
      <w:r w:rsidRPr="00627958">
        <w:rPr>
          <w:rFonts w:eastAsia="SimSun"/>
          <w:lang w:val="fr-FR" w:eastAsia="ja-JP"/>
        </w:rPr>
        <w:tab/>
      </w:r>
      <w:r>
        <w:rPr>
          <w:rFonts w:eastAsia="SimSun"/>
          <w:lang w:val="fr-FR" w:eastAsia="ja-JP"/>
        </w:rPr>
        <w:t xml:space="preserve">CE 21 </w:t>
      </w:r>
      <w:proofErr w:type="spellStart"/>
      <w:r>
        <w:rPr>
          <w:rFonts w:eastAsia="SimSun"/>
          <w:lang w:val="fr-FR" w:eastAsia="ja-JP"/>
        </w:rPr>
        <w:t>del</w:t>
      </w:r>
      <w:proofErr w:type="spellEnd"/>
      <w:r>
        <w:rPr>
          <w:rFonts w:eastAsia="SimSun"/>
          <w:lang w:val="fr-FR" w:eastAsia="ja-JP"/>
        </w:rPr>
        <w:t xml:space="preserve"> UIT-T</w:t>
      </w:r>
    </w:p>
    <w:p w14:paraId="17FAB395" w14:textId="77777777" w:rsidR="00AC335B" w:rsidRPr="00627958" w:rsidRDefault="00AC335B" w:rsidP="00AC335B">
      <w:pPr>
        <w:pStyle w:val="enumlev1"/>
        <w:rPr>
          <w:rFonts w:eastAsia="SimSun"/>
          <w:lang w:val="fr-FR" w:eastAsia="ja-JP"/>
        </w:rPr>
      </w:pPr>
      <w:r w:rsidRPr="00627958">
        <w:rPr>
          <w:rFonts w:eastAsia="SimSun"/>
          <w:lang w:val="fr-FR" w:eastAsia="ja-JP"/>
        </w:rPr>
        <w:t>–</w:t>
      </w:r>
      <w:r w:rsidRPr="00627958">
        <w:rPr>
          <w:rFonts w:eastAsia="SimSun"/>
          <w:lang w:val="fr-FR" w:eastAsia="ja-JP"/>
        </w:rPr>
        <w:tab/>
        <w:t xml:space="preserve">CE 1 y CE 2 </w:t>
      </w:r>
      <w:proofErr w:type="spellStart"/>
      <w:r w:rsidRPr="00627958">
        <w:rPr>
          <w:rFonts w:eastAsia="SimSun"/>
          <w:lang w:val="fr-FR" w:eastAsia="ja-JP"/>
        </w:rPr>
        <w:t>del</w:t>
      </w:r>
      <w:proofErr w:type="spellEnd"/>
      <w:r w:rsidRPr="00627958">
        <w:rPr>
          <w:rFonts w:eastAsia="SimSun"/>
          <w:lang w:val="fr-FR" w:eastAsia="ja-JP"/>
        </w:rPr>
        <w:t xml:space="preserve"> UIT-D</w:t>
      </w:r>
    </w:p>
    <w:p w14:paraId="07C8155A" w14:textId="77777777" w:rsidR="00AC335B" w:rsidRPr="00627958" w:rsidRDefault="00AC335B" w:rsidP="00AC335B">
      <w:pPr>
        <w:pStyle w:val="Headingb0"/>
        <w:rPr>
          <w:rFonts w:eastAsia="SimSun"/>
          <w:lang w:val="es-ES" w:eastAsia="ja-JP"/>
        </w:rPr>
      </w:pPr>
      <w:r w:rsidRPr="00627958">
        <w:rPr>
          <w:rFonts w:eastAsia="SimSun"/>
          <w:lang w:val="es-ES" w:eastAsia="ja-JP"/>
        </w:rPr>
        <w:t>Organismos de normalización:</w:t>
      </w:r>
    </w:p>
    <w:p w14:paraId="21E7D658"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IEC/TC 25, IEC/TC 25/JWG 1</w:t>
      </w:r>
    </w:p>
    <w:p w14:paraId="5616ADBB"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Instituto de Ingenieros Eléctricos y Electrónicos (IEEE)</w:t>
      </w:r>
    </w:p>
    <w:p w14:paraId="3F13CEE0"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r>
      <w:r w:rsidRPr="00091F8F">
        <w:t>Grupo Especial sobre Ingeniería de Internet</w:t>
      </w:r>
      <w:r w:rsidRPr="005D7E27">
        <w:rPr>
          <w:rFonts w:eastAsia="SimSun"/>
          <w:lang w:val="es-ES" w:eastAsia="ja-JP"/>
        </w:rPr>
        <w:t xml:space="preserve"> (IETF)</w:t>
      </w:r>
    </w:p>
    <w:p w14:paraId="75F44F7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ISO/IEC JTC 1/SC 6, 17, 27, 37, 40 y 42</w:t>
      </w:r>
    </w:p>
    <w:p w14:paraId="3898D415"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ISO/TC 12, 68, 215 y 307</w:t>
      </w:r>
    </w:p>
    <w:p w14:paraId="5A0CF348"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ISO/TC 12/JWG 20</w:t>
      </w:r>
    </w:p>
    <w:p w14:paraId="3DDE003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 xml:space="preserve">Instituto Europeo de </w:t>
      </w:r>
      <w:r>
        <w:rPr>
          <w:rFonts w:eastAsia="SimSun"/>
          <w:lang w:val="es-ES" w:eastAsia="ja-JP"/>
        </w:rPr>
        <w:t>Normas de Telecomunicaciones</w:t>
      </w:r>
    </w:p>
    <w:p w14:paraId="08BA85B7"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 xml:space="preserve">Programa de Normalización de la </w:t>
      </w:r>
      <w:proofErr w:type="spellStart"/>
      <w:r w:rsidRPr="005D7E27">
        <w:rPr>
          <w:rFonts w:eastAsia="SimSun"/>
          <w:lang w:val="es-ES" w:eastAsia="ja-JP"/>
        </w:rPr>
        <w:t>Te</w:t>
      </w:r>
      <w:r>
        <w:rPr>
          <w:rFonts w:eastAsia="SimSun"/>
          <w:lang w:val="es-ES" w:eastAsia="ja-JP"/>
        </w:rPr>
        <w:t>lecomunidad</w:t>
      </w:r>
      <w:proofErr w:type="spellEnd"/>
      <w:r>
        <w:rPr>
          <w:rFonts w:eastAsia="SimSun"/>
          <w:lang w:val="es-ES" w:eastAsia="ja-JP"/>
        </w:rPr>
        <w:t xml:space="preserve"> Asia-Pacífico</w:t>
      </w:r>
      <w:r w:rsidRPr="005D7E27">
        <w:rPr>
          <w:rFonts w:eastAsia="SimSun"/>
          <w:lang w:val="es-ES" w:eastAsia="ja-JP"/>
        </w:rPr>
        <w:t xml:space="preserve"> (ASTAP)</w:t>
      </w:r>
    </w:p>
    <w:p w14:paraId="76A86125" w14:textId="25BBA5A4"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r>
      <w:r w:rsidRPr="00091F8F">
        <w:t>Organización para el Desarrollo de Normas relativas a la Información Estructurada</w:t>
      </w:r>
      <w:r w:rsidRPr="005D7E27">
        <w:rPr>
          <w:rFonts w:eastAsia="SimSun"/>
          <w:lang w:val="es-ES" w:eastAsia="ja-JP"/>
        </w:rPr>
        <w:t xml:space="preserve"> (OASIS)</w:t>
      </w:r>
    </w:p>
    <w:p w14:paraId="34A3B3F7"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 xml:space="preserve">Iniciativa </w:t>
      </w:r>
      <w:proofErr w:type="spellStart"/>
      <w:r w:rsidRPr="00627958">
        <w:rPr>
          <w:rFonts w:eastAsia="SimSun"/>
          <w:lang w:val="es-ES" w:eastAsia="ja-JP"/>
        </w:rPr>
        <w:t>Kantara</w:t>
      </w:r>
      <w:proofErr w:type="spellEnd"/>
    </w:p>
    <w:p w14:paraId="073BD76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Proyecto de Asociación de Tercera Generación (3GPP)</w:t>
      </w:r>
    </w:p>
    <w:p w14:paraId="1DC29D7A"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 xml:space="preserve">Fundación Open </w:t>
      </w:r>
      <w:proofErr w:type="spellStart"/>
      <w:r w:rsidRPr="00627958">
        <w:rPr>
          <w:rFonts w:eastAsia="SimSun"/>
          <w:lang w:val="es-ES" w:eastAsia="ja-JP"/>
        </w:rPr>
        <w:t>wallet</w:t>
      </w:r>
      <w:proofErr w:type="spellEnd"/>
    </w:p>
    <w:p w14:paraId="4E2000C0" w14:textId="77777777" w:rsidR="00AC335B" w:rsidRPr="005D7E27" w:rsidRDefault="00AC335B" w:rsidP="00AC335B">
      <w:pPr>
        <w:pStyle w:val="enumlev1"/>
        <w:rPr>
          <w:rFonts w:eastAsia="MS Mincho"/>
          <w:lang w:val="es-ES" w:eastAsia="ja-JP"/>
        </w:rPr>
      </w:pPr>
      <w:r w:rsidRPr="005D7E27">
        <w:rPr>
          <w:lang w:val="es-ES"/>
        </w:rPr>
        <w:t>–</w:t>
      </w:r>
      <w:r w:rsidRPr="005D7E27">
        <w:rPr>
          <w:lang w:val="es-ES"/>
        </w:rPr>
        <w:tab/>
        <w:t>Comité de Tecnología de Telecomunicaciones (TTC)</w:t>
      </w:r>
    </w:p>
    <w:p w14:paraId="4568B5D3" w14:textId="77777777" w:rsidR="006524F8" w:rsidRDefault="006524F8">
      <w:pPr>
        <w:tabs>
          <w:tab w:val="clear" w:pos="794"/>
          <w:tab w:val="clear" w:pos="1191"/>
          <w:tab w:val="clear" w:pos="1588"/>
          <w:tab w:val="clear" w:pos="1985"/>
        </w:tabs>
        <w:overflowPunct/>
        <w:autoSpaceDE/>
        <w:autoSpaceDN/>
        <w:adjustRightInd/>
        <w:spacing w:before="0"/>
        <w:textAlignment w:val="auto"/>
        <w:rPr>
          <w:rFonts w:eastAsia="SimSun"/>
          <w:b/>
          <w:lang w:val="es-ES" w:eastAsia="ja-JP"/>
        </w:rPr>
      </w:pPr>
      <w:r>
        <w:rPr>
          <w:rFonts w:eastAsia="SimSun"/>
          <w:lang w:val="es-ES" w:eastAsia="ja-JP"/>
        </w:rPr>
        <w:br w:type="page"/>
      </w:r>
    </w:p>
    <w:p w14:paraId="3CC99EC4" w14:textId="2ACE3F8C" w:rsidR="00AC335B" w:rsidRPr="00627958" w:rsidRDefault="00AC335B" w:rsidP="00AC335B">
      <w:pPr>
        <w:pStyle w:val="Headingb0"/>
        <w:rPr>
          <w:rFonts w:eastAsia="SimSun"/>
          <w:lang w:val="es-ES" w:eastAsia="ja-JP"/>
        </w:rPr>
      </w:pPr>
      <w:r w:rsidRPr="00627958">
        <w:rPr>
          <w:rFonts w:eastAsia="SimSun"/>
          <w:lang w:val="es-ES" w:eastAsia="ja-JP"/>
        </w:rPr>
        <w:lastRenderedPageBreak/>
        <w:t>Otros órganos:</w:t>
      </w:r>
    </w:p>
    <w:p w14:paraId="1DDC96F4"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Oficina Internacional de Pesos y Medidas (BIPM)</w:t>
      </w:r>
    </w:p>
    <w:p w14:paraId="3297C8A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Comisión Internacional sobre Unidades y Mediciones de Radi</w:t>
      </w:r>
      <w:r>
        <w:rPr>
          <w:rFonts w:eastAsia="SimSun"/>
          <w:lang w:val="es-ES" w:eastAsia="ja-JP"/>
        </w:rPr>
        <w:t>ación</w:t>
      </w:r>
      <w:r w:rsidRPr="005D7E27">
        <w:rPr>
          <w:rFonts w:eastAsia="SimSun"/>
          <w:lang w:val="es-ES" w:eastAsia="ja-JP"/>
        </w:rPr>
        <w:t xml:space="preserve"> (ICRU)</w:t>
      </w:r>
    </w:p>
    <w:p w14:paraId="03F8DF53" w14:textId="77777777" w:rsidR="00AC335B" w:rsidRPr="00AC335B" w:rsidRDefault="00AC335B" w:rsidP="00AC335B">
      <w:pPr>
        <w:pStyle w:val="enumlev1"/>
        <w:rPr>
          <w:rFonts w:eastAsia="SimSun"/>
          <w:lang w:val="en-US" w:eastAsia="ja-JP"/>
        </w:rPr>
      </w:pPr>
      <w:r w:rsidRPr="00AC335B">
        <w:rPr>
          <w:rFonts w:eastAsia="SimSun"/>
          <w:lang w:val="en-US" w:eastAsia="ja-JP"/>
        </w:rPr>
        <w:t>–</w:t>
      </w:r>
      <w:r w:rsidRPr="00AC335B">
        <w:rPr>
          <w:rFonts w:eastAsia="SimSun"/>
          <w:lang w:val="en-US" w:eastAsia="ja-JP"/>
        </w:rPr>
        <w:tab/>
        <w:t>Alianza Fast Identity Online (FIDO)</w:t>
      </w:r>
    </w:p>
    <w:p w14:paraId="7D9C18EA"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Fundación Open Id (OID)</w:t>
      </w:r>
    </w:p>
    <w:p w14:paraId="6874B7D3"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SIA (Alianza de Identidad Segura)</w:t>
      </w:r>
    </w:p>
    <w:p w14:paraId="60BD0C5E"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 xml:space="preserve">SIDI </w:t>
      </w:r>
      <w:proofErr w:type="gramStart"/>
      <w:r w:rsidRPr="005D7E27">
        <w:rPr>
          <w:rFonts w:eastAsia="SimSun"/>
          <w:lang w:val="es-ES" w:eastAsia="ja-JP"/>
        </w:rPr>
        <w:t>Hub</w:t>
      </w:r>
      <w:proofErr w:type="gramEnd"/>
      <w:r w:rsidRPr="005D7E27">
        <w:rPr>
          <w:rFonts w:eastAsia="SimSun"/>
          <w:lang w:val="es-ES" w:eastAsia="ja-JP"/>
        </w:rPr>
        <w:t xml:space="preserve"> (Identidad </w:t>
      </w:r>
      <w:r>
        <w:rPr>
          <w:rFonts w:eastAsia="SimSun"/>
          <w:lang w:val="es-ES" w:eastAsia="ja-JP"/>
        </w:rPr>
        <w:t>Digital Sostenible e Interoperable</w:t>
      </w:r>
      <w:r w:rsidRPr="005D7E27">
        <w:rPr>
          <w:rFonts w:eastAsia="SimSun"/>
          <w:lang w:val="es-ES" w:eastAsia="ja-JP"/>
        </w:rPr>
        <w:t>)</w:t>
      </w:r>
    </w:p>
    <w:p w14:paraId="4F904F82" w14:textId="77777777" w:rsidR="00AC335B" w:rsidRPr="005D7E27" w:rsidRDefault="00AC335B" w:rsidP="00AC335B">
      <w:pPr>
        <w:pStyle w:val="enumlev1"/>
        <w:rPr>
          <w:rFonts w:eastAsia="SimSun"/>
          <w:lang w:val="es-ES" w:eastAsia="ja-JP"/>
        </w:rPr>
      </w:pPr>
      <w:r w:rsidRPr="005D7E27">
        <w:rPr>
          <w:rFonts w:eastAsia="SimSun"/>
          <w:lang w:val="es-ES" w:eastAsia="ja-JP"/>
        </w:rPr>
        <w:t>–</w:t>
      </w:r>
      <w:r w:rsidRPr="005D7E27">
        <w:rPr>
          <w:rFonts w:eastAsia="SimSun"/>
          <w:lang w:val="es-ES" w:eastAsia="ja-JP"/>
        </w:rPr>
        <w:tab/>
        <w:t>Organización Internacional del Trab</w:t>
      </w:r>
      <w:r>
        <w:rPr>
          <w:rFonts w:eastAsia="SimSun"/>
          <w:lang w:val="es-ES" w:eastAsia="ja-JP"/>
        </w:rPr>
        <w:t>ajo (OIT</w:t>
      </w:r>
      <w:r w:rsidRPr="005D7E27">
        <w:rPr>
          <w:rFonts w:eastAsia="SimSun"/>
          <w:lang w:val="es-ES" w:eastAsia="ja-JP"/>
        </w:rPr>
        <w:t>)</w:t>
      </w:r>
    </w:p>
    <w:p w14:paraId="6E471480" w14:textId="77777777" w:rsidR="00AC335B" w:rsidRPr="00E76BF3" w:rsidRDefault="00AC335B" w:rsidP="00AC335B">
      <w:pPr>
        <w:pStyle w:val="enumlev1"/>
        <w:rPr>
          <w:rFonts w:eastAsia="MS Mincho"/>
          <w:lang w:val="es-ES" w:eastAsia="ja-JP"/>
        </w:rPr>
      </w:pPr>
      <w:r w:rsidRPr="00E76BF3">
        <w:rPr>
          <w:lang w:val="es-ES"/>
        </w:rPr>
        <w:t>–</w:t>
      </w:r>
      <w:r w:rsidRPr="00E76BF3">
        <w:rPr>
          <w:lang w:val="es-ES"/>
        </w:rPr>
        <w:tab/>
        <w:t>Foro de los Equipos de Respuest</w:t>
      </w:r>
      <w:r>
        <w:rPr>
          <w:lang w:val="es-ES"/>
        </w:rPr>
        <w:t>a en caso de Incidentes de Seguridad</w:t>
      </w:r>
      <w:r w:rsidRPr="00E76BF3">
        <w:rPr>
          <w:lang w:val="es-ES"/>
        </w:rPr>
        <w:t xml:space="preserve"> (FIR</w:t>
      </w:r>
      <w:r w:rsidRPr="00E76BF3">
        <w:rPr>
          <w:rFonts w:eastAsia="MS Mincho"/>
          <w:lang w:val="es-ES" w:eastAsia="ja-JP"/>
        </w:rPr>
        <w:t>ST)</w:t>
      </w:r>
    </w:p>
    <w:p w14:paraId="37EA7061" w14:textId="77777777" w:rsidR="00AC335B" w:rsidRPr="00E76BF3" w:rsidRDefault="00AC335B" w:rsidP="00AC335B">
      <w:pPr>
        <w:pStyle w:val="Headingb0"/>
        <w:rPr>
          <w:rFonts w:eastAsia="SimSun"/>
          <w:lang w:val="es-ES" w:eastAsia="ja-JP"/>
        </w:rPr>
      </w:pPr>
      <w:r>
        <w:rPr>
          <w:rFonts w:eastAsia="SimSun"/>
          <w:lang w:val="es-ES" w:eastAsia="ja-JP"/>
        </w:rPr>
        <w:t>Líneas de Acción de la CMSI</w:t>
      </w:r>
      <w:r w:rsidRPr="00E76BF3">
        <w:rPr>
          <w:rFonts w:eastAsia="SimSun"/>
          <w:lang w:val="es-ES" w:eastAsia="ja-JP"/>
        </w:rPr>
        <w:t>:</w:t>
      </w:r>
    </w:p>
    <w:p w14:paraId="37E61913" w14:textId="77777777" w:rsidR="00AC335B" w:rsidRPr="00627958" w:rsidRDefault="00AC335B" w:rsidP="00AC335B">
      <w:pPr>
        <w:pStyle w:val="enumlev1"/>
        <w:rPr>
          <w:rFonts w:eastAsia="SimSun"/>
          <w:lang w:val="es-ES" w:eastAsia="ja-JP"/>
        </w:rPr>
      </w:pPr>
      <w:r w:rsidRPr="00627958">
        <w:rPr>
          <w:rFonts w:eastAsia="SimSun"/>
          <w:lang w:val="es-ES" w:eastAsia="ja-JP"/>
        </w:rPr>
        <w:t>–</w:t>
      </w:r>
      <w:r w:rsidRPr="00627958">
        <w:rPr>
          <w:rFonts w:eastAsia="SimSun"/>
          <w:lang w:val="es-ES" w:eastAsia="ja-JP"/>
        </w:rPr>
        <w:tab/>
        <w:t>C5</w:t>
      </w:r>
    </w:p>
    <w:p w14:paraId="115CAD98" w14:textId="77777777" w:rsidR="00AC335B" w:rsidRPr="00E76BF3" w:rsidRDefault="00AC335B" w:rsidP="00AC335B">
      <w:pPr>
        <w:pStyle w:val="Headingb0"/>
        <w:rPr>
          <w:rFonts w:eastAsia="SimSun"/>
          <w:lang w:val="es-ES" w:eastAsia="ja-JP"/>
        </w:rPr>
      </w:pPr>
      <w:r w:rsidRPr="00E76BF3">
        <w:rPr>
          <w:rFonts w:eastAsia="SimSun"/>
          <w:lang w:val="es-ES" w:eastAsia="ja-JP"/>
        </w:rPr>
        <w:t>Objetivos de Desarrollo Sostenible:</w:t>
      </w:r>
    </w:p>
    <w:p w14:paraId="2B7C62D5" w14:textId="77777777" w:rsidR="00AC335B" w:rsidRPr="00627958" w:rsidRDefault="00AC335B" w:rsidP="00AC335B">
      <w:pPr>
        <w:pStyle w:val="enumlev1"/>
        <w:rPr>
          <w:rFonts w:eastAsia="MS Mincho"/>
          <w:lang w:val="es-ES" w:eastAsia="ja-JP"/>
        </w:rPr>
      </w:pPr>
      <w:r w:rsidRPr="00627958">
        <w:rPr>
          <w:rFonts w:eastAsia="SimSun"/>
          <w:lang w:val="es-ES" w:eastAsia="ja-JP"/>
        </w:rPr>
        <w:t>–</w:t>
      </w:r>
      <w:r w:rsidRPr="00627958">
        <w:rPr>
          <w:rFonts w:eastAsia="SimSun"/>
          <w:lang w:val="es-ES" w:eastAsia="ja-JP"/>
        </w:rPr>
        <w:tab/>
        <w:t>8, 9</w:t>
      </w:r>
    </w:p>
    <w:bookmarkEnd w:id="11"/>
    <w:p w14:paraId="5DE84B36" w14:textId="77777777" w:rsidR="00AC335B" w:rsidRPr="00627958" w:rsidRDefault="00AC335B" w:rsidP="00AC335B">
      <w:pPr>
        <w:rPr>
          <w:lang w:val="es-ES"/>
        </w:rPr>
      </w:pPr>
      <w:r w:rsidRPr="00627958">
        <w:rPr>
          <w:lang w:val="es-ES"/>
        </w:rPr>
        <w:br w:type="page"/>
      </w:r>
    </w:p>
    <w:p w14:paraId="339A3B8C" w14:textId="77777777" w:rsidR="00AC335B" w:rsidRPr="00FF23CA" w:rsidRDefault="00AC335B" w:rsidP="00AC335B">
      <w:pPr>
        <w:pStyle w:val="Heading1"/>
        <w:rPr>
          <w:lang w:val="es-ES"/>
        </w:rPr>
      </w:pPr>
      <w:r w:rsidRPr="00FF23CA">
        <w:rPr>
          <w:lang w:val="es-ES"/>
        </w:rPr>
        <w:lastRenderedPageBreak/>
        <w:t>3</w:t>
      </w:r>
      <w:r w:rsidRPr="00FF23CA">
        <w:rPr>
          <w:lang w:val="es-ES"/>
        </w:rPr>
        <w:tab/>
      </w:r>
      <w:proofErr w:type="gramStart"/>
      <w:r w:rsidRPr="004E3DD7">
        <w:rPr>
          <w:lang w:val="es-ES"/>
        </w:rPr>
        <w:t>Proyecto</w:t>
      </w:r>
      <w:proofErr w:type="gramEnd"/>
      <w:r w:rsidRPr="00FF23CA">
        <w:rPr>
          <w:lang w:val="es-ES"/>
        </w:rPr>
        <w:t xml:space="preserve"> de nuev</w:t>
      </w:r>
      <w:r>
        <w:rPr>
          <w:lang w:val="es-ES"/>
        </w:rPr>
        <w:t xml:space="preserve">a Cuestión </w:t>
      </w:r>
      <w:r w:rsidRPr="00FF23CA">
        <w:rPr>
          <w:lang w:val="es-ES"/>
        </w:rPr>
        <w:t>16/17</w:t>
      </w:r>
      <w:r>
        <w:rPr>
          <w:lang w:val="es-ES"/>
        </w:rPr>
        <w:t xml:space="preserve">, </w:t>
      </w:r>
      <w:r>
        <w:rPr>
          <w:i/>
          <w:iCs/>
          <w:lang w:val="es-ES"/>
        </w:rPr>
        <w:t>Seguridad de la inteligencia artificial (IA)</w:t>
      </w:r>
    </w:p>
    <w:p w14:paraId="3EEB3709" w14:textId="77777777" w:rsidR="00AC335B" w:rsidRPr="00FF23CA" w:rsidRDefault="00AC335B" w:rsidP="00AC335B">
      <w:pPr>
        <w:pStyle w:val="Heading2"/>
        <w:rPr>
          <w:lang w:val="es-ES"/>
        </w:rPr>
      </w:pPr>
      <w:r w:rsidRPr="00FF23CA">
        <w:rPr>
          <w:lang w:val="es-ES"/>
        </w:rPr>
        <w:t>Cuestión 16/17 – Seguridad d</w:t>
      </w:r>
      <w:r>
        <w:rPr>
          <w:lang w:val="es-ES"/>
        </w:rPr>
        <w:t>e la inteligencia artificial (IA)</w:t>
      </w:r>
    </w:p>
    <w:p w14:paraId="60AB318E" w14:textId="77777777" w:rsidR="00AC335B" w:rsidRPr="00627958" w:rsidRDefault="00AC335B" w:rsidP="00AC335B">
      <w:pPr>
        <w:pStyle w:val="Questionhistory"/>
        <w:rPr>
          <w:lang w:val="es-ES"/>
        </w:rPr>
      </w:pPr>
      <w:r w:rsidRPr="00627958">
        <w:rPr>
          <w:lang w:val="es-ES"/>
        </w:rPr>
        <w:t>(Nueva Cuestión)</w:t>
      </w:r>
      <w:r>
        <w:rPr>
          <w:rStyle w:val="FootnoteReference"/>
          <w:rFonts w:eastAsia="Calibri"/>
        </w:rPr>
        <w:footnoteReference w:id="4"/>
      </w:r>
    </w:p>
    <w:p w14:paraId="2298F3E6" w14:textId="77777777" w:rsidR="00AC335B" w:rsidRPr="00627958" w:rsidRDefault="00AC335B" w:rsidP="00AC335B">
      <w:pPr>
        <w:pStyle w:val="Heading3"/>
        <w:rPr>
          <w:lang w:val="es-ES"/>
        </w:rPr>
      </w:pPr>
      <w:r w:rsidRPr="00627958">
        <w:rPr>
          <w:lang w:val="es-ES"/>
        </w:rPr>
        <w:t>1</w:t>
      </w:r>
      <w:r w:rsidRPr="00627958">
        <w:rPr>
          <w:lang w:val="es-ES"/>
        </w:rPr>
        <w:tab/>
      </w:r>
      <w:proofErr w:type="gramStart"/>
      <w:r w:rsidRPr="00627958">
        <w:rPr>
          <w:lang w:val="es-ES"/>
        </w:rPr>
        <w:t>Motivos</w:t>
      </w:r>
      <w:proofErr w:type="gramEnd"/>
    </w:p>
    <w:p w14:paraId="60D173D4" w14:textId="77777777" w:rsidR="00AC335B" w:rsidRPr="00F33F0B" w:rsidRDefault="00AC335B" w:rsidP="00AC335B">
      <w:pPr>
        <w:rPr>
          <w:rFonts w:eastAsia="SimSun"/>
          <w:lang w:val="es-ES" w:eastAsia="ja-JP"/>
        </w:rPr>
      </w:pPr>
      <w:bookmarkStart w:id="13" w:name="_Hlk220923270"/>
      <w:r w:rsidRPr="00F33F0B">
        <w:rPr>
          <w:rFonts w:eastAsia="SimSun"/>
          <w:lang w:val="es-ES" w:eastAsia="ja-JP"/>
        </w:rPr>
        <w:t>La inteligencia artificial (IA) y el aprendizaje automático</w:t>
      </w:r>
      <w:bookmarkEnd w:id="13"/>
      <w:r w:rsidRPr="00F33F0B">
        <w:rPr>
          <w:rFonts w:eastAsia="SimSun"/>
          <w:lang w:val="es-ES" w:eastAsia="zh-CN"/>
        </w:rPr>
        <w:t xml:space="preserve"> (ML) están transformando con rapidez los sistemas de te</w:t>
      </w:r>
      <w:r>
        <w:rPr>
          <w:rFonts w:eastAsia="SimSun"/>
          <w:lang w:val="es-ES" w:eastAsia="zh-CN"/>
        </w:rPr>
        <w:t xml:space="preserve">lecomunicaciones y TIC, aportando capacidades y eficiencias sin precedentes. </w:t>
      </w:r>
      <w:r w:rsidRPr="00F33F0B">
        <w:rPr>
          <w:rFonts w:eastAsia="SimSun"/>
          <w:lang w:val="es-ES" w:eastAsia="zh-CN"/>
        </w:rPr>
        <w:t>Sin embargo, esta integración crea retos para la se</w:t>
      </w:r>
      <w:r>
        <w:rPr>
          <w:rFonts w:eastAsia="SimSun"/>
          <w:lang w:val="es-ES" w:eastAsia="zh-CN"/>
        </w:rPr>
        <w:t xml:space="preserve">guridad complejos y evolutivos que afectan a la integridad del sistema, la confidencialidad de los datos, la continuidad operativa y la confianza pública. </w:t>
      </w:r>
      <w:r w:rsidRPr="00F33F0B">
        <w:rPr>
          <w:rFonts w:eastAsia="SimSun"/>
          <w:lang w:val="es-ES" w:eastAsia="zh-CN"/>
        </w:rPr>
        <w:t>Es necesario prestar con urgencia atención a la utilizac</w:t>
      </w:r>
      <w:r>
        <w:rPr>
          <w:rFonts w:eastAsia="SimSun"/>
          <w:lang w:val="es-ES" w:eastAsia="zh-CN"/>
        </w:rPr>
        <w:t>ión indebida, los comportamientos imprevistos y las vulnerabilidades sistémicas</w:t>
      </w:r>
      <w:r w:rsidRPr="00F33F0B">
        <w:rPr>
          <w:rFonts w:eastAsia="SimSun"/>
          <w:lang w:val="es-ES" w:eastAsia="ja-JP"/>
        </w:rPr>
        <w:t>.</w:t>
      </w:r>
    </w:p>
    <w:p w14:paraId="5E556B79" w14:textId="071438FA" w:rsidR="00AC335B" w:rsidRPr="00F33F0B" w:rsidRDefault="00AC335B" w:rsidP="00AC335B">
      <w:pPr>
        <w:rPr>
          <w:rFonts w:eastAsia="SimSun"/>
          <w:lang w:val="es-ES" w:eastAsia="zh-CN"/>
        </w:rPr>
      </w:pPr>
      <w:r w:rsidRPr="00F33F0B">
        <w:rPr>
          <w:rFonts w:eastAsia="SimSun"/>
          <w:lang w:val="es-ES" w:eastAsia="ja-JP"/>
        </w:rPr>
        <w:t xml:space="preserve">Los paradigmas de IA/ML innovadores, como la IA </w:t>
      </w:r>
      <w:proofErr w:type="spellStart"/>
      <w:r w:rsidRPr="00F33F0B">
        <w:rPr>
          <w:rFonts w:eastAsia="SimSun"/>
          <w:lang w:val="es-ES" w:eastAsia="ja-JP"/>
        </w:rPr>
        <w:t>agéntica</w:t>
      </w:r>
      <w:proofErr w:type="spellEnd"/>
      <w:r w:rsidRPr="00F33F0B">
        <w:rPr>
          <w:rFonts w:eastAsia="SimSun"/>
          <w:lang w:val="es-ES" w:eastAsia="ja-JP"/>
        </w:rPr>
        <w:t xml:space="preserve">, la IA física, los sistemas </w:t>
      </w:r>
      <w:proofErr w:type="spellStart"/>
      <w:r w:rsidRPr="00F33F0B">
        <w:rPr>
          <w:rFonts w:eastAsia="SimSun"/>
          <w:lang w:val="es-ES" w:eastAsia="ja-JP"/>
        </w:rPr>
        <w:t>multiagente</w:t>
      </w:r>
      <w:proofErr w:type="spellEnd"/>
      <w:r w:rsidRPr="00F33F0B">
        <w:rPr>
          <w:rFonts w:eastAsia="SimSun"/>
          <w:lang w:val="es-ES" w:eastAsia="ja-JP"/>
        </w:rPr>
        <w:t>, o</w:t>
      </w:r>
      <w:r w:rsidR="00766810">
        <w:rPr>
          <w:rFonts w:eastAsia="SimSun"/>
          <w:lang w:val="es-ES" w:eastAsia="ja-JP"/>
        </w:rPr>
        <w:t xml:space="preserve"> </w:t>
      </w:r>
      <w:r w:rsidRPr="00F33F0B">
        <w:rPr>
          <w:rFonts w:eastAsia="SimSun"/>
          <w:lang w:val="es-ES" w:eastAsia="ja-JP"/>
        </w:rPr>
        <w:t xml:space="preserve">los </w:t>
      </w:r>
      <w:r>
        <w:rPr>
          <w:rFonts w:eastAsia="SimSun"/>
          <w:lang w:val="es-ES" w:eastAsia="ja-JP"/>
        </w:rPr>
        <w:t xml:space="preserve">sistemas de IA incorporada </w:t>
      </w:r>
      <w:r w:rsidRPr="00F33F0B">
        <w:rPr>
          <w:rFonts w:eastAsia="SimSun"/>
          <w:lang w:val="es-ES" w:eastAsia="ja-JP"/>
        </w:rPr>
        <w:t>(</w:t>
      </w:r>
      <w:r w:rsidRPr="00F33F0B">
        <w:rPr>
          <w:rFonts w:eastAsia="SimSun"/>
          <w:color w:val="000000"/>
          <w:lang w:val="es-ES" w:eastAsia="zh-CN"/>
        </w:rPr>
        <w:t>robots, drones</w:t>
      </w:r>
      <w:r w:rsidRPr="00F33F0B">
        <w:rPr>
          <w:rFonts w:eastAsia="SimSun"/>
          <w:lang w:val="es-ES" w:eastAsia="ja-JP"/>
        </w:rPr>
        <w:t>)</w:t>
      </w:r>
      <w:r>
        <w:rPr>
          <w:rFonts w:eastAsia="SimSun"/>
          <w:lang w:val="es-ES" w:eastAsia="ja-JP"/>
        </w:rPr>
        <w:t xml:space="preserve">, están redefiniendo las </w:t>
      </w:r>
      <w:r w:rsidR="00352422">
        <w:rPr>
          <w:rFonts w:eastAsia="SimSun"/>
          <w:lang w:val="es-ES" w:eastAsia="ja-JP"/>
        </w:rPr>
        <w:t>operaciones</w:t>
      </w:r>
      <w:r>
        <w:rPr>
          <w:rFonts w:eastAsia="SimSun"/>
          <w:lang w:val="es-ES" w:eastAsia="ja-JP"/>
        </w:rPr>
        <w:t xml:space="preserve"> de TIC y la toma de decisiones autónoma. </w:t>
      </w:r>
      <w:r w:rsidRPr="00F33F0B">
        <w:rPr>
          <w:rFonts w:eastAsia="SimSun"/>
          <w:lang w:val="es-ES" w:eastAsia="ja-JP"/>
        </w:rPr>
        <w:t>Estos avances abren la puerta a amenazas hasta ahora de</w:t>
      </w:r>
      <w:r>
        <w:rPr>
          <w:rFonts w:eastAsia="SimSun"/>
          <w:lang w:val="es-ES" w:eastAsia="ja-JP"/>
        </w:rPr>
        <w:t>sconocidas que exigen estrategias de seguridad propias de la IA</w:t>
      </w:r>
      <w:r w:rsidRPr="00F33F0B">
        <w:rPr>
          <w:rFonts w:eastAsia="SimSun"/>
          <w:lang w:val="es-ES" w:eastAsia="ja-JP"/>
        </w:rPr>
        <w:t>.</w:t>
      </w:r>
    </w:p>
    <w:p w14:paraId="0E08EA89" w14:textId="77777777" w:rsidR="00AC335B" w:rsidRPr="00F33F0B" w:rsidRDefault="00AC335B" w:rsidP="00AC335B">
      <w:pPr>
        <w:rPr>
          <w:rFonts w:eastAsia="SimSun"/>
          <w:color w:val="000000"/>
          <w:lang w:val="es-ES" w:eastAsia="ja-JP"/>
        </w:rPr>
      </w:pPr>
      <w:r w:rsidRPr="00F33F0B">
        <w:rPr>
          <w:rFonts w:eastAsia="SimSun"/>
          <w:color w:val="000000"/>
          <w:lang w:val="es-ES" w:eastAsia="ja-JP"/>
        </w:rPr>
        <w:t>Concretamente, la IA in</w:t>
      </w:r>
      <w:r>
        <w:rPr>
          <w:rFonts w:eastAsia="SimSun"/>
          <w:color w:val="000000"/>
          <w:lang w:val="es-ES" w:eastAsia="ja-JP"/>
        </w:rPr>
        <w:t>corporada</w:t>
      </w:r>
      <w:r w:rsidRPr="00F33F0B">
        <w:rPr>
          <w:rFonts w:eastAsia="SimSun"/>
          <w:color w:val="000000"/>
          <w:lang w:val="es-ES" w:eastAsia="ja-JP"/>
        </w:rPr>
        <w:t xml:space="preserve"> introduce los riesgos del mundo físico a través de la interacción autónom</w:t>
      </w:r>
      <w:r>
        <w:rPr>
          <w:rFonts w:eastAsia="SimSun"/>
          <w:color w:val="000000"/>
          <w:lang w:val="es-ES" w:eastAsia="ja-JP"/>
        </w:rPr>
        <w:t>a, mientras que la IA integrada genera problemas en entornos con recursos limitados, donde la seguridad debe permanecer ligera, resiliente y consciente del contexto</w:t>
      </w:r>
      <w:r w:rsidRPr="00F33F0B">
        <w:rPr>
          <w:rFonts w:eastAsia="SimSun"/>
          <w:color w:val="000000"/>
          <w:lang w:val="es-ES" w:eastAsia="ja-JP"/>
        </w:rPr>
        <w:t>.</w:t>
      </w:r>
    </w:p>
    <w:p w14:paraId="071A3AA0" w14:textId="5B70FE87" w:rsidR="00AC335B" w:rsidRPr="00F33F0B" w:rsidRDefault="00AC335B" w:rsidP="00AC335B">
      <w:pPr>
        <w:rPr>
          <w:rFonts w:eastAsia="SimSun"/>
          <w:color w:val="000000"/>
          <w:lang w:val="es-ES" w:eastAsia="ja-JP"/>
        </w:rPr>
      </w:pPr>
      <w:r w:rsidRPr="00F33F0B">
        <w:rPr>
          <w:rFonts w:eastAsia="SimSun"/>
          <w:color w:val="000000"/>
          <w:lang w:val="es-ES" w:eastAsia="ja-JP"/>
        </w:rPr>
        <w:t>Si bien a la hora de utilizar la IA y la ML es fundamental contar con salvaguardas, la mejor manera de aplicarlas es como atributos derivados, que se ejecutan integ</w:t>
      </w:r>
      <w:r>
        <w:rPr>
          <w:rFonts w:eastAsia="SimSun"/>
          <w:color w:val="000000"/>
          <w:lang w:val="es-ES" w:eastAsia="ja-JP"/>
        </w:rPr>
        <w:t xml:space="preserve">rándose en la seguridad, la fiabilidad y la gestión de riesgos a lo largo del ciclo de vida de la IA/ML. </w:t>
      </w:r>
      <w:r w:rsidRPr="00F33F0B">
        <w:rPr>
          <w:rFonts w:eastAsia="SimSun"/>
          <w:color w:val="000000"/>
          <w:lang w:val="es-ES" w:eastAsia="ja-JP"/>
        </w:rPr>
        <w:t>Este marco soporta el mandato de la C</w:t>
      </w:r>
      <w:r w:rsidR="00766810">
        <w:rPr>
          <w:rFonts w:eastAsia="SimSun"/>
          <w:color w:val="000000"/>
          <w:lang w:val="es-ES" w:eastAsia="ja-JP"/>
        </w:rPr>
        <w:t>E </w:t>
      </w:r>
      <w:r w:rsidRPr="00F33F0B">
        <w:rPr>
          <w:rFonts w:eastAsia="SimSun"/>
          <w:color w:val="000000"/>
          <w:lang w:val="es-ES" w:eastAsia="ja-JP"/>
        </w:rPr>
        <w:t>17 y garantiza la mitigación sistemática de los fallos, la utilización indebida o la explotación maligna de los si</w:t>
      </w:r>
      <w:r>
        <w:rPr>
          <w:rFonts w:eastAsia="SimSun"/>
          <w:color w:val="000000"/>
          <w:lang w:val="es-ES" w:eastAsia="ja-JP"/>
        </w:rPr>
        <w:t>stemas de IA</w:t>
      </w:r>
      <w:r w:rsidRPr="00F33F0B">
        <w:rPr>
          <w:rFonts w:eastAsia="SimSun"/>
          <w:color w:val="000000"/>
          <w:lang w:val="es-ES" w:eastAsia="ja-JP"/>
        </w:rPr>
        <w:t>.</w:t>
      </w:r>
    </w:p>
    <w:p w14:paraId="1447D017" w14:textId="77777777" w:rsidR="00AC335B" w:rsidRPr="00C34A26" w:rsidRDefault="00AC335B" w:rsidP="00AC335B">
      <w:pPr>
        <w:rPr>
          <w:rFonts w:eastAsia="SimSun"/>
          <w:color w:val="000000"/>
          <w:lang w:val="es-ES" w:eastAsia="ko-KR"/>
        </w:rPr>
      </w:pPr>
      <w:r w:rsidRPr="00F33F0B">
        <w:rPr>
          <w:rFonts w:eastAsia="SimSun"/>
          <w:color w:val="000000"/>
          <w:lang w:val="es-ES" w:eastAsia="ko-KR"/>
        </w:rPr>
        <w:t>Los agentes de IA pueden sentir su entorno y reaccionar al mismo, tomando medida</w:t>
      </w:r>
      <w:r>
        <w:rPr>
          <w:rFonts w:eastAsia="SimSun"/>
          <w:color w:val="000000"/>
          <w:lang w:val="es-ES" w:eastAsia="ko-KR"/>
        </w:rPr>
        <w:t xml:space="preserve">s para alcanzar los objetivos definidos. </w:t>
      </w:r>
      <w:r w:rsidRPr="00F33F0B">
        <w:rPr>
          <w:rFonts w:eastAsia="SimSun"/>
          <w:color w:val="000000"/>
          <w:lang w:val="es-ES" w:eastAsia="ko-KR"/>
        </w:rPr>
        <w:t xml:space="preserve">Los sistemas de IA </w:t>
      </w:r>
      <w:proofErr w:type="spellStart"/>
      <w:r w:rsidRPr="00F33F0B">
        <w:rPr>
          <w:rFonts w:eastAsia="SimSun"/>
          <w:color w:val="000000"/>
          <w:lang w:val="es-ES" w:eastAsia="ko-KR"/>
        </w:rPr>
        <w:t>agéntica</w:t>
      </w:r>
      <w:proofErr w:type="spellEnd"/>
      <w:r w:rsidRPr="00F33F0B">
        <w:rPr>
          <w:rFonts w:eastAsia="SimSun"/>
          <w:color w:val="000000"/>
          <w:lang w:val="es-ES" w:eastAsia="ko-KR"/>
        </w:rPr>
        <w:t xml:space="preserve"> pueden funcionar de</w:t>
      </w:r>
      <w:r>
        <w:rPr>
          <w:rFonts w:eastAsia="SimSun"/>
          <w:color w:val="000000"/>
          <w:lang w:val="es-ES" w:eastAsia="ko-KR"/>
        </w:rPr>
        <w:t xml:space="preserve"> </w:t>
      </w:r>
      <w:r w:rsidRPr="00F33F0B">
        <w:rPr>
          <w:rFonts w:eastAsia="SimSun"/>
          <w:color w:val="000000"/>
          <w:lang w:val="es-ES" w:eastAsia="ko-KR"/>
        </w:rPr>
        <w:t>manera autónoma adoptando un comportami</w:t>
      </w:r>
      <w:r>
        <w:rPr>
          <w:rFonts w:eastAsia="SimSun"/>
          <w:color w:val="000000"/>
          <w:lang w:val="es-ES" w:eastAsia="ko-KR"/>
        </w:rPr>
        <w:t xml:space="preserve">ento afín a sus objetivos, percibiendo su entorno, razonando en función de las condiciones, planificando estrategias y adoptando proactivamente medidas para lograr los objetivos. </w:t>
      </w:r>
      <w:r w:rsidRPr="00C34A26">
        <w:rPr>
          <w:rFonts w:eastAsia="SimSun"/>
          <w:color w:val="000000"/>
          <w:lang w:val="es-ES" w:eastAsia="ko-KR"/>
        </w:rPr>
        <w:t>Pueden minimizar la intervención humana y coordinar de manera fluida múltiples herramientas, agentes</w:t>
      </w:r>
      <w:r>
        <w:rPr>
          <w:rFonts w:eastAsia="SimSun"/>
          <w:color w:val="000000"/>
          <w:lang w:val="es-ES" w:eastAsia="ko-KR"/>
        </w:rPr>
        <w:t xml:space="preserve"> y fuentes de datos</w:t>
      </w:r>
      <w:r w:rsidRPr="00C34A26">
        <w:rPr>
          <w:rFonts w:eastAsia="SimSun"/>
          <w:color w:val="000000"/>
          <w:lang w:val="es-ES" w:eastAsia="ko-KR"/>
        </w:rPr>
        <w:t>.</w:t>
      </w:r>
    </w:p>
    <w:p w14:paraId="2206AC2B" w14:textId="77777777" w:rsidR="00AC335B" w:rsidRPr="00C34A26" w:rsidRDefault="00AC335B" w:rsidP="00AC335B">
      <w:pPr>
        <w:rPr>
          <w:rFonts w:eastAsia="SimSun"/>
          <w:color w:val="000000"/>
          <w:lang w:val="es-ES" w:eastAsia="zh-CN"/>
        </w:rPr>
      </w:pPr>
      <w:r w:rsidRPr="00C34A26">
        <w:rPr>
          <w:rFonts w:eastAsia="SimSun"/>
          <w:color w:val="000000"/>
          <w:lang w:val="es-ES" w:eastAsia="ko-KR"/>
        </w:rPr>
        <w:t>Los protocolos de comunicación entre agentes permiten que dos o más agentes de IA intercambien información, coordinen acciones</w:t>
      </w:r>
      <w:r>
        <w:rPr>
          <w:rFonts w:eastAsia="SimSun"/>
          <w:color w:val="000000"/>
          <w:lang w:val="es-ES" w:eastAsia="ko-KR"/>
        </w:rPr>
        <w:t xml:space="preserve"> y negocien decisiones para lograr sus objetivos individuales o compartidos en entornos distribuidos o </w:t>
      </w:r>
      <w:proofErr w:type="spellStart"/>
      <w:r>
        <w:rPr>
          <w:rFonts w:eastAsia="SimSun"/>
          <w:color w:val="000000"/>
          <w:lang w:val="es-ES" w:eastAsia="ko-KR"/>
        </w:rPr>
        <w:t>multiagente</w:t>
      </w:r>
      <w:proofErr w:type="spellEnd"/>
      <w:r>
        <w:rPr>
          <w:rFonts w:eastAsia="SimSun"/>
          <w:color w:val="000000"/>
          <w:lang w:val="es-ES" w:eastAsia="ko-KR"/>
        </w:rPr>
        <w:t xml:space="preserve">. </w:t>
      </w:r>
      <w:r w:rsidRPr="00C34A26">
        <w:rPr>
          <w:rFonts w:eastAsia="SimSun"/>
          <w:color w:val="000000"/>
          <w:lang w:val="es-ES" w:eastAsia="ko-KR"/>
        </w:rPr>
        <w:t xml:space="preserve">Los protocolos de comunicación de modelo abierto pueden normalizar la interacción de modelos y agentes de IA con </w:t>
      </w:r>
      <w:r>
        <w:rPr>
          <w:rFonts w:eastAsia="SimSun"/>
          <w:color w:val="000000"/>
          <w:lang w:val="es-ES" w:eastAsia="ko-KR"/>
        </w:rPr>
        <w:t>herramientas, servicios y fuentes de datos externos, garantizando la interoperabilidad entre distintos ecosistemas de TIC</w:t>
      </w:r>
      <w:r w:rsidRPr="00C34A26">
        <w:rPr>
          <w:rFonts w:eastAsia="SimSun"/>
          <w:color w:val="000000"/>
          <w:lang w:val="es-ES" w:eastAsia="ko-KR"/>
        </w:rPr>
        <w:t>.</w:t>
      </w:r>
    </w:p>
    <w:p w14:paraId="7507AEBB" w14:textId="203F7E54" w:rsidR="00AC335B" w:rsidRPr="00C34A26" w:rsidRDefault="00AC335B" w:rsidP="00AC335B">
      <w:pPr>
        <w:rPr>
          <w:rFonts w:eastAsia="SimSun"/>
          <w:color w:val="000000"/>
          <w:lang w:val="es-ES" w:eastAsia="ja-JP"/>
        </w:rPr>
      </w:pPr>
      <w:r w:rsidRPr="00C34A26">
        <w:rPr>
          <w:rFonts w:eastAsia="SimSun"/>
          <w:color w:val="000000"/>
          <w:lang w:val="es-ES" w:eastAsia="ja-JP"/>
        </w:rPr>
        <w:t>Para alcanzar estas metas, esta Cuestión estudia cómo la IA puede reforzar las medidas de seguridad, cómo pueden asegurarse los sistemas y aplicaciones de IA en pro de las teleco</w:t>
      </w:r>
      <w:r>
        <w:rPr>
          <w:rFonts w:eastAsia="SimSun"/>
          <w:color w:val="000000"/>
          <w:lang w:val="es-ES" w:eastAsia="ja-JP"/>
        </w:rPr>
        <w:t xml:space="preserve">municaciones/TIC y cómo contrarrestar las cada vez más numerosas amenazas que traen consigo los avances de la IA. </w:t>
      </w:r>
      <w:r w:rsidRPr="00C34A26">
        <w:rPr>
          <w:rFonts w:eastAsia="SimSun"/>
          <w:color w:val="000000"/>
          <w:lang w:val="es-ES" w:eastAsia="ja-JP"/>
        </w:rPr>
        <w:t>También orienta el desarrollo de una hoja de ruta</w:t>
      </w:r>
      <w:r>
        <w:rPr>
          <w:rFonts w:eastAsia="SimSun"/>
          <w:color w:val="000000"/>
          <w:lang w:val="es-ES" w:eastAsia="ja-JP"/>
        </w:rPr>
        <w:t xml:space="preserve"> de seguridad de la</w:t>
      </w:r>
      <w:r w:rsidR="003D1287">
        <w:rPr>
          <w:rFonts w:eastAsia="SimSun"/>
          <w:color w:val="000000"/>
          <w:lang w:val="es-ES" w:eastAsia="ja-JP"/>
        </w:rPr>
        <w:t> </w:t>
      </w:r>
      <w:r>
        <w:rPr>
          <w:rFonts w:eastAsia="SimSun"/>
          <w:color w:val="000000"/>
          <w:lang w:val="es-ES" w:eastAsia="ja-JP"/>
        </w:rPr>
        <w:t xml:space="preserve">IA/ML dinámica, prepara herramientas prácticas para la implementación y la evaluación y fomenta la armonización entre Comisiones de Estudio del UIT-T en lo que respecta a las telecomunicaciones/TIC, además de con otros organismos de normalización externos. </w:t>
      </w:r>
      <w:r w:rsidRPr="00C34A26">
        <w:rPr>
          <w:rFonts w:eastAsia="SimSun"/>
          <w:color w:val="000000"/>
          <w:lang w:val="es-ES" w:eastAsia="ja-JP"/>
        </w:rPr>
        <w:t xml:space="preserve">También </w:t>
      </w:r>
      <w:r w:rsidRPr="00C34A26">
        <w:rPr>
          <w:rFonts w:eastAsia="SimSun"/>
          <w:color w:val="000000"/>
          <w:lang w:val="es-ES" w:eastAsia="ja-JP"/>
        </w:rPr>
        <w:lastRenderedPageBreak/>
        <w:t xml:space="preserve">facilita la especificación de controles de seguridad y </w:t>
      </w:r>
      <w:r>
        <w:rPr>
          <w:rFonts w:eastAsia="SimSun"/>
          <w:color w:val="000000"/>
          <w:lang w:val="es-ES" w:eastAsia="ja-JP"/>
        </w:rPr>
        <w:t>prácticas idóneas para aumentar la fiabilidad y promover la innovación</w:t>
      </w:r>
      <w:r w:rsidRPr="00C34A26">
        <w:rPr>
          <w:rFonts w:eastAsia="SimSun"/>
          <w:color w:val="000000"/>
          <w:lang w:val="es-ES" w:eastAsia="ja-JP"/>
        </w:rPr>
        <w:t>.</w:t>
      </w:r>
    </w:p>
    <w:p w14:paraId="42C73637" w14:textId="77777777" w:rsidR="00AC335B" w:rsidRPr="00C34A26" w:rsidRDefault="00AC335B" w:rsidP="00AC335B">
      <w:pPr>
        <w:rPr>
          <w:rFonts w:eastAsia="SimSun"/>
          <w:color w:val="000000"/>
          <w:lang w:val="es-ES" w:eastAsia="ja-JP"/>
        </w:rPr>
      </w:pPr>
      <w:r w:rsidRPr="00C34A26">
        <w:rPr>
          <w:rFonts w:eastAsia="SimSun"/>
          <w:color w:val="000000"/>
          <w:lang w:val="es-ES" w:eastAsia="ja-JP"/>
        </w:rPr>
        <w:t xml:space="preserve">A fin de soportar el desarrollo seguro de los sistemas de IA </w:t>
      </w:r>
      <w:proofErr w:type="spellStart"/>
      <w:r w:rsidRPr="00C34A26">
        <w:rPr>
          <w:rFonts w:eastAsia="SimSun"/>
          <w:color w:val="000000"/>
          <w:lang w:val="es-ES" w:eastAsia="ja-JP"/>
        </w:rPr>
        <w:t>agéntica</w:t>
      </w:r>
      <w:proofErr w:type="spellEnd"/>
      <w:r w:rsidRPr="00C34A26">
        <w:rPr>
          <w:rFonts w:eastAsia="SimSun"/>
          <w:color w:val="000000"/>
          <w:lang w:val="es-ES" w:eastAsia="ja-JP"/>
        </w:rPr>
        <w:t>, esta Cu</w:t>
      </w:r>
      <w:r>
        <w:rPr>
          <w:rFonts w:eastAsia="SimSun"/>
          <w:color w:val="000000"/>
          <w:lang w:val="es-ES" w:eastAsia="ja-JP"/>
        </w:rPr>
        <w:t xml:space="preserve">estión explora un modelo arquitectónico semejante a OSI para la IA con un plano de control de confianza y seguridad de IA </w:t>
      </w:r>
      <w:proofErr w:type="spellStart"/>
      <w:r>
        <w:rPr>
          <w:rFonts w:eastAsia="SimSun"/>
          <w:color w:val="000000"/>
          <w:lang w:val="es-ES" w:eastAsia="ja-JP"/>
        </w:rPr>
        <w:t>agéntica</w:t>
      </w:r>
      <w:proofErr w:type="spellEnd"/>
      <w:r>
        <w:rPr>
          <w:rFonts w:eastAsia="SimSun"/>
          <w:color w:val="000000"/>
          <w:lang w:val="es-ES" w:eastAsia="ja-JP"/>
        </w:rPr>
        <w:t xml:space="preserve"> propio. </w:t>
      </w:r>
      <w:r w:rsidRPr="00C34A26">
        <w:rPr>
          <w:rFonts w:eastAsia="SimSun"/>
          <w:color w:val="000000"/>
          <w:lang w:val="es-ES" w:eastAsia="ja-JP"/>
        </w:rPr>
        <w:t>Este plano permite ejercer la autorización dinámica en función del contexto y la g</w:t>
      </w:r>
      <w:r>
        <w:rPr>
          <w:rFonts w:eastAsia="SimSun"/>
          <w:color w:val="000000"/>
          <w:lang w:val="es-ES" w:eastAsia="ja-JP"/>
        </w:rPr>
        <w:t>obernanza de las acciones de IA, contribuyendo así a garantizar un funcionamiento seguro y transparente armonizado con objetivos definidos por personas y limitaciones políticas</w:t>
      </w:r>
      <w:r w:rsidRPr="00C34A26">
        <w:rPr>
          <w:rFonts w:eastAsia="SimSun"/>
          <w:color w:val="000000"/>
          <w:lang w:val="es-ES" w:eastAsia="ja-JP"/>
        </w:rPr>
        <w:t>.</w:t>
      </w:r>
    </w:p>
    <w:p w14:paraId="6F77C69A" w14:textId="77777777" w:rsidR="00AC335B" w:rsidRPr="00C34A26" w:rsidRDefault="00AC335B" w:rsidP="00AC335B">
      <w:pPr>
        <w:keepNext/>
        <w:rPr>
          <w:rFonts w:eastAsia="SimSun"/>
          <w:lang w:val="es-ES" w:eastAsia="ja-JP"/>
        </w:rPr>
      </w:pPr>
      <w:r w:rsidRPr="00C34A26">
        <w:rPr>
          <w:rFonts w:eastAsia="SimSun"/>
          <w:lang w:val="es-ES" w:eastAsia="ja-JP"/>
        </w:rPr>
        <w:t>Esta Cuestión considera además las cuatro dimensiones complementarias d</w:t>
      </w:r>
      <w:r>
        <w:rPr>
          <w:rFonts w:eastAsia="SimSun"/>
          <w:lang w:val="es-ES" w:eastAsia="ja-JP"/>
        </w:rPr>
        <w:t>e la seguridad de la IA</w:t>
      </w:r>
      <w:r w:rsidRPr="00C34A26">
        <w:rPr>
          <w:rFonts w:eastAsia="SimSun"/>
          <w:lang w:val="es-ES" w:eastAsia="ja-JP"/>
        </w:rPr>
        <w:t>:</w:t>
      </w:r>
    </w:p>
    <w:p w14:paraId="610AEDFD" w14:textId="77777777" w:rsidR="00AC335B" w:rsidRPr="00C34A26" w:rsidRDefault="00AC335B" w:rsidP="00AC335B">
      <w:pPr>
        <w:pStyle w:val="enumlev1"/>
        <w:rPr>
          <w:rFonts w:eastAsia="SimSun"/>
          <w:lang w:val="es-ES" w:eastAsia="ja-JP"/>
        </w:rPr>
      </w:pPr>
      <w:r w:rsidRPr="00C34A26">
        <w:rPr>
          <w:rFonts w:eastAsia="SimSun"/>
          <w:lang w:val="es-ES" w:eastAsia="zh-CN"/>
        </w:rPr>
        <w:t>–</w:t>
      </w:r>
      <w:r w:rsidRPr="00C34A26">
        <w:rPr>
          <w:rFonts w:eastAsia="SimSun"/>
          <w:lang w:val="es-ES" w:eastAsia="zh-CN"/>
        </w:rPr>
        <w:tab/>
      </w:r>
      <w:r w:rsidRPr="00C34A26">
        <w:rPr>
          <w:rFonts w:eastAsia="SimSun"/>
          <w:b/>
          <w:bCs/>
          <w:lang w:val="es-ES" w:eastAsia="ja-JP"/>
        </w:rPr>
        <w:t>Seguridad de la IA</w:t>
      </w:r>
      <w:r w:rsidRPr="00C34A26">
        <w:rPr>
          <w:rFonts w:eastAsia="SimSun"/>
          <w:lang w:val="es-ES" w:eastAsia="ja-JP"/>
        </w:rPr>
        <w:t xml:space="preserve">: Protección de los sistemas de IA contra </w:t>
      </w:r>
      <w:r>
        <w:rPr>
          <w:rFonts w:eastAsia="SimSun"/>
          <w:lang w:val="es-ES" w:eastAsia="ja-JP"/>
        </w:rPr>
        <w:t>amenazas como el envenenamiento del modelo, los ataques de adversarios y al acceso no autorizado</w:t>
      </w:r>
      <w:r w:rsidRPr="00C34A26">
        <w:rPr>
          <w:rFonts w:eastAsia="SimSun"/>
          <w:lang w:val="es-ES" w:eastAsia="ja-JP"/>
        </w:rPr>
        <w:t>.</w:t>
      </w:r>
    </w:p>
    <w:p w14:paraId="7B590069" w14:textId="77777777" w:rsidR="00AC335B" w:rsidRPr="007D278F" w:rsidRDefault="00AC335B" w:rsidP="00AC335B">
      <w:pPr>
        <w:pStyle w:val="enumlev1"/>
        <w:rPr>
          <w:rFonts w:eastAsia="SimSun"/>
          <w:lang w:val="es-ES" w:eastAsia="ja-JP"/>
        </w:rPr>
      </w:pPr>
      <w:r w:rsidRPr="007D278F">
        <w:rPr>
          <w:rFonts w:eastAsia="SimSun"/>
          <w:lang w:val="es-ES" w:eastAsia="zh-CN"/>
        </w:rPr>
        <w:t>–</w:t>
      </w:r>
      <w:r w:rsidRPr="007D278F">
        <w:rPr>
          <w:rFonts w:eastAsia="SimSun"/>
          <w:lang w:val="es-ES" w:eastAsia="zh-CN"/>
        </w:rPr>
        <w:tab/>
      </w:r>
      <w:r w:rsidRPr="007D278F">
        <w:rPr>
          <w:rFonts w:eastAsia="SimSun"/>
          <w:b/>
          <w:bCs/>
          <w:lang w:val="es-ES" w:eastAsia="ja-JP"/>
        </w:rPr>
        <w:t>Seguridad mediante IA</w:t>
      </w:r>
      <w:r w:rsidRPr="007D278F">
        <w:rPr>
          <w:rFonts w:eastAsia="SimSun"/>
          <w:lang w:val="es-ES" w:eastAsia="ja-JP"/>
        </w:rPr>
        <w:t>: Aprovechamiento de las tecnologías de IA para aumentar</w:t>
      </w:r>
      <w:r>
        <w:rPr>
          <w:rFonts w:eastAsia="SimSun"/>
          <w:lang w:val="es-ES" w:eastAsia="ja-JP"/>
        </w:rPr>
        <w:t xml:space="preserve"> las capacidades de ciberseguridad, incluidas la detección de amenazas, la respuesta a las mismas y la evaluación de los riesgos</w:t>
      </w:r>
      <w:r w:rsidRPr="007D278F">
        <w:rPr>
          <w:rFonts w:eastAsia="SimSun"/>
          <w:lang w:val="es-ES" w:eastAsia="ja-JP"/>
        </w:rPr>
        <w:t>.</w:t>
      </w:r>
    </w:p>
    <w:p w14:paraId="2071C5DD" w14:textId="77777777" w:rsidR="00AC335B" w:rsidRPr="007D278F" w:rsidRDefault="00AC335B" w:rsidP="00AC335B">
      <w:pPr>
        <w:pStyle w:val="enumlev1"/>
        <w:rPr>
          <w:rFonts w:eastAsia="SimSun"/>
          <w:lang w:val="es-ES" w:eastAsia="ja-JP"/>
        </w:rPr>
      </w:pPr>
      <w:r w:rsidRPr="007D278F">
        <w:rPr>
          <w:rFonts w:eastAsia="SimSun"/>
          <w:lang w:val="es-ES" w:eastAsia="zh-CN"/>
        </w:rPr>
        <w:t>–</w:t>
      </w:r>
      <w:r w:rsidRPr="007D278F">
        <w:rPr>
          <w:rFonts w:eastAsia="SimSun"/>
          <w:lang w:val="es-ES" w:eastAsia="zh-CN"/>
        </w:rPr>
        <w:tab/>
      </w:r>
      <w:r w:rsidRPr="007D278F">
        <w:rPr>
          <w:rFonts w:eastAsia="SimSun"/>
          <w:b/>
          <w:bCs/>
          <w:lang w:val="es-ES" w:eastAsia="ja-JP"/>
        </w:rPr>
        <w:t>Seguridad contra la utilización indebida y el abuso de la IA</w:t>
      </w:r>
      <w:r w:rsidRPr="007D278F">
        <w:rPr>
          <w:rFonts w:eastAsia="SimSun"/>
          <w:lang w:val="es-ES" w:eastAsia="ja-JP"/>
        </w:rPr>
        <w:t>: C</w:t>
      </w:r>
      <w:r>
        <w:rPr>
          <w:rFonts w:eastAsia="SimSun"/>
          <w:lang w:val="es-ES" w:eastAsia="ja-JP"/>
        </w:rPr>
        <w:t>onsideración de los riesgos que plantean la explotación delictiva o por adversarios de las tecnologías de IA o los ciberataques por IA</w:t>
      </w:r>
      <w:r w:rsidRPr="007D278F">
        <w:rPr>
          <w:rFonts w:eastAsia="SimSun"/>
          <w:lang w:val="es-ES" w:eastAsia="ja-JP"/>
        </w:rPr>
        <w:t>.</w:t>
      </w:r>
    </w:p>
    <w:p w14:paraId="47C083BB" w14:textId="77777777" w:rsidR="00AC335B" w:rsidRPr="007D278F" w:rsidRDefault="00AC335B" w:rsidP="00AC335B">
      <w:pPr>
        <w:pStyle w:val="enumlev1"/>
        <w:rPr>
          <w:rFonts w:eastAsia="SimSun"/>
          <w:lang w:val="es-ES" w:eastAsia="zh-CN"/>
        </w:rPr>
      </w:pPr>
      <w:r w:rsidRPr="007D278F">
        <w:rPr>
          <w:rFonts w:eastAsia="SimSun"/>
          <w:lang w:val="es-ES" w:eastAsia="zh-CN"/>
        </w:rPr>
        <w:t>–</w:t>
      </w:r>
      <w:r w:rsidRPr="007D278F">
        <w:rPr>
          <w:rFonts w:eastAsia="SimSun"/>
          <w:lang w:val="es-ES" w:eastAsia="zh-CN"/>
        </w:rPr>
        <w:tab/>
      </w:r>
      <w:r w:rsidRPr="007D278F">
        <w:rPr>
          <w:rFonts w:eastAsia="SimSun"/>
          <w:b/>
          <w:bCs/>
          <w:lang w:val="es-ES" w:eastAsia="zh-CN"/>
        </w:rPr>
        <w:t>Seguridad de aplicaciones de IA:</w:t>
      </w:r>
      <w:r w:rsidRPr="007D278F">
        <w:rPr>
          <w:rFonts w:eastAsia="SimSun"/>
          <w:lang w:val="es-ES" w:eastAsia="zh-CN"/>
        </w:rPr>
        <w:t xml:space="preserve"> Consideración de los nuevos riesgos y vulnerabilidades de seguridad que surgen cuando se integran las tecnologías de </w:t>
      </w:r>
      <w:r>
        <w:rPr>
          <w:rFonts w:eastAsia="SimSun"/>
          <w:lang w:val="es-ES" w:eastAsia="zh-CN"/>
        </w:rPr>
        <w:t>IA en sectores específicos, como la atención sanitaria, las finanzas, el transporte y la manufactura, en los que pueden introducirse o amplificarse las amenazas propias del dominio</w:t>
      </w:r>
      <w:r w:rsidRPr="007D278F">
        <w:rPr>
          <w:rFonts w:eastAsia="SimSun"/>
          <w:lang w:val="es-ES" w:eastAsia="zh-CN"/>
        </w:rPr>
        <w:t>.</w:t>
      </w:r>
    </w:p>
    <w:p w14:paraId="3F8A6B9C" w14:textId="2E77C9C2" w:rsidR="00AC335B" w:rsidRPr="007D278F" w:rsidRDefault="00AC335B" w:rsidP="00AC335B">
      <w:pPr>
        <w:rPr>
          <w:rFonts w:eastAsia="SimSun"/>
          <w:lang w:val="es-ES" w:eastAsia="ja-JP"/>
        </w:rPr>
      </w:pPr>
      <w:r w:rsidRPr="007D278F">
        <w:rPr>
          <w:rFonts w:eastAsia="SimSun"/>
          <w:lang w:val="es-ES" w:eastAsia="ja-JP"/>
        </w:rPr>
        <w:t>Se aboga por un enfoque integral a lo largo de todo el ciclo de vida, que abarque etapas</w:t>
      </w:r>
      <w:r>
        <w:rPr>
          <w:rFonts w:eastAsia="SimSun"/>
          <w:lang w:val="es-ES" w:eastAsia="ja-JP"/>
        </w:rPr>
        <w:t xml:space="preserve"> como el diseño, el entrenamiento, la evaluación, el despliegue, la explotación y la jubilación del modelo. </w:t>
      </w:r>
      <w:r w:rsidRPr="007D278F">
        <w:rPr>
          <w:rFonts w:eastAsia="SimSun"/>
          <w:lang w:val="es-ES" w:eastAsia="ja-JP"/>
        </w:rPr>
        <w:t>En cada una de esas fases deben aplicarse controles y contramedidas de seguridad personalizados. Las funciones y responsabilidades de cada parte interesada, incluidos los creadores, operadores, proveedores de servicio y usuarios finales de la IA, deben estar claramente definidos,</w:t>
      </w:r>
      <w:r>
        <w:rPr>
          <w:rFonts w:eastAsia="SimSun"/>
          <w:lang w:val="es-ES" w:eastAsia="ja-JP"/>
        </w:rPr>
        <w:t xml:space="preserve"> en particular en lo que respecta a la protección de la información de identificación personal (IIP) en entornos de</w:t>
      </w:r>
      <w:r w:rsidR="003D1287">
        <w:rPr>
          <w:rFonts w:eastAsia="SimSun"/>
          <w:lang w:val="es-ES" w:eastAsia="ja-JP"/>
        </w:rPr>
        <w:t> </w:t>
      </w:r>
      <w:r>
        <w:rPr>
          <w:rFonts w:eastAsia="SimSun"/>
          <w:lang w:val="es-ES" w:eastAsia="ja-JP"/>
        </w:rPr>
        <w:t>IA</w:t>
      </w:r>
      <w:r w:rsidRPr="007D278F">
        <w:rPr>
          <w:rFonts w:eastAsia="SimSun"/>
          <w:lang w:val="es-ES" w:eastAsia="ja-JP"/>
        </w:rPr>
        <w:t>.</w:t>
      </w:r>
    </w:p>
    <w:p w14:paraId="3C4F0EDF" w14:textId="77777777" w:rsidR="00AC335B" w:rsidRPr="00627958" w:rsidRDefault="00AC335B" w:rsidP="00AC335B">
      <w:pPr>
        <w:pStyle w:val="Heading3"/>
        <w:rPr>
          <w:lang w:val="es-ES"/>
        </w:rPr>
      </w:pPr>
      <w:r w:rsidRPr="00627958">
        <w:rPr>
          <w:lang w:val="es-ES"/>
        </w:rPr>
        <w:t>2</w:t>
      </w:r>
      <w:r w:rsidRPr="00627958">
        <w:rPr>
          <w:lang w:val="es-ES"/>
        </w:rPr>
        <w:tab/>
      </w:r>
      <w:proofErr w:type="gramStart"/>
      <w:r w:rsidRPr="00627958">
        <w:rPr>
          <w:lang w:val="es-ES"/>
        </w:rPr>
        <w:t>Cuestión</w:t>
      </w:r>
      <w:proofErr w:type="gramEnd"/>
    </w:p>
    <w:p w14:paraId="3FFA5AA0" w14:textId="77777777" w:rsidR="00AC335B" w:rsidRPr="007D278F" w:rsidRDefault="00AC335B" w:rsidP="00AC335B">
      <w:pPr>
        <w:rPr>
          <w:rFonts w:eastAsia="SimSun"/>
          <w:lang w:val="es-ES" w:eastAsia="ja-JP"/>
        </w:rPr>
      </w:pPr>
      <w:r w:rsidRPr="007D278F">
        <w:rPr>
          <w:rFonts w:eastAsia="SimSun"/>
          <w:lang w:val="es-ES" w:eastAsia="ja-JP"/>
        </w:rPr>
        <w:t>Cada uno de los siguientes temas de estudio se corresponde directamente con una tarea en los dominios de telecomunicaciones y TIC</w:t>
      </w:r>
      <w:r w:rsidRPr="007D278F">
        <w:rPr>
          <w:rFonts w:eastAsia="SimSun"/>
          <w:lang w:val="es-ES" w:eastAsia="zh-CN"/>
        </w:rPr>
        <w:t>:</w:t>
      </w:r>
    </w:p>
    <w:p w14:paraId="02738F42" w14:textId="77777777" w:rsidR="00AC335B" w:rsidRPr="007D278F" w:rsidRDefault="00AC335B" w:rsidP="003D1287">
      <w:pPr>
        <w:pStyle w:val="enumlev1"/>
        <w:rPr>
          <w:rFonts w:eastAsia="SimSun"/>
          <w:lang w:val="es-ES" w:eastAsia="ja-JP"/>
        </w:rPr>
      </w:pPr>
      <w:r w:rsidRPr="007D278F">
        <w:rPr>
          <w:rFonts w:eastAsia="SimSun"/>
          <w:lang w:val="es-ES" w:eastAsia="zh-CN"/>
        </w:rPr>
        <w:t>1)</w:t>
      </w:r>
      <w:r w:rsidRPr="007D278F">
        <w:rPr>
          <w:rFonts w:eastAsia="SimSun"/>
          <w:lang w:val="es-ES" w:eastAsia="zh-CN"/>
        </w:rPr>
        <w:tab/>
        <w:t xml:space="preserve">¿Cuáles son los riesgos de seguridad y las estrategias de mitigación básicas para sistemas nativos de IA y sistemas de TIC con IA/ML integrada, incluidos los nuevos paradigmas, como la IA </w:t>
      </w:r>
      <w:proofErr w:type="spellStart"/>
      <w:r w:rsidRPr="007D278F">
        <w:rPr>
          <w:rFonts w:eastAsia="SimSun"/>
          <w:lang w:val="es-ES" w:eastAsia="zh-CN"/>
        </w:rPr>
        <w:t>agéntica</w:t>
      </w:r>
      <w:proofErr w:type="spellEnd"/>
      <w:r w:rsidRPr="007D278F">
        <w:rPr>
          <w:rFonts w:eastAsia="SimSun"/>
          <w:lang w:val="es-ES" w:eastAsia="zh-CN"/>
        </w:rPr>
        <w:t xml:space="preserve">, </w:t>
      </w:r>
      <w:proofErr w:type="spellStart"/>
      <w:r w:rsidRPr="007D278F">
        <w:rPr>
          <w:rFonts w:eastAsia="SimSun"/>
          <w:lang w:val="es-ES" w:eastAsia="zh-CN"/>
        </w:rPr>
        <w:t>multiagéntica</w:t>
      </w:r>
      <w:proofErr w:type="spellEnd"/>
      <w:r w:rsidRPr="007D278F">
        <w:rPr>
          <w:rFonts w:eastAsia="SimSun"/>
          <w:lang w:val="es-ES" w:eastAsia="zh-CN"/>
        </w:rPr>
        <w:t>, integrada/incorporada y robótica, con exclusión de lo</w:t>
      </w:r>
      <w:r>
        <w:rPr>
          <w:rFonts w:eastAsia="SimSun"/>
          <w:lang w:val="es-ES" w:eastAsia="zh-CN"/>
        </w:rPr>
        <w:t xml:space="preserve">s específicamente relacionados con los macrodatos, la nube, la gestión de la identidad, las redes de comunicaciones y las tecnologías de libro mayor distribuido? </w:t>
      </w:r>
      <w:r w:rsidRPr="007D278F">
        <w:rPr>
          <w:rFonts w:eastAsia="SimSun"/>
          <w:lang w:val="es-ES" w:eastAsia="zh-CN"/>
        </w:rPr>
        <w:t xml:space="preserve">¿Cómo deben abordarse los riesgos de la cadena de suministro (conjuntos de datos, modelos, </w:t>
      </w:r>
      <w:r w:rsidRPr="00A34408">
        <w:rPr>
          <w:rFonts w:eastAsia="SimSun"/>
          <w:i/>
          <w:iCs/>
          <w:lang w:val="es-ES" w:eastAsia="zh-CN"/>
        </w:rPr>
        <w:t>hardware</w:t>
      </w:r>
      <w:r w:rsidRPr="007D278F">
        <w:rPr>
          <w:rFonts w:eastAsia="SimSun"/>
          <w:lang w:val="es-ES" w:eastAsia="zh-CN"/>
        </w:rPr>
        <w:t>/</w:t>
      </w:r>
      <w:r w:rsidRPr="00A34408">
        <w:rPr>
          <w:rFonts w:eastAsia="SimSun"/>
          <w:i/>
          <w:iCs/>
          <w:lang w:val="es-ES" w:eastAsia="zh-CN"/>
        </w:rPr>
        <w:t>software</w:t>
      </w:r>
      <w:r w:rsidRPr="007D278F">
        <w:rPr>
          <w:rFonts w:eastAsia="SimSun"/>
          <w:lang w:val="es-ES" w:eastAsia="zh-CN"/>
        </w:rPr>
        <w:t>)</w:t>
      </w:r>
      <w:r w:rsidRPr="007D278F">
        <w:rPr>
          <w:rFonts w:eastAsia="SimSun"/>
          <w:lang w:val="es-ES" w:eastAsia="ja-JP"/>
        </w:rPr>
        <w:t>?</w:t>
      </w:r>
    </w:p>
    <w:p w14:paraId="264B965E" w14:textId="77777777" w:rsidR="00AC335B" w:rsidRPr="007D278F" w:rsidRDefault="00AC335B" w:rsidP="003D1287">
      <w:pPr>
        <w:pStyle w:val="enumlev1"/>
        <w:rPr>
          <w:rFonts w:eastAsia="SimSun"/>
          <w:lang w:val="es-ES" w:eastAsia="zh-CN"/>
        </w:rPr>
      </w:pPr>
      <w:r w:rsidRPr="007D278F">
        <w:rPr>
          <w:rFonts w:eastAsia="SimSun"/>
          <w:lang w:val="es-ES" w:eastAsia="zh-CN"/>
        </w:rPr>
        <w:t>2)</w:t>
      </w:r>
      <w:r w:rsidRPr="007D278F">
        <w:rPr>
          <w:rFonts w:eastAsia="SimSun"/>
          <w:lang w:val="es-ES" w:eastAsia="zh-CN"/>
        </w:rPr>
        <w:tab/>
        <w:t>¿Qué controles y estrategias de mi</w:t>
      </w:r>
      <w:r>
        <w:rPr>
          <w:rFonts w:eastAsia="SimSun"/>
          <w:lang w:val="es-ES" w:eastAsia="zh-CN"/>
        </w:rPr>
        <w:t>ti</w:t>
      </w:r>
      <w:r w:rsidRPr="007D278F">
        <w:rPr>
          <w:rFonts w:eastAsia="SimSun"/>
          <w:lang w:val="es-ES" w:eastAsia="zh-CN"/>
        </w:rPr>
        <w:t>gación se necesitan para proteger las superficies de ataque de los modelos, sistemas, aplica</w:t>
      </w:r>
      <w:r>
        <w:rPr>
          <w:rFonts w:eastAsia="SimSun"/>
          <w:lang w:val="es-ES" w:eastAsia="zh-CN"/>
        </w:rPr>
        <w:t>ciones y servicios de IA a lo largo de su ciclo de vida, incluidos los mercados de modelos y API</w:t>
      </w:r>
      <w:r w:rsidRPr="007D278F">
        <w:rPr>
          <w:rFonts w:eastAsia="SimSun"/>
          <w:lang w:val="es-ES" w:eastAsia="zh-CN"/>
        </w:rPr>
        <w:t>?</w:t>
      </w:r>
    </w:p>
    <w:p w14:paraId="3CD46141" w14:textId="77777777" w:rsidR="00AC335B" w:rsidRPr="00E12F9A" w:rsidRDefault="00AC335B" w:rsidP="003D1287">
      <w:pPr>
        <w:pStyle w:val="enumlev1"/>
        <w:rPr>
          <w:rFonts w:eastAsia="SimSun"/>
          <w:lang w:val="es-ES" w:eastAsia="ja-JP"/>
        </w:rPr>
      </w:pPr>
      <w:r w:rsidRPr="00E12F9A">
        <w:rPr>
          <w:rFonts w:eastAsia="SimSun"/>
          <w:lang w:val="es-ES" w:eastAsia="zh-CN"/>
        </w:rPr>
        <w:t>3)</w:t>
      </w:r>
      <w:r w:rsidRPr="00E12F9A">
        <w:rPr>
          <w:rFonts w:eastAsia="SimSun"/>
          <w:lang w:val="es-ES" w:eastAsia="zh-CN"/>
        </w:rPr>
        <w:tab/>
        <w:t>¿Cómo pueden los sistemas de IA/ML</w:t>
      </w:r>
      <w:r w:rsidRPr="00E12F9A">
        <w:rPr>
          <w:rFonts w:eastAsia="SimSun"/>
          <w:lang w:val="es-ES" w:eastAsia="ja-JP"/>
        </w:rPr>
        <w:t xml:space="preserve"> integrarse o mantenerse a lo largo de todo el ciclo de vida, desde el diseño y el entrenamiento del modelo</w:t>
      </w:r>
      <w:r>
        <w:rPr>
          <w:rFonts w:eastAsia="SimSun"/>
          <w:lang w:val="es-ES" w:eastAsia="ja-JP"/>
        </w:rPr>
        <w:t xml:space="preserve"> hasta su despliegue, explotación y jubilación, en un entorno de TIC, incluidas las soluciones integradas o incorporadas</w:t>
      </w:r>
      <w:r w:rsidRPr="00E12F9A">
        <w:rPr>
          <w:rFonts w:eastAsia="SimSun"/>
          <w:lang w:val="es-ES" w:eastAsia="ja-JP"/>
        </w:rPr>
        <w:t>?</w:t>
      </w:r>
    </w:p>
    <w:p w14:paraId="3AA3C192" w14:textId="77777777" w:rsidR="00AC335B" w:rsidRPr="00E12F9A" w:rsidRDefault="00AC335B" w:rsidP="003D1287">
      <w:pPr>
        <w:pStyle w:val="enumlev1"/>
        <w:rPr>
          <w:rFonts w:eastAsia="SimSun"/>
          <w:lang w:val="es-ES" w:eastAsia="ja-JP"/>
        </w:rPr>
      </w:pPr>
      <w:r w:rsidRPr="00E12F9A">
        <w:rPr>
          <w:rFonts w:eastAsia="SimSun"/>
          <w:lang w:val="es-ES" w:eastAsia="zh-CN"/>
        </w:rPr>
        <w:t>4)</w:t>
      </w:r>
      <w:r w:rsidRPr="00E12F9A">
        <w:rPr>
          <w:rFonts w:eastAsia="SimSun"/>
          <w:lang w:val="es-ES" w:eastAsia="zh-CN"/>
        </w:rPr>
        <w:tab/>
        <w:t>¿Cómo pueden integrarse las prácticas de desarrollo seguro, como el aprendizaje continuo, el entrenamiento consciente del ciclo de vida y el</w:t>
      </w:r>
      <w:r>
        <w:rPr>
          <w:rFonts w:eastAsia="SimSun"/>
          <w:lang w:val="es-ES" w:eastAsia="zh-CN"/>
        </w:rPr>
        <w:t xml:space="preserve"> </w:t>
      </w:r>
      <w:r w:rsidRPr="006930EB">
        <w:rPr>
          <w:rFonts w:eastAsia="SimSun"/>
          <w:i/>
          <w:iCs/>
          <w:lang w:val="es-ES" w:eastAsia="ja-JP"/>
        </w:rPr>
        <w:t>human-in-the-</w:t>
      </w:r>
      <w:proofErr w:type="spellStart"/>
      <w:r w:rsidRPr="006930EB">
        <w:rPr>
          <w:rFonts w:eastAsia="SimSun"/>
          <w:i/>
          <w:iCs/>
          <w:lang w:val="es-ES" w:eastAsia="ja-JP"/>
        </w:rPr>
        <w:t>loop</w:t>
      </w:r>
      <w:proofErr w:type="spellEnd"/>
      <w:r>
        <w:rPr>
          <w:rFonts w:eastAsia="SimSun"/>
          <w:lang w:val="es-ES" w:eastAsia="ja-JP"/>
        </w:rPr>
        <w:t xml:space="preserve"> (humano </w:t>
      </w:r>
      <w:r>
        <w:rPr>
          <w:rFonts w:eastAsia="SimSun"/>
          <w:lang w:val="es-ES" w:eastAsia="ja-JP"/>
        </w:rPr>
        <w:lastRenderedPageBreak/>
        <w:t>en el bucle), en el diseño de sistemas de IA</w:t>
      </w:r>
      <w:r w:rsidRPr="00E12F9A">
        <w:rPr>
          <w:rFonts w:eastAsia="SimSun"/>
          <w:lang w:val="es-ES" w:eastAsia="zh-CN"/>
        </w:rPr>
        <w:t>/ML</w:t>
      </w:r>
      <w:r>
        <w:rPr>
          <w:rFonts w:eastAsia="SimSun"/>
          <w:lang w:val="es-ES" w:eastAsia="zh-CN"/>
        </w:rPr>
        <w:t>, incluida la gobernanza de procesos</w:t>
      </w:r>
      <w:r w:rsidRPr="00E12F9A">
        <w:rPr>
          <w:rFonts w:eastAsia="SimSun"/>
          <w:lang w:val="es-ES" w:eastAsia="zh-CN"/>
        </w:rPr>
        <w:t xml:space="preserve"> DevOps/</w:t>
      </w:r>
      <w:proofErr w:type="spellStart"/>
      <w:r w:rsidRPr="00E12F9A">
        <w:rPr>
          <w:rFonts w:eastAsia="SimSun"/>
          <w:lang w:val="es-ES" w:eastAsia="zh-CN"/>
        </w:rPr>
        <w:t>MLOps</w:t>
      </w:r>
      <w:proofErr w:type="spellEnd"/>
      <w:r w:rsidRPr="00E12F9A">
        <w:rPr>
          <w:rFonts w:eastAsia="SimSun"/>
          <w:lang w:val="es-ES" w:eastAsia="ja-JP"/>
        </w:rPr>
        <w:t>?</w:t>
      </w:r>
    </w:p>
    <w:p w14:paraId="3745D867" w14:textId="77777777" w:rsidR="00AC335B" w:rsidRPr="006930EB" w:rsidRDefault="00AC335B" w:rsidP="003D1287">
      <w:pPr>
        <w:pStyle w:val="enumlev1"/>
        <w:rPr>
          <w:rFonts w:eastAsia="SimSun"/>
          <w:lang w:val="es-ES" w:eastAsia="zh-CN"/>
        </w:rPr>
      </w:pPr>
      <w:r w:rsidRPr="006930EB">
        <w:rPr>
          <w:rFonts w:eastAsia="SimSun"/>
          <w:lang w:val="es-ES" w:eastAsia="zh-CN"/>
        </w:rPr>
        <w:t>5)</w:t>
      </w:r>
      <w:r w:rsidRPr="006930EB">
        <w:rPr>
          <w:rFonts w:eastAsia="SimSun"/>
          <w:lang w:val="es-ES" w:eastAsia="zh-CN"/>
        </w:rPr>
        <w:tab/>
        <w:t>¿Qué marcos, herramientas y prácticas se necesitan para probar, auditar y supervisar los sistemas de IA/ML en entornos de TIC operativos, junto con los indicadores, métricas y herramientas necesarios para evaluar y certificar su segurida</w:t>
      </w:r>
      <w:r>
        <w:rPr>
          <w:rFonts w:eastAsia="SimSun"/>
          <w:lang w:val="es-ES" w:eastAsia="zh-CN"/>
        </w:rPr>
        <w:t xml:space="preserve">d, fiabilidad y salvaguardia? </w:t>
      </w:r>
      <w:r w:rsidRPr="006930EB">
        <w:rPr>
          <w:rFonts w:eastAsia="SimSun"/>
          <w:lang w:val="es-ES" w:eastAsia="zh-CN"/>
        </w:rPr>
        <w:t>¿Cómo pueden integrarse la conformación de equipos rojos y las simulaciones de adversarios por IA?</w:t>
      </w:r>
    </w:p>
    <w:p w14:paraId="0D8BC382" w14:textId="45B768E9" w:rsidR="00AC335B" w:rsidRPr="006930EB" w:rsidRDefault="00AC335B" w:rsidP="003D1287">
      <w:pPr>
        <w:pStyle w:val="enumlev1"/>
        <w:rPr>
          <w:rFonts w:eastAsia="SimSun"/>
          <w:lang w:val="es-ES" w:eastAsia="zh-CN"/>
        </w:rPr>
      </w:pPr>
      <w:r w:rsidRPr="006930EB">
        <w:rPr>
          <w:rFonts w:eastAsia="SimSun"/>
          <w:lang w:val="es-ES" w:eastAsia="zh-CN"/>
        </w:rPr>
        <w:t>6)</w:t>
      </w:r>
      <w:r w:rsidRPr="006930EB">
        <w:rPr>
          <w:rFonts w:eastAsia="SimSun"/>
          <w:lang w:val="es-ES" w:eastAsia="zh-CN"/>
        </w:rPr>
        <w:tab/>
        <w:t xml:space="preserve">¿Cómo pueden </w:t>
      </w:r>
      <w:r w:rsidRPr="003D1287">
        <w:rPr>
          <w:rFonts w:eastAsia="SimSun"/>
          <w:lang w:val="es-ES" w:eastAsia="zh-CN"/>
        </w:rPr>
        <w:t xml:space="preserve">identificarse </w:t>
      </w:r>
      <w:r w:rsidRPr="006930EB">
        <w:rPr>
          <w:rFonts w:eastAsia="SimSun"/>
          <w:lang w:val="es-ES" w:eastAsia="zh-CN"/>
        </w:rPr>
        <w:t xml:space="preserve">las amenazas y vulnerabilidades de la IIP mediante controles conscientes del ciclo de vida y la responsabilidad de las partes en entornos de IA, incluidas las aplicaciones de IA, aplicando al </w:t>
      </w:r>
      <w:r>
        <w:rPr>
          <w:rFonts w:eastAsia="SimSun"/>
          <w:lang w:val="es-ES" w:eastAsia="zh-CN"/>
        </w:rPr>
        <w:t>mismo tiempo tecnologías y arquitecturas de seguridad para proteger los datos en sistemas de IA generativa, pipelines sintéticos y sistemas de aprendizaje continuo</w:t>
      </w:r>
      <w:r w:rsidRPr="006930EB">
        <w:rPr>
          <w:rFonts w:eastAsia="SimSun"/>
          <w:lang w:val="es-ES" w:eastAsia="zh-CN"/>
        </w:rPr>
        <w:t>?</w:t>
      </w:r>
    </w:p>
    <w:p w14:paraId="45D80EC5" w14:textId="77777777" w:rsidR="00AC335B" w:rsidRPr="006930EB" w:rsidRDefault="00AC335B" w:rsidP="003D1287">
      <w:pPr>
        <w:pStyle w:val="enumlev1"/>
        <w:rPr>
          <w:rFonts w:eastAsia="SimSun"/>
          <w:lang w:val="es-ES" w:eastAsia="zh-CN"/>
        </w:rPr>
      </w:pPr>
      <w:r w:rsidRPr="006930EB">
        <w:rPr>
          <w:rFonts w:eastAsia="SimSun"/>
          <w:lang w:val="es-ES" w:eastAsia="zh-CN"/>
        </w:rPr>
        <w:t>7)</w:t>
      </w:r>
      <w:r w:rsidRPr="006930EB">
        <w:rPr>
          <w:rFonts w:eastAsia="SimSun"/>
          <w:lang w:val="es-ES" w:eastAsia="zh-CN"/>
        </w:rPr>
        <w:tab/>
        <w:t xml:space="preserve">¿Cómo pueden definirse marcos de seguridad integrales para hacer frente a las amenazas y vulnerabilidades que afectan tanto al a integridad de los sistemas de </w:t>
      </w:r>
      <w:r>
        <w:rPr>
          <w:rFonts w:eastAsia="SimSun"/>
          <w:lang w:val="es-ES" w:eastAsia="zh-CN"/>
        </w:rPr>
        <w:t>IA como a la protección de la IIP, incluidos los riesgos duales y la reorientación maligna de tecnologías de IA</w:t>
      </w:r>
      <w:r w:rsidRPr="006930EB">
        <w:rPr>
          <w:rFonts w:eastAsia="SimSun"/>
          <w:lang w:val="es-ES" w:eastAsia="zh-CN"/>
        </w:rPr>
        <w:t>?</w:t>
      </w:r>
    </w:p>
    <w:p w14:paraId="0CBB6C6B" w14:textId="77777777" w:rsidR="00AC335B" w:rsidRPr="006930EB" w:rsidRDefault="00AC335B" w:rsidP="003D1287">
      <w:pPr>
        <w:pStyle w:val="enumlev1"/>
        <w:rPr>
          <w:rFonts w:eastAsia="Malgun Gothic"/>
          <w:lang w:val="es-ES" w:eastAsia="ko-KR"/>
        </w:rPr>
      </w:pPr>
      <w:r w:rsidRPr="006930EB">
        <w:rPr>
          <w:rFonts w:eastAsia="SimSun"/>
          <w:lang w:val="es-ES" w:eastAsia="zh-CN"/>
        </w:rPr>
        <w:t>8)</w:t>
      </w:r>
      <w:r w:rsidRPr="006930EB">
        <w:rPr>
          <w:rFonts w:eastAsia="SimSun"/>
          <w:lang w:val="es-ES" w:eastAsia="zh-CN"/>
        </w:rPr>
        <w:tab/>
        <w:t xml:space="preserve">¿Qué modelos arquitectónicos y mecanismos de control, como el plano de control de confianza y seguridad de la IA </w:t>
      </w:r>
      <w:proofErr w:type="spellStart"/>
      <w:r w:rsidRPr="006930EB">
        <w:rPr>
          <w:rFonts w:eastAsia="SimSun"/>
          <w:lang w:val="es-ES" w:eastAsia="zh-CN"/>
        </w:rPr>
        <w:t>agéntica</w:t>
      </w:r>
      <w:proofErr w:type="spellEnd"/>
      <w:r w:rsidRPr="006930EB">
        <w:rPr>
          <w:rFonts w:eastAsia="SimSun"/>
          <w:lang w:val="es-ES" w:eastAsia="zh-CN"/>
        </w:rPr>
        <w:t xml:space="preserve">, se necesitan para el funcionamiento seguro y conforme a la política en todos los entornos de TIC? y ¿Cómo </w:t>
      </w:r>
      <w:r>
        <w:rPr>
          <w:rFonts w:eastAsia="SimSun"/>
          <w:lang w:val="es-ES" w:eastAsia="zh-CN"/>
        </w:rPr>
        <w:t>interactúan los modelos o agentes de IA con herramientas, servicios y fuentes de datos externos</w:t>
      </w:r>
      <w:r w:rsidRPr="006930EB">
        <w:rPr>
          <w:rFonts w:eastAsia="Malgun Gothic"/>
          <w:lang w:val="es-ES" w:eastAsia="ko-KR"/>
        </w:rPr>
        <w:t>?</w:t>
      </w:r>
    </w:p>
    <w:p w14:paraId="0D3AF7FA" w14:textId="28407F73" w:rsidR="00AC335B" w:rsidRPr="006930EB" w:rsidRDefault="00AC335B" w:rsidP="003D1287">
      <w:pPr>
        <w:pStyle w:val="enumlev1"/>
        <w:rPr>
          <w:rFonts w:eastAsia="SimSun"/>
          <w:lang w:val="es-ES" w:eastAsia="zh-CN"/>
        </w:rPr>
      </w:pPr>
      <w:r w:rsidRPr="006930EB">
        <w:rPr>
          <w:rFonts w:eastAsia="SimSun"/>
          <w:lang w:val="es-ES" w:eastAsia="zh-CN"/>
        </w:rPr>
        <w:t>9)</w:t>
      </w:r>
      <w:r w:rsidRPr="006930EB">
        <w:rPr>
          <w:rFonts w:eastAsia="SimSun"/>
          <w:lang w:val="es-ES" w:eastAsia="zh-CN"/>
        </w:rPr>
        <w:tab/>
        <w:t>¿Cómo pueden aplicarse con seguridad las tecnologías de IA/ML</w:t>
      </w:r>
      <w:r w:rsidRPr="006930EB">
        <w:rPr>
          <w:rFonts w:eastAsia="SimSun"/>
          <w:lang w:val="es-ES" w:eastAsia="ja-JP"/>
        </w:rPr>
        <w:t xml:space="preserve"> en sectores sustentad</w:t>
      </w:r>
      <w:r>
        <w:rPr>
          <w:rFonts w:eastAsia="SimSun"/>
          <w:lang w:val="es-ES" w:eastAsia="ja-JP"/>
        </w:rPr>
        <w:t>os por las TIC (por ejemplo, atención sanitaria, transporte, intervención en caso de catástrofe) con las salvaguardias adecuadas</w:t>
      </w:r>
      <w:r w:rsidRPr="006930EB">
        <w:rPr>
          <w:rFonts w:eastAsia="SimSun"/>
          <w:lang w:val="es-ES" w:eastAsia="ja-JP"/>
        </w:rPr>
        <w:t>?</w:t>
      </w:r>
    </w:p>
    <w:p w14:paraId="2A47E0A7" w14:textId="77777777" w:rsidR="00AC335B" w:rsidRPr="006930EB" w:rsidRDefault="00AC335B" w:rsidP="003D1287">
      <w:pPr>
        <w:pStyle w:val="enumlev1"/>
        <w:rPr>
          <w:rFonts w:eastAsia="SimSun"/>
          <w:lang w:val="es-ES" w:eastAsia="zh-CN"/>
        </w:rPr>
      </w:pPr>
      <w:r w:rsidRPr="006930EB">
        <w:rPr>
          <w:rFonts w:eastAsia="SimSun"/>
          <w:lang w:val="es-ES" w:eastAsia="zh-CN"/>
        </w:rPr>
        <w:t>10)</w:t>
      </w:r>
      <w:r w:rsidRPr="006930EB">
        <w:rPr>
          <w:rFonts w:eastAsia="SimSun"/>
          <w:lang w:val="es-ES" w:eastAsia="zh-CN"/>
        </w:rPr>
        <w:tab/>
        <w:t>¿Cómo pueden definirse los principales aspectos de la seguridad, como los requisitos generales, la gestión del cic</w:t>
      </w:r>
      <w:r>
        <w:rPr>
          <w:rFonts w:eastAsia="SimSun"/>
          <w:lang w:val="es-ES" w:eastAsia="zh-CN"/>
        </w:rPr>
        <w:t>l</w:t>
      </w:r>
      <w:r w:rsidRPr="006930EB">
        <w:rPr>
          <w:rFonts w:eastAsia="SimSun"/>
          <w:lang w:val="es-ES" w:eastAsia="zh-CN"/>
        </w:rPr>
        <w:t>o de vida, la fiabilidad y la confianza del usua</w:t>
      </w:r>
      <w:r>
        <w:rPr>
          <w:rFonts w:eastAsia="SimSun"/>
          <w:lang w:val="es-ES" w:eastAsia="zh-CN"/>
        </w:rPr>
        <w:t>rio, en paralelo a los principios y mecanismos que conforman la confianza de las partes y soportan el despliegue seguro y fiable de sistemas de IA/ML en entornos de TIC</w:t>
      </w:r>
      <w:r w:rsidRPr="006930EB">
        <w:rPr>
          <w:rFonts w:eastAsia="SimSun"/>
          <w:lang w:val="es-ES" w:eastAsia="zh-CN"/>
        </w:rPr>
        <w:t>?</w:t>
      </w:r>
    </w:p>
    <w:p w14:paraId="22822E4D" w14:textId="77777777" w:rsidR="00AC335B" w:rsidRPr="006930EB" w:rsidRDefault="00AC335B" w:rsidP="003D1287">
      <w:pPr>
        <w:pStyle w:val="enumlev1"/>
        <w:rPr>
          <w:rFonts w:eastAsia="SimSun"/>
          <w:lang w:val="es-ES" w:eastAsia="zh-CN"/>
        </w:rPr>
      </w:pPr>
      <w:r w:rsidRPr="006930EB">
        <w:rPr>
          <w:rFonts w:eastAsia="SimSun"/>
          <w:lang w:val="es-ES" w:eastAsia="zh-CN"/>
        </w:rPr>
        <w:t>11)</w:t>
      </w:r>
      <w:r w:rsidRPr="006930EB">
        <w:rPr>
          <w:rFonts w:eastAsia="SimSun"/>
          <w:lang w:val="es-ES" w:eastAsia="zh-CN"/>
        </w:rPr>
        <w:tab/>
        <w:t>¿Cómo deben protegerse la IIP y los datos sensibles minimizando su obtención, exposición o capacidad de identificaci</w:t>
      </w:r>
      <w:r>
        <w:rPr>
          <w:rFonts w:eastAsia="SimSun"/>
          <w:lang w:val="es-ES" w:eastAsia="zh-CN"/>
        </w:rPr>
        <w:t>ón, preservando al mismo tiempo la utilidad del procesamiento, el análisis o la compartición de los datos</w:t>
      </w:r>
      <w:r w:rsidRPr="006930EB">
        <w:rPr>
          <w:rFonts w:eastAsia="SimSun"/>
          <w:lang w:val="es-ES" w:eastAsia="zh-CN"/>
        </w:rPr>
        <w:t>?</w:t>
      </w:r>
    </w:p>
    <w:p w14:paraId="77370C52" w14:textId="77777777" w:rsidR="00AC335B" w:rsidRPr="006930EB" w:rsidRDefault="00AC335B" w:rsidP="003D1287">
      <w:pPr>
        <w:pStyle w:val="enumlev1"/>
        <w:rPr>
          <w:rFonts w:eastAsia="SimSun"/>
          <w:lang w:val="es-ES" w:eastAsia="zh-CN"/>
        </w:rPr>
      </w:pPr>
      <w:r w:rsidRPr="006930EB">
        <w:rPr>
          <w:rFonts w:eastAsia="SimSun"/>
          <w:lang w:val="es-ES" w:eastAsia="zh-CN"/>
        </w:rPr>
        <w:t>12)</w:t>
      </w:r>
      <w:r w:rsidRPr="006930EB">
        <w:rPr>
          <w:rFonts w:eastAsia="SimSun"/>
          <w:lang w:val="es-ES" w:eastAsia="zh-CN"/>
        </w:rPr>
        <w:tab/>
        <w:t xml:space="preserve">¿Qué terminología, marcos conceptuales y arquitecturas de referencia se necesitan para armonizar las normas de seguridad de la IA/ML </w:t>
      </w:r>
      <w:r>
        <w:rPr>
          <w:rFonts w:eastAsia="SimSun"/>
          <w:lang w:val="es-ES" w:eastAsia="zh-CN"/>
        </w:rPr>
        <w:t>dentro de la CE 17 y con otros organismos de normalización</w:t>
      </w:r>
      <w:r w:rsidRPr="006930EB">
        <w:rPr>
          <w:rFonts w:eastAsia="SimSun"/>
          <w:lang w:val="es-ES" w:eastAsia="zh-CN"/>
        </w:rPr>
        <w:t>?</w:t>
      </w:r>
    </w:p>
    <w:p w14:paraId="15E0A984" w14:textId="77777777" w:rsidR="00AC335B" w:rsidRPr="006930EB" w:rsidRDefault="00AC335B" w:rsidP="003D1287">
      <w:pPr>
        <w:pStyle w:val="enumlev1"/>
        <w:rPr>
          <w:rFonts w:eastAsia="SimSun"/>
          <w:lang w:val="es-ES" w:eastAsia="ja-JP"/>
        </w:rPr>
      </w:pPr>
      <w:r w:rsidRPr="006930EB">
        <w:rPr>
          <w:rFonts w:eastAsia="SimSun"/>
          <w:lang w:val="es-ES" w:eastAsia="zh-CN"/>
        </w:rPr>
        <w:t>13)</w:t>
      </w:r>
      <w:r w:rsidRPr="006930EB">
        <w:rPr>
          <w:rFonts w:eastAsia="SimSun"/>
          <w:lang w:val="es-ES" w:eastAsia="zh-CN"/>
        </w:rPr>
        <w:tab/>
        <w:t>¿Cómo debe la CE 17 coordinar y mantener una hoja de ruta dinámica para la n</w:t>
      </w:r>
      <w:r>
        <w:rPr>
          <w:rFonts w:eastAsia="SimSun"/>
          <w:lang w:val="es-ES" w:eastAsia="zh-CN"/>
        </w:rPr>
        <w:t>ormalización de la seguridad de la IA/ML y la armonización entre organizaciones</w:t>
      </w:r>
      <w:r w:rsidRPr="006930EB">
        <w:rPr>
          <w:rFonts w:eastAsia="SimSun"/>
          <w:lang w:val="es-ES" w:eastAsia="ja-JP"/>
        </w:rPr>
        <w:t>?</w:t>
      </w:r>
    </w:p>
    <w:p w14:paraId="66D3ED04" w14:textId="77777777" w:rsidR="00AC335B" w:rsidRPr="00627958" w:rsidRDefault="00AC335B" w:rsidP="00AC335B">
      <w:pPr>
        <w:pStyle w:val="Heading3"/>
        <w:rPr>
          <w:lang w:val="es-ES"/>
        </w:rPr>
      </w:pPr>
      <w:r w:rsidRPr="00627958">
        <w:rPr>
          <w:lang w:val="es-ES"/>
        </w:rPr>
        <w:t>3</w:t>
      </w:r>
      <w:r w:rsidRPr="00627958">
        <w:rPr>
          <w:lang w:val="es-ES"/>
        </w:rPr>
        <w:tab/>
      </w:r>
      <w:proofErr w:type="gramStart"/>
      <w:r w:rsidRPr="00627958">
        <w:rPr>
          <w:lang w:val="es-ES"/>
        </w:rPr>
        <w:t>Tareas</w:t>
      </w:r>
      <w:proofErr w:type="gramEnd"/>
    </w:p>
    <w:p w14:paraId="6B3897E7" w14:textId="77777777" w:rsidR="00AC335B" w:rsidRPr="006930EB" w:rsidRDefault="00AC335B" w:rsidP="00AC335B">
      <w:pPr>
        <w:rPr>
          <w:rFonts w:eastAsia="SimSun"/>
          <w:lang w:val="es-ES" w:eastAsia="ja-JP"/>
        </w:rPr>
      </w:pPr>
      <w:r w:rsidRPr="006930EB">
        <w:rPr>
          <w:rFonts w:eastAsia="SimSun"/>
          <w:lang w:val="es-ES" w:eastAsia="ja-JP"/>
        </w:rPr>
        <w:t>Para responder a las preguntas anteriores se habrán de emprender las siguientes tareas en el ámbito de las telecomunicaciones y las TIC:</w:t>
      </w:r>
    </w:p>
    <w:p w14:paraId="16C5F41B" w14:textId="3C55B425" w:rsidR="00CD15F4" w:rsidRDefault="003D1287" w:rsidP="003D1287">
      <w:pPr>
        <w:pStyle w:val="enumlev1"/>
        <w:rPr>
          <w:rFonts w:eastAsia="SimSun"/>
          <w:lang w:val="es-ES" w:eastAsia="ja-JP"/>
        </w:rPr>
      </w:pPr>
      <w:r w:rsidRPr="003D1287">
        <w:rPr>
          <w:rFonts w:eastAsia="SimSun"/>
          <w:lang w:val="es-ES" w:eastAsia="ja-JP"/>
        </w:rPr>
        <w:t>–</w:t>
      </w:r>
      <w:r>
        <w:rPr>
          <w:rFonts w:eastAsia="SimSun"/>
          <w:lang w:val="es-ES" w:eastAsia="ja-JP"/>
        </w:rPr>
        <w:tab/>
      </w:r>
      <w:r w:rsidR="00AC335B" w:rsidRPr="006930EB">
        <w:rPr>
          <w:rFonts w:eastAsia="SimSun"/>
          <w:lang w:val="es-ES" w:eastAsia="ja-JP"/>
        </w:rPr>
        <w:t xml:space="preserve">Definir modelos de amenazas y taxonomías de riesgos para sistemas nativos de IA y de TIC con IA/ML integrada, haciendo hincapié en los comportamientos </w:t>
      </w:r>
      <w:proofErr w:type="spellStart"/>
      <w:r w:rsidR="00AC335B" w:rsidRPr="006930EB">
        <w:rPr>
          <w:rFonts w:eastAsia="SimSun"/>
          <w:lang w:val="es-ES" w:eastAsia="ja-JP"/>
        </w:rPr>
        <w:t>agénticos</w:t>
      </w:r>
      <w:proofErr w:type="spellEnd"/>
      <w:r w:rsidR="00AC335B" w:rsidRPr="006930EB">
        <w:rPr>
          <w:rFonts w:eastAsia="SimSun"/>
          <w:lang w:val="es-ES" w:eastAsia="ja-JP"/>
        </w:rPr>
        <w:t xml:space="preserve"> y </w:t>
      </w:r>
      <w:proofErr w:type="spellStart"/>
      <w:r w:rsidR="00AC335B" w:rsidRPr="006930EB">
        <w:rPr>
          <w:rFonts w:eastAsia="SimSun"/>
          <w:lang w:val="es-ES" w:eastAsia="ja-JP"/>
        </w:rPr>
        <w:t>multiagénticos</w:t>
      </w:r>
      <w:proofErr w:type="spellEnd"/>
      <w:r w:rsidR="00AC335B" w:rsidRPr="006930EB">
        <w:rPr>
          <w:rFonts w:eastAsia="SimSun"/>
          <w:lang w:val="es-ES" w:eastAsia="ja-JP"/>
        </w:rPr>
        <w:t>, integrados e incorporados, con exclusión de los específicamente relacion</w:t>
      </w:r>
      <w:r w:rsidR="00AC335B">
        <w:rPr>
          <w:rFonts w:eastAsia="SimSun"/>
          <w:lang w:val="es-ES" w:eastAsia="ja-JP"/>
        </w:rPr>
        <w:t>ados con los macrodatos, la nube, la gestión de la identidad, las redes de comunicación y las tecnologías de libro mayor distribuido, pero con inclusión de la seguridad de la cadena de suministro para conjuntos de datos modelos y</w:t>
      </w:r>
      <w:r w:rsidR="00AC335B" w:rsidRPr="006930EB">
        <w:rPr>
          <w:rFonts w:eastAsia="SimSun"/>
          <w:lang w:val="es-ES" w:eastAsia="zh-CN"/>
        </w:rPr>
        <w:t xml:space="preserve"> </w:t>
      </w:r>
      <w:r w:rsidR="00AC335B" w:rsidRPr="00A34408">
        <w:rPr>
          <w:rFonts w:eastAsia="SimSun"/>
          <w:i/>
          <w:iCs/>
          <w:lang w:val="es-ES" w:eastAsia="zh-CN"/>
        </w:rPr>
        <w:t>hardware</w:t>
      </w:r>
      <w:r w:rsidR="00AC335B" w:rsidRPr="006930EB">
        <w:rPr>
          <w:rFonts w:eastAsia="SimSun"/>
          <w:lang w:val="es-ES" w:eastAsia="zh-CN"/>
        </w:rPr>
        <w:t>/</w:t>
      </w:r>
      <w:r w:rsidR="00AC335B" w:rsidRPr="00A34408">
        <w:rPr>
          <w:rFonts w:eastAsia="SimSun"/>
          <w:i/>
          <w:iCs/>
          <w:lang w:val="es-ES" w:eastAsia="zh-CN"/>
        </w:rPr>
        <w:t>software</w:t>
      </w:r>
      <w:r w:rsidR="00AC335B" w:rsidRPr="006930EB">
        <w:rPr>
          <w:rFonts w:eastAsia="SimSun"/>
          <w:lang w:val="es-ES" w:eastAsia="ja-JP"/>
        </w:rPr>
        <w:t>.</w:t>
      </w:r>
    </w:p>
    <w:p w14:paraId="752876DF" w14:textId="7F821467" w:rsidR="00AC335B" w:rsidRPr="006930EB" w:rsidRDefault="00CD15F4" w:rsidP="003D1287">
      <w:pPr>
        <w:pStyle w:val="enumlev1"/>
        <w:rPr>
          <w:rFonts w:eastAsia="SimSun"/>
          <w:lang w:val="es-ES" w:eastAsia="ja-JP"/>
        </w:rPr>
      </w:pPr>
      <w:r>
        <w:rPr>
          <w:rFonts w:eastAsia="SimSun"/>
          <w:lang w:val="es-ES" w:eastAsia="ja-JP"/>
        </w:rPr>
        <w:tab/>
      </w:r>
      <w:r w:rsidR="00AC335B" w:rsidRPr="006930EB">
        <w:rPr>
          <w:rFonts w:eastAsia="SimSun"/>
          <w:lang w:val="es-ES" w:eastAsia="ja-JP"/>
        </w:rPr>
        <w:t>Esta tarea responde a la pregunta 1 de la secc</w:t>
      </w:r>
      <w:r w:rsidR="00AC335B">
        <w:rPr>
          <w:rFonts w:eastAsia="SimSun"/>
          <w:lang w:val="es-ES" w:eastAsia="ja-JP"/>
        </w:rPr>
        <w:t>ión 2 anterior</w:t>
      </w:r>
      <w:r w:rsidR="00AC335B" w:rsidRPr="006930EB">
        <w:rPr>
          <w:rFonts w:eastAsia="SimSun"/>
          <w:lang w:val="es-ES" w:eastAsia="ja-JP"/>
        </w:rPr>
        <w:t>.</w:t>
      </w:r>
    </w:p>
    <w:p w14:paraId="6BDDFAE7" w14:textId="77777777" w:rsidR="00CD15F4" w:rsidRDefault="003D1287" w:rsidP="003D1287">
      <w:pPr>
        <w:pStyle w:val="enumlev1"/>
        <w:rPr>
          <w:rFonts w:eastAsia="SimSun"/>
          <w:lang w:val="es-ES" w:eastAsia="zh-CN"/>
        </w:rPr>
      </w:pPr>
      <w:r w:rsidRPr="003D1287">
        <w:rPr>
          <w:rFonts w:eastAsia="SimSun"/>
          <w:lang w:val="es-ES" w:eastAsia="ja-JP"/>
        </w:rPr>
        <w:lastRenderedPageBreak/>
        <w:t>–</w:t>
      </w:r>
      <w:r>
        <w:rPr>
          <w:rFonts w:eastAsia="SimSun"/>
          <w:lang w:val="es-ES" w:eastAsia="ja-JP"/>
        </w:rPr>
        <w:tab/>
      </w:r>
      <w:r w:rsidR="00AC335B" w:rsidRPr="006930EB">
        <w:rPr>
          <w:rFonts w:eastAsia="SimSun"/>
          <w:lang w:val="es-ES" w:eastAsia="zh-CN"/>
        </w:rPr>
        <w:t xml:space="preserve">Especificar controles y estrategias de mitigación que protejan las superficies de ataque de todos los </w:t>
      </w:r>
      <w:r w:rsidR="00AC335B">
        <w:rPr>
          <w:rFonts w:eastAsia="SimSun"/>
          <w:lang w:val="es-ES" w:eastAsia="zh-CN"/>
        </w:rPr>
        <w:t>modelos, sistemas y aplicaciones de IA y del ciclo de vida de los servicios, incluidos los mercados de modelos y API</w:t>
      </w:r>
      <w:r w:rsidR="00AC335B" w:rsidRPr="006930EB">
        <w:rPr>
          <w:rFonts w:eastAsia="SimSun"/>
          <w:lang w:val="es-ES" w:eastAsia="zh-CN"/>
        </w:rPr>
        <w:t>.</w:t>
      </w:r>
    </w:p>
    <w:p w14:paraId="2C652FE4" w14:textId="3DEF707F" w:rsidR="00AC335B" w:rsidRPr="006930EB" w:rsidRDefault="00CD15F4" w:rsidP="003D1287">
      <w:pPr>
        <w:pStyle w:val="enumlev1"/>
        <w:rPr>
          <w:rFonts w:eastAsia="SimSun"/>
          <w:lang w:val="es-ES" w:eastAsia="zh-CN"/>
        </w:rPr>
      </w:pPr>
      <w:r>
        <w:rPr>
          <w:rFonts w:eastAsia="SimSun"/>
          <w:lang w:val="es-ES" w:eastAsia="zh-CN"/>
        </w:rPr>
        <w:tab/>
      </w:r>
      <w:r w:rsidR="00AC335B" w:rsidRPr="006930EB">
        <w:rPr>
          <w:rFonts w:eastAsia="SimSun"/>
          <w:lang w:val="es-ES" w:eastAsia="ja-JP"/>
        </w:rPr>
        <w:t>Esta tarea responde a la pregunta 2 de la secc</w:t>
      </w:r>
      <w:r w:rsidR="00AC335B">
        <w:rPr>
          <w:rFonts w:eastAsia="SimSun"/>
          <w:lang w:val="es-ES" w:eastAsia="ja-JP"/>
        </w:rPr>
        <w:t>ión 2 anterior</w:t>
      </w:r>
      <w:r w:rsidR="00AC335B" w:rsidRPr="006930EB">
        <w:rPr>
          <w:rFonts w:eastAsia="SimSun"/>
          <w:lang w:val="es-ES" w:eastAsia="ja-JP"/>
        </w:rPr>
        <w:t>.</w:t>
      </w:r>
    </w:p>
    <w:p w14:paraId="097D3539"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ja-JP"/>
        </w:rPr>
        <w:t xml:space="preserve">Definir directrices de seguridad del ciclo de vida para sistemas de IA/ML, incluidas las soluciones integradas e incorporadas, para garantizar la protección de </w:t>
      </w:r>
      <w:r w:rsidR="00AC335B">
        <w:rPr>
          <w:rFonts w:eastAsia="SimSun"/>
          <w:lang w:val="es-ES" w:eastAsia="ja-JP"/>
        </w:rPr>
        <w:t>la IIP y definir las responsabilidades de las partes interesadas en las fases de diseño, entrenamiento, despliegue, explotación y jubilación</w:t>
      </w:r>
      <w:r w:rsidR="00AC335B" w:rsidRPr="006930EB">
        <w:rPr>
          <w:rFonts w:eastAsia="SimSun"/>
          <w:lang w:val="es-ES" w:eastAsia="zh-CN"/>
        </w:rPr>
        <w:t>.</w:t>
      </w:r>
    </w:p>
    <w:p w14:paraId="40EB0071" w14:textId="236F85DA" w:rsidR="00AC335B" w:rsidRPr="006930EB" w:rsidRDefault="00CD15F4" w:rsidP="003D1287">
      <w:pPr>
        <w:pStyle w:val="enumlev1"/>
        <w:rPr>
          <w:rFonts w:eastAsia="SimSun"/>
          <w:lang w:val="es-ES" w:eastAsia="zh-CN"/>
        </w:rPr>
      </w:pPr>
      <w:r>
        <w:rPr>
          <w:rFonts w:eastAsia="SimSun"/>
          <w:lang w:val="es-ES" w:eastAsia="zh-CN"/>
        </w:rPr>
        <w:tab/>
      </w:r>
      <w:r w:rsidR="00AC335B" w:rsidRPr="006930EB">
        <w:rPr>
          <w:rFonts w:eastAsia="SimSun"/>
          <w:lang w:val="es-ES" w:eastAsia="ja-JP"/>
        </w:rPr>
        <w:t>Esta tarea responde a la pregunta 3 de la secc</w:t>
      </w:r>
      <w:r w:rsidR="00AC335B">
        <w:rPr>
          <w:rFonts w:eastAsia="SimSun"/>
          <w:lang w:val="es-ES" w:eastAsia="ja-JP"/>
        </w:rPr>
        <w:t>ión 2 anterior</w:t>
      </w:r>
      <w:r w:rsidR="00AC335B" w:rsidRPr="006930EB">
        <w:rPr>
          <w:rFonts w:eastAsia="SimSun"/>
          <w:lang w:val="es-ES" w:eastAsia="ja-JP"/>
        </w:rPr>
        <w:t>.</w:t>
      </w:r>
    </w:p>
    <w:p w14:paraId="1ED0EC0C"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ja-JP"/>
        </w:rPr>
        <w:t>Definir y fomentar prácticas idóneas para tod</w:t>
      </w:r>
      <w:r w:rsidR="00AC335B">
        <w:rPr>
          <w:rFonts w:eastAsia="SimSun"/>
          <w:lang w:val="es-ES" w:eastAsia="ja-JP"/>
        </w:rPr>
        <w:t>o</w:t>
      </w:r>
      <w:r w:rsidR="00AC335B" w:rsidRPr="006930EB">
        <w:rPr>
          <w:rFonts w:eastAsia="SimSun"/>
          <w:lang w:val="es-ES" w:eastAsia="ja-JP"/>
        </w:rPr>
        <w:t xml:space="preserve"> el ciclo de vida de desarrollo de la IA/ML, incluidos el aprendizaje continuo, los mecanismos de supervisión humana y las técnic</w:t>
      </w:r>
      <w:r w:rsidR="00AC335B">
        <w:rPr>
          <w:rFonts w:eastAsia="SimSun"/>
          <w:lang w:val="es-ES" w:eastAsia="ja-JP"/>
        </w:rPr>
        <w:t>as de aumento de la transparencia, para soportar el despliegue seguro y fiable, incluida además la gobernanza de procesos</w:t>
      </w:r>
      <w:r w:rsidR="00AC335B" w:rsidRPr="006930EB">
        <w:rPr>
          <w:rFonts w:eastAsia="SimSun"/>
          <w:lang w:val="es-ES" w:eastAsia="zh-CN"/>
        </w:rPr>
        <w:t xml:space="preserve"> DevOps/</w:t>
      </w:r>
      <w:proofErr w:type="spellStart"/>
      <w:r w:rsidR="00AC335B" w:rsidRPr="006930EB">
        <w:rPr>
          <w:rFonts w:eastAsia="SimSun"/>
          <w:lang w:val="es-ES" w:eastAsia="zh-CN"/>
        </w:rPr>
        <w:t>MLOps</w:t>
      </w:r>
      <w:proofErr w:type="spellEnd"/>
      <w:r w:rsidR="00AC335B" w:rsidRPr="006930EB">
        <w:rPr>
          <w:rFonts w:eastAsia="SimSun"/>
          <w:lang w:val="es-ES" w:eastAsia="zh-CN"/>
        </w:rPr>
        <w:t>.</w:t>
      </w:r>
    </w:p>
    <w:p w14:paraId="127CB4E3" w14:textId="1DD1ECE9" w:rsidR="00AC335B" w:rsidRPr="006930EB" w:rsidRDefault="00CD15F4" w:rsidP="003D1287">
      <w:pPr>
        <w:pStyle w:val="enumlev1"/>
        <w:rPr>
          <w:rFonts w:eastAsia="SimSun"/>
          <w:lang w:val="es-ES" w:eastAsia="ja-JP"/>
        </w:rPr>
      </w:pPr>
      <w:r>
        <w:rPr>
          <w:rFonts w:eastAsia="SimSun"/>
          <w:lang w:val="es-ES" w:eastAsia="ja-JP"/>
        </w:rPr>
        <w:tab/>
      </w:r>
      <w:r w:rsidR="00AC335B" w:rsidRPr="006930EB">
        <w:rPr>
          <w:rFonts w:eastAsia="SimSun"/>
          <w:lang w:val="es-ES" w:eastAsia="ja-JP"/>
        </w:rPr>
        <w:t>Esta tarea responde a la pregunta 4 de la secc</w:t>
      </w:r>
      <w:r w:rsidR="00AC335B">
        <w:rPr>
          <w:rFonts w:eastAsia="SimSun"/>
          <w:lang w:val="es-ES" w:eastAsia="ja-JP"/>
        </w:rPr>
        <w:t>ión 2 anterior</w:t>
      </w:r>
      <w:r w:rsidR="00AC335B" w:rsidRPr="006930EB">
        <w:rPr>
          <w:rFonts w:eastAsia="SimSun"/>
          <w:lang w:val="es-ES" w:eastAsia="ja-JP"/>
        </w:rPr>
        <w:t>.</w:t>
      </w:r>
    </w:p>
    <w:p w14:paraId="77C26CEF"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zh-CN"/>
        </w:rPr>
        <w:t>Preparar marcos operativos para la auditoría, las pruebas y la supervisión de sistemas de</w:t>
      </w:r>
      <w:r w:rsidR="00CD15F4">
        <w:rPr>
          <w:rFonts w:eastAsia="SimSun"/>
          <w:lang w:val="es-ES" w:eastAsia="zh-CN"/>
        </w:rPr>
        <w:t> </w:t>
      </w:r>
      <w:r w:rsidR="00AC335B" w:rsidRPr="006930EB">
        <w:rPr>
          <w:rFonts w:eastAsia="SimSun"/>
          <w:lang w:val="es-ES" w:eastAsia="zh-CN"/>
        </w:rPr>
        <w:t xml:space="preserve">IA/ML en entornos de TIC, aprovechando la IA para detectar rápidamente las amenazas, incorporar bancos de pruebas y </w:t>
      </w:r>
      <w:r w:rsidR="00AC335B">
        <w:rPr>
          <w:rFonts w:eastAsia="SimSun"/>
          <w:lang w:val="es-ES" w:eastAsia="zh-CN"/>
        </w:rPr>
        <w:t>referencias comparativas para la evaluación de adversarios, y ofreciendo herramientas con indicadores definidos para evaluar y certificar la seguridad, la fiabilidad y las salvaguardias, incluidas la conformación de equipos rojos y la simulación de adversarios por IA</w:t>
      </w:r>
      <w:r w:rsidR="00AC335B" w:rsidRPr="006930EB">
        <w:rPr>
          <w:rFonts w:eastAsia="SimSun"/>
          <w:lang w:val="es-ES" w:eastAsia="zh-CN"/>
        </w:rPr>
        <w:t>.</w:t>
      </w:r>
    </w:p>
    <w:p w14:paraId="55342707" w14:textId="78DA03A8" w:rsidR="00AC335B" w:rsidRPr="006930EB" w:rsidRDefault="00CD15F4" w:rsidP="003D1287">
      <w:pPr>
        <w:pStyle w:val="enumlev1"/>
        <w:rPr>
          <w:rFonts w:eastAsia="SimSun"/>
          <w:lang w:val="es-ES" w:eastAsia="ja-JP"/>
        </w:rPr>
      </w:pPr>
      <w:r>
        <w:rPr>
          <w:rFonts w:eastAsia="SimSun"/>
          <w:lang w:val="es-ES" w:eastAsia="zh-CN"/>
        </w:rPr>
        <w:tab/>
      </w:r>
      <w:r w:rsidR="00AC335B" w:rsidRPr="006930EB">
        <w:rPr>
          <w:rFonts w:eastAsia="SimSun"/>
          <w:lang w:val="es-ES" w:eastAsia="ja-JP"/>
        </w:rPr>
        <w:t>Esta tarea responde a la pregunta 5 de la secc</w:t>
      </w:r>
      <w:r w:rsidR="00AC335B">
        <w:rPr>
          <w:rFonts w:eastAsia="SimSun"/>
          <w:lang w:val="es-ES" w:eastAsia="ja-JP"/>
        </w:rPr>
        <w:t>ión 2 anterior</w:t>
      </w:r>
      <w:r w:rsidR="00AC335B" w:rsidRPr="006930EB">
        <w:rPr>
          <w:rFonts w:eastAsia="SimSun"/>
          <w:lang w:val="es-ES" w:eastAsia="ja-JP"/>
        </w:rPr>
        <w:t>.</w:t>
      </w:r>
    </w:p>
    <w:p w14:paraId="0A4CA397"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zh-CN"/>
        </w:rPr>
        <w:t>Especificar requisitos de seguridad y arquitecturas que garanticen la confidencialidad, la integridad y la disponibilidad de los datos, protegiendo al mismo tiempo la</w:t>
      </w:r>
      <w:r w:rsidR="00AC335B">
        <w:rPr>
          <w:rFonts w:eastAsia="SimSun"/>
          <w:lang w:val="es-ES" w:eastAsia="zh-CN"/>
        </w:rPr>
        <w:t xml:space="preserve"> IIP en entornos de IA, mediante controles conscientes del ciclo de vida para identificar y contrarrestar las amenazas a la IIP y aclarar las responsabilidades de cada parte interesada</w:t>
      </w:r>
      <w:r w:rsidR="00AC335B" w:rsidRPr="006930EB">
        <w:rPr>
          <w:rFonts w:eastAsia="SimSun"/>
          <w:lang w:val="es-ES" w:eastAsia="zh-CN"/>
        </w:rPr>
        <w:t>.</w:t>
      </w:r>
    </w:p>
    <w:p w14:paraId="4CCA2B15" w14:textId="392C7C1F" w:rsidR="00AC335B" w:rsidRPr="006930EB" w:rsidRDefault="00CD15F4" w:rsidP="003D1287">
      <w:pPr>
        <w:pStyle w:val="enumlev1"/>
        <w:rPr>
          <w:rFonts w:eastAsia="SimSun"/>
          <w:lang w:val="es-ES" w:eastAsia="zh-CN"/>
        </w:rPr>
      </w:pPr>
      <w:r>
        <w:rPr>
          <w:rFonts w:eastAsia="SimSun"/>
          <w:lang w:val="es-ES" w:eastAsia="zh-CN"/>
        </w:rPr>
        <w:tab/>
      </w:r>
      <w:r w:rsidR="00AC335B" w:rsidRPr="006930EB">
        <w:rPr>
          <w:rFonts w:eastAsia="SimSun"/>
          <w:lang w:val="es-ES" w:eastAsia="ja-JP"/>
        </w:rPr>
        <w:t xml:space="preserve">Esta tarea responde a la pregunta 6 de la </w:t>
      </w:r>
      <w:r w:rsidR="00AC335B">
        <w:rPr>
          <w:rFonts w:eastAsia="SimSun"/>
          <w:lang w:val="es-ES" w:eastAsia="ja-JP"/>
        </w:rPr>
        <w:t>sección 2 anterior</w:t>
      </w:r>
      <w:r w:rsidR="00AC335B" w:rsidRPr="006930EB">
        <w:rPr>
          <w:rFonts w:eastAsia="SimSun"/>
          <w:lang w:val="es-ES" w:eastAsia="ja-JP"/>
        </w:rPr>
        <w:t>.</w:t>
      </w:r>
    </w:p>
    <w:p w14:paraId="7671C33F" w14:textId="2BA93601"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zh-CN"/>
        </w:rPr>
        <w:t>Definir requisitos, marcos y contramedidas de seguridad de datos para hacer frente a las nuevas amenazas que plantean los si</w:t>
      </w:r>
      <w:r w:rsidR="00AC335B">
        <w:rPr>
          <w:rFonts w:eastAsia="SimSun"/>
          <w:lang w:val="es-ES" w:eastAsia="zh-CN"/>
        </w:rPr>
        <w:t>s</w:t>
      </w:r>
      <w:r w:rsidR="00AC335B" w:rsidRPr="006930EB">
        <w:rPr>
          <w:rFonts w:eastAsia="SimSun"/>
          <w:lang w:val="es-ES" w:eastAsia="zh-CN"/>
        </w:rPr>
        <w:t xml:space="preserve">temas de IA generativa y </w:t>
      </w:r>
      <w:proofErr w:type="spellStart"/>
      <w:r w:rsidR="00AC335B" w:rsidRPr="006930EB">
        <w:rPr>
          <w:rFonts w:eastAsia="SimSun"/>
          <w:lang w:val="es-ES" w:eastAsia="zh-CN"/>
        </w:rPr>
        <w:t>agéntica</w:t>
      </w:r>
      <w:proofErr w:type="spellEnd"/>
      <w:r w:rsidR="00AC335B" w:rsidRPr="006930EB">
        <w:rPr>
          <w:rFonts w:eastAsia="SimSun"/>
          <w:lang w:val="es-ES" w:eastAsia="zh-CN"/>
        </w:rPr>
        <w:t xml:space="preserve">, incluidos los ciberataques por IA, como el </w:t>
      </w:r>
      <w:proofErr w:type="gramStart"/>
      <w:r w:rsidR="00AC335B" w:rsidRPr="00CD15F4">
        <w:rPr>
          <w:rFonts w:eastAsia="SimSun"/>
          <w:i/>
          <w:iCs/>
          <w:lang w:val="es-ES" w:eastAsia="zh-CN"/>
        </w:rPr>
        <w:t>malware</w:t>
      </w:r>
      <w:proofErr w:type="gramEnd"/>
      <w:r w:rsidR="00AC335B" w:rsidRPr="006930EB">
        <w:rPr>
          <w:rFonts w:eastAsia="SimSun"/>
          <w:lang w:val="es-ES" w:eastAsia="zh-CN"/>
        </w:rPr>
        <w:t xml:space="preserve"> adaptable, la suplantación de identidad y la desinformación, garantizando al mismo </w:t>
      </w:r>
      <w:r w:rsidR="00AC335B">
        <w:rPr>
          <w:rFonts w:eastAsia="SimSun"/>
          <w:lang w:val="es-ES" w:eastAsia="zh-CN"/>
        </w:rPr>
        <w:t xml:space="preserve">tiempo la integridad del sistema y la protección de </w:t>
      </w:r>
      <w:r w:rsidR="00AC335B" w:rsidRPr="00CD15F4">
        <w:rPr>
          <w:rFonts w:eastAsia="SimSun"/>
        </w:rPr>
        <w:t>la</w:t>
      </w:r>
      <w:r w:rsidR="00CD15F4">
        <w:rPr>
          <w:rFonts w:eastAsia="SimSun"/>
        </w:rPr>
        <w:t> </w:t>
      </w:r>
      <w:r w:rsidR="00AC335B" w:rsidRPr="00CD15F4">
        <w:rPr>
          <w:rFonts w:eastAsia="SimSun"/>
        </w:rPr>
        <w:t>IIP</w:t>
      </w:r>
      <w:r w:rsidR="00AC335B">
        <w:rPr>
          <w:rFonts w:eastAsia="SimSun"/>
          <w:lang w:val="es-ES" w:eastAsia="zh-CN"/>
        </w:rPr>
        <w:t xml:space="preserve">, y ofreciendo a las partes interesadas salvaguardias técnicas y operativas. </w:t>
      </w:r>
      <w:r w:rsidR="00AC335B" w:rsidRPr="006930EB">
        <w:rPr>
          <w:rFonts w:eastAsia="SimSun"/>
          <w:lang w:val="es-ES" w:eastAsia="zh-CN"/>
        </w:rPr>
        <w:t>Quedan incluidos los riesgos duales y la reorientación maligna.</w:t>
      </w:r>
    </w:p>
    <w:p w14:paraId="02E3A1EB" w14:textId="055C39EE" w:rsidR="00AC335B" w:rsidRPr="006930EB" w:rsidRDefault="00CD15F4" w:rsidP="003D1287">
      <w:pPr>
        <w:pStyle w:val="enumlev1"/>
        <w:rPr>
          <w:rFonts w:eastAsia="SimSun"/>
          <w:lang w:val="es-ES" w:eastAsia="zh-CN"/>
        </w:rPr>
      </w:pPr>
      <w:r>
        <w:rPr>
          <w:rFonts w:eastAsia="SimSun"/>
          <w:lang w:val="es-ES" w:eastAsia="zh-CN"/>
        </w:rPr>
        <w:tab/>
      </w:r>
      <w:r w:rsidR="00AC335B" w:rsidRPr="006930EB">
        <w:rPr>
          <w:rFonts w:eastAsia="SimSun"/>
          <w:lang w:val="es-ES" w:eastAsia="ja-JP"/>
        </w:rPr>
        <w:t>Esta tarea responde a la pregunta 7 de la secc</w:t>
      </w:r>
      <w:r w:rsidR="00AC335B">
        <w:rPr>
          <w:rFonts w:eastAsia="SimSun"/>
          <w:lang w:val="es-ES" w:eastAsia="ja-JP"/>
        </w:rPr>
        <w:t>ión 2 anterior</w:t>
      </w:r>
      <w:r w:rsidR="00AC335B" w:rsidRPr="006930EB">
        <w:rPr>
          <w:rFonts w:eastAsia="SimSun"/>
          <w:lang w:val="es-ES" w:eastAsia="ja-JP"/>
        </w:rPr>
        <w:t>.</w:t>
      </w:r>
    </w:p>
    <w:p w14:paraId="75E86B47"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6930EB">
        <w:rPr>
          <w:rFonts w:eastAsia="SimSun"/>
          <w:lang w:val="es-ES" w:eastAsia="zh-CN"/>
        </w:rPr>
        <w:t xml:space="preserve">Definir modelos arquitectónicos y un plano de control de seguridad para la IA </w:t>
      </w:r>
      <w:proofErr w:type="spellStart"/>
      <w:r w:rsidR="00AC335B" w:rsidRPr="006930EB">
        <w:rPr>
          <w:rFonts w:eastAsia="SimSun"/>
          <w:lang w:val="es-ES" w:eastAsia="zh-CN"/>
        </w:rPr>
        <w:t>agéntica</w:t>
      </w:r>
      <w:proofErr w:type="spellEnd"/>
      <w:r w:rsidR="00AC335B" w:rsidRPr="006930EB">
        <w:rPr>
          <w:rFonts w:eastAsia="SimSun"/>
          <w:lang w:val="es-ES" w:eastAsia="zh-CN"/>
        </w:rPr>
        <w:t xml:space="preserve">, que abarque la autorización dinámica, la aplicación de políticas y la gobernanza de la confianza, para garantizar la </w:t>
      </w:r>
      <w:r w:rsidR="00AC335B">
        <w:rPr>
          <w:rFonts w:eastAsia="SimSun"/>
          <w:lang w:val="es-ES" w:eastAsia="zh-CN"/>
        </w:rPr>
        <w:t xml:space="preserve">autonomía segura y responsable de los sistemas de TIC. </w:t>
      </w:r>
      <w:r w:rsidR="00AC335B" w:rsidRPr="00627958">
        <w:rPr>
          <w:rFonts w:eastAsia="SimSun"/>
          <w:lang w:val="es-ES" w:eastAsia="zh-CN"/>
        </w:rPr>
        <w:t xml:space="preserve">Especificar un modelo por capas tipo OSI (percepción, planificación, decisión, acción). </w:t>
      </w:r>
      <w:r w:rsidR="00AC335B" w:rsidRPr="006930EB">
        <w:rPr>
          <w:rFonts w:eastAsia="SimSun"/>
          <w:lang w:val="es-ES" w:eastAsia="zh-CN"/>
        </w:rPr>
        <w:t xml:space="preserve">En colaboración con los organismos de normalización pertinentes, facilitar la seguridad y fiabilidad de los protocolos de comunicación entre modelos de IA, servicios externos y agentes para propiciar ecosistemas </w:t>
      </w:r>
      <w:proofErr w:type="spellStart"/>
      <w:r w:rsidR="00AC335B" w:rsidRPr="006930EB">
        <w:rPr>
          <w:rFonts w:eastAsia="SimSun"/>
          <w:lang w:val="es-ES" w:eastAsia="zh-CN"/>
        </w:rPr>
        <w:t>multiagente</w:t>
      </w:r>
      <w:proofErr w:type="spellEnd"/>
      <w:r w:rsidR="00AC335B" w:rsidRPr="006930EB">
        <w:rPr>
          <w:rFonts w:eastAsia="SimSun"/>
          <w:lang w:val="es-ES" w:eastAsia="zh-CN"/>
        </w:rPr>
        <w:t xml:space="preserve"> fiables y resilientes.</w:t>
      </w:r>
    </w:p>
    <w:p w14:paraId="71C76D50" w14:textId="70688936" w:rsidR="00AC335B" w:rsidRPr="006930EB" w:rsidRDefault="00CD15F4" w:rsidP="003D1287">
      <w:pPr>
        <w:pStyle w:val="enumlev1"/>
        <w:rPr>
          <w:rFonts w:eastAsia="SimSun"/>
          <w:lang w:val="es-ES" w:eastAsia="zh-CN"/>
        </w:rPr>
      </w:pPr>
      <w:r>
        <w:rPr>
          <w:rFonts w:eastAsia="SimSun"/>
          <w:lang w:val="es-ES" w:eastAsia="zh-CN"/>
        </w:rPr>
        <w:tab/>
      </w:r>
      <w:r w:rsidR="00AC335B" w:rsidRPr="006930EB">
        <w:rPr>
          <w:rFonts w:eastAsia="SimSun"/>
          <w:lang w:val="es-ES" w:eastAsia="ja-JP"/>
        </w:rPr>
        <w:t>Esta tarea responde a la pregunta 8 de la secc</w:t>
      </w:r>
      <w:r w:rsidR="00AC335B">
        <w:rPr>
          <w:rFonts w:eastAsia="SimSun"/>
          <w:lang w:val="es-ES" w:eastAsia="ja-JP"/>
        </w:rPr>
        <w:t>ión 2 anterior</w:t>
      </w:r>
      <w:r w:rsidR="00AC335B" w:rsidRPr="006930EB">
        <w:rPr>
          <w:rFonts w:eastAsia="SimSun"/>
          <w:lang w:val="es-ES" w:eastAsia="ja-JP"/>
        </w:rPr>
        <w:t>.</w:t>
      </w:r>
    </w:p>
    <w:p w14:paraId="0909B724" w14:textId="77777777" w:rsidR="00CD15F4" w:rsidRDefault="003D1287" w:rsidP="003D1287">
      <w:pPr>
        <w:pStyle w:val="enumlev1"/>
        <w:rPr>
          <w:rFonts w:eastAsia="SimSun"/>
          <w:lang w:val="es-ES" w:eastAsia="ja-JP"/>
        </w:rPr>
      </w:pPr>
      <w:r w:rsidRPr="003D1287">
        <w:rPr>
          <w:rFonts w:eastAsia="SimSun"/>
          <w:lang w:val="es-ES" w:eastAsia="ja-JP"/>
        </w:rPr>
        <w:t>–</w:t>
      </w:r>
      <w:r>
        <w:rPr>
          <w:rFonts w:eastAsia="SimSun"/>
          <w:lang w:val="es-ES" w:eastAsia="ja-JP"/>
        </w:rPr>
        <w:tab/>
      </w:r>
      <w:r w:rsidR="00AC335B" w:rsidRPr="0040135F">
        <w:rPr>
          <w:rFonts w:eastAsia="SimSun"/>
          <w:lang w:val="es-ES" w:eastAsia="ja-JP"/>
        </w:rPr>
        <w:t>Preparar orientaciones sobre la utilización segura de la IA</w:t>
      </w:r>
      <w:r w:rsidR="00AC335B" w:rsidRPr="0040135F">
        <w:rPr>
          <w:rFonts w:eastAsia="SimSun"/>
          <w:lang w:val="es-ES" w:eastAsia="zh-CN"/>
        </w:rPr>
        <w:t>/ML</w:t>
      </w:r>
      <w:r w:rsidR="00AC335B" w:rsidRPr="0040135F">
        <w:rPr>
          <w:rFonts w:eastAsia="SimSun"/>
          <w:lang w:val="es-ES" w:eastAsia="ja-JP"/>
        </w:rPr>
        <w:t xml:space="preserve"> en se</w:t>
      </w:r>
      <w:r w:rsidR="00AC335B">
        <w:rPr>
          <w:rFonts w:eastAsia="SimSun"/>
          <w:lang w:val="es-ES" w:eastAsia="ja-JP"/>
        </w:rPr>
        <w:t>ctores esenciales sustentados por las TIC, como la atención sanitaria, el transporte y la intervención en caso de catástrofe, garantizando la existencia de salvaguardias que fomenten la fiabilidad y la confianza pública</w:t>
      </w:r>
      <w:r w:rsidR="00AC335B" w:rsidRPr="0040135F">
        <w:rPr>
          <w:rFonts w:eastAsia="SimSun"/>
          <w:lang w:val="es-ES" w:eastAsia="ja-JP"/>
        </w:rPr>
        <w:t>.</w:t>
      </w:r>
    </w:p>
    <w:p w14:paraId="0AB99812" w14:textId="54C397AD" w:rsidR="00AC335B" w:rsidRPr="0040135F" w:rsidRDefault="00CD15F4" w:rsidP="003D1287">
      <w:pPr>
        <w:pStyle w:val="enumlev1"/>
        <w:rPr>
          <w:rFonts w:eastAsia="SimSun"/>
          <w:lang w:val="es-ES" w:eastAsia="ja-JP"/>
        </w:rPr>
      </w:pPr>
      <w:r>
        <w:rPr>
          <w:rFonts w:eastAsia="SimSun"/>
          <w:lang w:val="es-ES" w:eastAsia="ja-JP"/>
        </w:rPr>
        <w:tab/>
      </w:r>
      <w:r w:rsidR="00AC335B" w:rsidRPr="0040135F">
        <w:rPr>
          <w:rFonts w:eastAsia="SimSun"/>
          <w:lang w:val="es-ES" w:eastAsia="ja-JP"/>
        </w:rPr>
        <w:t>Esta tarea responde a la pregunta 9 de la Cu</w:t>
      </w:r>
      <w:r w:rsidR="00AC335B">
        <w:rPr>
          <w:rFonts w:eastAsia="SimSun"/>
          <w:lang w:val="es-ES" w:eastAsia="ja-JP"/>
        </w:rPr>
        <w:t>estión 2 anterior</w:t>
      </w:r>
      <w:r w:rsidR="00AC335B" w:rsidRPr="0040135F">
        <w:rPr>
          <w:rFonts w:eastAsia="SimSun"/>
          <w:lang w:val="es-ES" w:eastAsia="ja-JP"/>
        </w:rPr>
        <w:t>.</w:t>
      </w:r>
    </w:p>
    <w:p w14:paraId="44B54887" w14:textId="77777777" w:rsidR="00CD15F4" w:rsidRDefault="003D1287" w:rsidP="003D1287">
      <w:pPr>
        <w:pStyle w:val="enumlev1"/>
        <w:rPr>
          <w:rFonts w:eastAsia="SimSun"/>
          <w:lang w:val="es-ES" w:eastAsia="zh-CN"/>
        </w:rPr>
      </w:pPr>
      <w:r w:rsidRPr="003D1287">
        <w:rPr>
          <w:rFonts w:eastAsia="SimSun"/>
          <w:lang w:val="es-ES" w:eastAsia="ja-JP"/>
        </w:rPr>
        <w:lastRenderedPageBreak/>
        <w:t>–</w:t>
      </w:r>
      <w:r>
        <w:rPr>
          <w:rFonts w:eastAsia="SimSun"/>
          <w:lang w:val="es-ES" w:eastAsia="ja-JP"/>
        </w:rPr>
        <w:tab/>
      </w:r>
      <w:r w:rsidR="00AC335B" w:rsidRPr="0040135F">
        <w:rPr>
          <w:rFonts w:eastAsia="SimSun"/>
          <w:lang w:val="es-ES" w:eastAsia="zh-CN"/>
        </w:rPr>
        <w:t xml:space="preserve">Identificar y divulgar aspectos de seguridad esenciales, incluidos los requisitos generales, la gestión del ciclo de vida, la fiabilidad y la confianza del usuario, junto con los principios </w:t>
      </w:r>
      <w:r w:rsidR="00AC335B">
        <w:rPr>
          <w:rFonts w:eastAsia="SimSun"/>
          <w:lang w:val="es-ES" w:eastAsia="zh-CN"/>
        </w:rPr>
        <w:t>y mecanismos básicos que conforman la confianza de las partes y propician el despliegue seguro, interoperable y fiable de sistemas de IA/ML en entornos de telecomunicaciones/TIC</w:t>
      </w:r>
      <w:r w:rsidR="00AC335B" w:rsidRPr="0040135F">
        <w:rPr>
          <w:rFonts w:eastAsia="SimSun"/>
          <w:lang w:val="es-ES" w:eastAsia="zh-CN"/>
        </w:rPr>
        <w:t>.</w:t>
      </w:r>
    </w:p>
    <w:p w14:paraId="0D0B9447" w14:textId="79AC2CEB" w:rsidR="00AC335B" w:rsidRPr="0040135F" w:rsidRDefault="00CD15F4" w:rsidP="003D1287">
      <w:pPr>
        <w:pStyle w:val="enumlev1"/>
        <w:rPr>
          <w:rFonts w:eastAsia="SimSun"/>
          <w:lang w:val="es-ES" w:eastAsia="zh-CN"/>
        </w:rPr>
      </w:pPr>
      <w:r>
        <w:rPr>
          <w:rFonts w:eastAsia="SimSun"/>
          <w:lang w:val="es-ES" w:eastAsia="zh-CN"/>
        </w:rPr>
        <w:tab/>
      </w:r>
      <w:r w:rsidR="00AC335B" w:rsidRPr="0040135F">
        <w:rPr>
          <w:rFonts w:eastAsia="SimSun"/>
          <w:lang w:val="es-ES" w:eastAsia="ja-JP"/>
        </w:rPr>
        <w:t>Esta tarea responde a la pregunta 10 de la secc</w:t>
      </w:r>
      <w:r w:rsidR="00AC335B">
        <w:rPr>
          <w:rFonts w:eastAsia="SimSun"/>
          <w:lang w:val="es-ES" w:eastAsia="ja-JP"/>
        </w:rPr>
        <w:t>ión 2 anterior</w:t>
      </w:r>
      <w:r w:rsidR="00AC335B" w:rsidRPr="0040135F">
        <w:rPr>
          <w:rFonts w:eastAsia="SimSun"/>
          <w:lang w:val="es-ES" w:eastAsia="ja-JP"/>
        </w:rPr>
        <w:t>.</w:t>
      </w:r>
    </w:p>
    <w:p w14:paraId="4DE520B2"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40135F">
        <w:rPr>
          <w:rFonts w:eastAsia="SimSun"/>
          <w:lang w:val="es-ES" w:eastAsia="zh-CN"/>
        </w:rPr>
        <w:t xml:space="preserve">Definir métodos, tecnologías, como técnicas de protección de datos, o procesos diseñados para proteger la IIP y los datos sensibles minimizando </w:t>
      </w:r>
      <w:r w:rsidR="00AC335B">
        <w:rPr>
          <w:rFonts w:eastAsia="SimSun"/>
          <w:lang w:val="es-ES" w:eastAsia="zh-CN"/>
        </w:rPr>
        <w:t>su obtención, exposición o capacidad de identificación, preservando al mismo tiempo la utilidad del procesamiento, el análisis o la compartición de los datos</w:t>
      </w:r>
      <w:r w:rsidR="00AC335B" w:rsidRPr="0040135F">
        <w:rPr>
          <w:rFonts w:eastAsia="SimSun"/>
          <w:lang w:val="es-ES" w:eastAsia="zh-CN"/>
        </w:rPr>
        <w:t>.</w:t>
      </w:r>
    </w:p>
    <w:p w14:paraId="104421F1" w14:textId="6A24297F" w:rsidR="00AC335B" w:rsidRPr="0040135F" w:rsidRDefault="00CD15F4" w:rsidP="003D1287">
      <w:pPr>
        <w:pStyle w:val="enumlev1"/>
        <w:rPr>
          <w:rFonts w:eastAsia="SimSun"/>
          <w:lang w:val="es-ES" w:eastAsia="zh-CN"/>
        </w:rPr>
      </w:pPr>
      <w:r>
        <w:rPr>
          <w:rFonts w:eastAsia="SimSun"/>
          <w:lang w:val="es-ES" w:eastAsia="zh-CN"/>
        </w:rPr>
        <w:tab/>
      </w:r>
      <w:r w:rsidR="00AC335B" w:rsidRPr="0040135F">
        <w:rPr>
          <w:rFonts w:eastAsia="SimSun"/>
          <w:lang w:val="es-ES" w:eastAsia="ja-JP"/>
        </w:rPr>
        <w:t>Esta tarea responde a la pregunta 11 de la secc</w:t>
      </w:r>
      <w:r w:rsidR="00AC335B">
        <w:rPr>
          <w:rFonts w:eastAsia="SimSun"/>
          <w:lang w:val="es-ES" w:eastAsia="ja-JP"/>
        </w:rPr>
        <w:t>ión 2 anterior</w:t>
      </w:r>
      <w:r w:rsidR="00AC335B" w:rsidRPr="0040135F">
        <w:rPr>
          <w:rFonts w:eastAsia="SimSun"/>
          <w:lang w:val="es-ES" w:eastAsia="ja-JP"/>
        </w:rPr>
        <w:t>.</w:t>
      </w:r>
    </w:p>
    <w:p w14:paraId="73364C3A" w14:textId="77777777" w:rsidR="00CD15F4" w:rsidRDefault="003D1287" w:rsidP="003D1287">
      <w:pPr>
        <w:pStyle w:val="enumlev1"/>
        <w:rPr>
          <w:rFonts w:eastAsia="SimSun"/>
          <w:lang w:val="es-ES" w:eastAsia="ja-JP"/>
        </w:rPr>
      </w:pPr>
      <w:r w:rsidRPr="003D1287">
        <w:rPr>
          <w:rFonts w:eastAsia="SimSun"/>
          <w:lang w:val="es-ES" w:eastAsia="ja-JP"/>
        </w:rPr>
        <w:t>–</w:t>
      </w:r>
      <w:r>
        <w:rPr>
          <w:rFonts w:eastAsia="SimSun"/>
          <w:lang w:val="es-ES" w:eastAsia="ja-JP"/>
        </w:rPr>
        <w:tab/>
      </w:r>
      <w:r w:rsidR="00AC335B" w:rsidRPr="0040135F">
        <w:rPr>
          <w:rFonts w:eastAsia="SimSun"/>
          <w:lang w:val="es-ES" w:eastAsia="ja-JP"/>
        </w:rPr>
        <w:t>Armonizar la terminología, los conceptos y las arquitecturas de referencia para la seguridad de la IA y el ML en la CE 17 y en la colaboración co</w:t>
      </w:r>
      <w:r w:rsidR="00AC335B">
        <w:rPr>
          <w:rFonts w:eastAsia="SimSun"/>
          <w:lang w:val="es-ES" w:eastAsia="ja-JP"/>
        </w:rPr>
        <w:t xml:space="preserve">n organismos de normalización externos y consorcios industriales, incluidos la definición de una taxonomía común para la seguridad de la IA </w:t>
      </w:r>
      <w:proofErr w:type="spellStart"/>
      <w:r w:rsidR="00AC335B">
        <w:rPr>
          <w:rFonts w:eastAsia="SimSun"/>
          <w:lang w:val="es-ES" w:eastAsia="ja-JP"/>
        </w:rPr>
        <w:t>agéntica</w:t>
      </w:r>
      <w:proofErr w:type="spellEnd"/>
      <w:r w:rsidR="00AC335B">
        <w:rPr>
          <w:rFonts w:eastAsia="SimSun"/>
          <w:lang w:val="es-ES" w:eastAsia="ja-JP"/>
        </w:rPr>
        <w:t xml:space="preserve"> y los aspectos técnicos de los modelos de gobernanza de la IA</w:t>
      </w:r>
      <w:r w:rsidR="00AC335B" w:rsidRPr="0040135F">
        <w:rPr>
          <w:rFonts w:eastAsia="SimSun"/>
          <w:lang w:val="es-ES" w:eastAsia="ja-JP"/>
        </w:rPr>
        <w:t>.</w:t>
      </w:r>
    </w:p>
    <w:p w14:paraId="20D6CC3B" w14:textId="05174BC7" w:rsidR="00AC335B" w:rsidRPr="0040135F" w:rsidRDefault="00CD15F4" w:rsidP="003D1287">
      <w:pPr>
        <w:pStyle w:val="enumlev1"/>
        <w:rPr>
          <w:rFonts w:eastAsia="SimSun"/>
          <w:lang w:val="es-ES" w:eastAsia="ja-JP"/>
        </w:rPr>
      </w:pPr>
      <w:r>
        <w:rPr>
          <w:rFonts w:eastAsia="SimSun"/>
          <w:lang w:val="es-ES" w:eastAsia="ja-JP"/>
        </w:rPr>
        <w:tab/>
      </w:r>
      <w:r w:rsidR="00AC335B" w:rsidRPr="0040135F">
        <w:rPr>
          <w:rFonts w:eastAsia="SimSun"/>
          <w:lang w:val="es-ES" w:eastAsia="ja-JP"/>
        </w:rPr>
        <w:t>Esta tarea responde a la pregunta 12 de la secc</w:t>
      </w:r>
      <w:r w:rsidR="00AC335B">
        <w:rPr>
          <w:rFonts w:eastAsia="SimSun"/>
          <w:lang w:val="es-ES" w:eastAsia="ja-JP"/>
        </w:rPr>
        <w:t>ión 2 anterior</w:t>
      </w:r>
      <w:r w:rsidR="00AC335B" w:rsidRPr="0040135F">
        <w:rPr>
          <w:rFonts w:eastAsia="SimSun"/>
          <w:lang w:val="es-ES" w:eastAsia="ja-JP"/>
        </w:rPr>
        <w:t>.</w:t>
      </w:r>
    </w:p>
    <w:p w14:paraId="490293CD" w14:textId="77777777" w:rsidR="00CD15F4" w:rsidRDefault="003D1287" w:rsidP="003D1287">
      <w:pPr>
        <w:pStyle w:val="enumlev1"/>
        <w:rPr>
          <w:rFonts w:eastAsia="SimSun"/>
          <w:lang w:val="es-ES" w:eastAsia="zh-CN"/>
        </w:rPr>
      </w:pPr>
      <w:r w:rsidRPr="003D1287">
        <w:rPr>
          <w:rFonts w:eastAsia="SimSun"/>
          <w:lang w:val="es-ES" w:eastAsia="ja-JP"/>
        </w:rPr>
        <w:t>–</w:t>
      </w:r>
      <w:r>
        <w:rPr>
          <w:rFonts w:eastAsia="SimSun"/>
          <w:lang w:val="es-ES" w:eastAsia="ja-JP"/>
        </w:rPr>
        <w:tab/>
      </w:r>
      <w:r w:rsidR="00AC335B" w:rsidRPr="0040135F">
        <w:rPr>
          <w:rFonts w:eastAsia="SimSun"/>
          <w:lang w:val="es-ES" w:eastAsia="ja-JP"/>
        </w:rPr>
        <w:t>Definir y mantener una hoja de ruta dinámica para la normalización de la seguridad de la IA/ML que identifique las nuevas necesidades técni</w:t>
      </w:r>
      <w:r w:rsidR="00AC335B">
        <w:rPr>
          <w:rFonts w:eastAsia="SimSun"/>
          <w:lang w:val="es-ES" w:eastAsia="ja-JP"/>
        </w:rPr>
        <w:t>cas y reglamentarias, coordine los productos de la CE 17 y otras Comisiones de Estudio del UIT-T, fomente la interoperabilidad mundial y propicie la adopción ágil y regida por el mercado, así como la evaluación de las tecnologías de IA/ML en entornos de TIC</w:t>
      </w:r>
      <w:r w:rsidR="00AC335B" w:rsidRPr="0040135F">
        <w:rPr>
          <w:rFonts w:eastAsia="SimSun"/>
          <w:lang w:val="es-ES" w:eastAsia="zh-CN"/>
        </w:rPr>
        <w:t>.</w:t>
      </w:r>
    </w:p>
    <w:p w14:paraId="6B65B751" w14:textId="02ED0BC0" w:rsidR="00AC335B" w:rsidRPr="0040135F" w:rsidRDefault="00CD15F4" w:rsidP="003D1287">
      <w:pPr>
        <w:pStyle w:val="enumlev1"/>
        <w:rPr>
          <w:rFonts w:eastAsia="SimSun"/>
          <w:lang w:val="es-ES" w:eastAsia="ja-JP"/>
        </w:rPr>
      </w:pPr>
      <w:r>
        <w:rPr>
          <w:rFonts w:eastAsia="SimSun"/>
          <w:lang w:val="es-ES" w:eastAsia="zh-CN"/>
        </w:rPr>
        <w:tab/>
      </w:r>
      <w:r w:rsidR="00AC335B" w:rsidRPr="0040135F">
        <w:rPr>
          <w:rFonts w:eastAsia="SimSun"/>
          <w:lang w:val="es-ES" w:eastAsia="ja-JP"/>
        </w:rPr>
        <w:t>Esta tarea responde a la pregunta 13 de la secc</w:t>
      </w:r>
      <w:r w:rsidR="00AC335B">
        <w:rPr>
          <w:rFonts w:eastAsia="SimSun"/>
          <w:lang w:val="es-ES" w:eastAsia="ja-JP"/>
        </w:rPr>
        <w:t>ión 2 anterior</w:t>
      </w:r>
      <w:r w:rsidR="00AC335B" w:rsidRPr="0040135F">
        <w:rPr>
          <w:rFonts w:eastAsia="SimSun"/>
          <w:lang w:val="es-ES" w:eastAsia="ja-JP"/>
        </w:rPr>
        <w:t>.</w:t>
      </w:r>
    </w:p>
    <w:p w14:paraId="38368DFF" w14:textId="77777777" w:rsidR="00AC335B" w:rsidRPr="0040135F" w:rsidRDefault="00AC335B" w:rsidP="00AC335B">
      <w:pPr>
        <w:rPr>
          <w:rFonts w:eastAsia="SimSun"/>
          <w:lang w:val="es-ES"/>
        </w:rPr>
      </w:pPr>
      <w:r w:rsidRPr="00091F8F">
        <w:t>La situación actual de los trabajos relativos a esta Cuestión figura</w:t>
      </w:r>
      <w:r>
        <w:t>rá</w:t>
      </w:r>
      <w:r w:rsidRPr="00091F8F">
        <w:t xml:space="preserve"> en el programa de trabajo de la CE 17 en</w:t>
      </w:r>
      <w:r w:rsidRPr="0040135F">
        <w:rPr>
          <w:rFonts w:eastAsia="SimSun"/>
          <w:lang w:val="es-ES"/>
        </w:rPr>
        <w:t xml:space="preserve"> (</w:t>
      </w:r>
      <w:hyperlink r:id="rId13" w:history="1">
        <w:r w:rsidRPr="0040135F">
          <w:rPr>
            <w:rStyle w:val="Hyperlink"/>
            <w:rFonts w:eastAsia="SimSun"/>
            <w:lang w:val="es-ES"/>
          </w:rPr>
          <w:t>https://www.itu.int/ITU-T/workprog/wp_search.aspx?sp=18&amp;q=16/17</w:t>
        </w:r>
      </w:hyperlink>
      <w:r w:rsidRPr="0040135F">
        <w:rPr>
          <w:rFonts w:eastAsia="SimSun"/>
          <w:lang w:val="es-ES"/>
        </w:rPr>
        <w:t>).</w:t>
      </w:r>
    </w:p>
    <w:p w14:paraId="1FF234F3" w14:textId="77777777" w:rsidR="00AC335B" w:rsidRPr="00627958" w:rsidRDefault="00AC335B" w:rsidP="00AC335B">
      <w:pPr>
        <w:pStyle w:val="Heading3"/>
        <w:rPr>
          <w:lang w:val="es-ES"/>
        </w:rPr>
      </w:pPr>
      <w:r w:rsidRPr="00627958">
        <w:rPr>
          <w:lang w:val="es-ES"/>
        </w:rPr>
        <w:t>4</w:t>
      </w:r>
      <w:r w:rsidRPr="00627958">
        <w:rPr>
          <w:lang w:val="es-ES"/>
        </w:rPr>
        <w:tab/>
      </w:r>
      <w:proofErr w:type="gramStart"/>
      <w:r w:rsidRPr="00627958">
        <w:rPr>
          <w:lang w:val="es-ES"/>
        </w:rPr>
        <w:t>Relaciones</w:t>
      </w:r>
      <w:proofErr w:type="gramEnd"/>
    </w:p>
    <w:p w14:paraId="29E6026E" w14:textId="77777777" w:rsidR="00AC335B" w:rsidRPr="0040135F" w:rsidRDefault="00AC335B" w:rsidP="00AC335B">
      <w:pPr>
        <w:pStyle w:val="Headingb0"/>
        <w:rPr>
          <w:rFonts w:eastAsia="SimSun"/>
          <w:lang w:val="es-ES" w:eastAsia="zh-CN"/>
        </w:rPr>
      </w:pPr>
      <w:r w:rsidRPr="0040135F">
        <w:rPr>
          <w:rFonts w:eastAsia="SimSun"/>
          <w:lang w:val="es-ES" w:eastAsia="ja-JP"/>
        </w:rPr>
        <w:t>Recomendaciones:</w:t>
      </w:r>
      <w:r w:rsidRPr="0040135F">
        <w:rPr>
          <w:rFonts w:eastAsia="SimSun"/>
          <w:lang w:val="es-ES" w:eastAsia="zh-CN"/>
        </w:rPr>
        <w:t xml:space="preserve"> </w:t>
      </w:r>
    </w:p>
    <w:p w14:paraId="77F7F99E" w14:textId="77777777" w:rsidR="00AC335B" w:rsidRPr="0040135F" w:rsidRDefault="00AC335B" w:rsidP="00AC335B">
      <w:pPr>
        <w:pStyle w:val="enumlev1"/>
        <w:rPr>
          <w:rFonts w:eastAsia="SimSun"/>
          <w:b/>
          <w:bCs/>
          <w:lang w:val="es-ES"/>
        </w:rPr>
      </w:pPr>
      <w:r w:rsidRPr="0040135F">
        <w:rPr>
          <w:rFonts w:eastAsia="SimSun"/>
          <w:lang w:val="es-ES" w:eastAsia="ja-JP"/>
        </w:rPr>
        <w:t>–</w:t>
      </w:r>
      <w:r w:rsidRPr="0040135F">
        <w:rPr>
          <w:rFonts w:eastAsia="SimSun"/>
          <w:lang w:val="es-ES" w:eastAsia="zh-CN"/>
        </w:rPr>
        <w:tab/>
        <w:t xml:space="preserve">Recomendaciones de la serie </w:t>
      </w:r>
      <w:r w:rsidRPr="0040135F">
        <w:rPr>
          <w:rFonts w:eastAsia="SimSun"/>
          <w:lang w:val="es-ES" w:eastAsia="ja-JP"/>
        </w:rPr>
        <w:t>X</w:t>
      </w:r>
      <w:r>
        <w:rPr>
          <w:rFonts w:eastAsia="SimSun"/>
          <w:lang w:val="es-ES" w:eastAsia="ja-JP"/>
        </w:rPr>
        <w:t xml:space="preserve"> y otras Recomendaciones relacionadas con la seguridad</w:t>
      </w:r>
    </w:p>
    <w:p w14:paraId="7F30236C" w14:textId="77777777" w:rsidR="00AC335B" w:rsidRPr="0040135F" w:rsidRDefault="00AC335B" w:rsidP="00AC335B">
      <w:pPr>
        <w:pStyle w:val="Headingb0"/>
        <w:rPr>
          <w:rFonts w:eastAsia="SimSun"/>
          <w:lang w:val="es-ES" w:eastAsia="ja-JP"/>
        </w:rPr>
      </w:pPr>
      <w:r w:rsidRPr="0040135F">
        <w:rPr>
          <w:rFonts w:eastAsia="SimSun"/>
          <w:lang w:val="es-ES" w:eastAsia="ja-JP"/>
        </w:rPr>
        <w:t>Cuestiones:</w:t>
      </w:r>
    </w:p>
    <w:p w14:paraId="74CBDE57"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zh-CN"/>
        </w:rPr>
        <w:tab/>
        <w:t xml:space="preserve">Todas las Cuestiones pertinentes de </w:t>
      </w:r>
      <w:r>
        <w:rPr>
          <w:rFonts w:eastAsia="SimSun"/>
          <w:lang w:val="es-ES" w:eastAsia="zh-CN"/>
        </w:rPr>
        <w:t>la CE 17 del UIT-T</w:t>
      </w:r>
    </w:p>
    <w:p w14:paraId="4C1DB667" w14:textId="77777777" w:rsidR="00AC335B" w:rsidRPr="0040135F" w:rsidRDefault="00AC335B" w:rsidP="00AC335B">
      <w:pPr>
        <w:pStyle w:val="Headingb0"/>
        <w:rPr>
          <w:rFonts w:eastAsia="SimSun"/>
          <w:lang w:val="es-ES" w:eastAsia="ja-JP"/>
        </w:rPr>
      </w:pPr>
      <w:r w:rsidRPr="0040135F">
        <w:rPr>
          <w:rFonts w:eastAsia="SimSun"/>
          <w:lang w:val="es-ES" w:eastAsia="ja-JP"/>
        </w:rPr>
        <w:t>Comisiones de Estudio:</w:t>
      </w:r>
    </w:p>
    <w:p w14:paraId="2AEB5E91"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zh-CN"/>
        </w:rPr>
        <w:tab/>
        <w:t>Todas las CE del UIT-T pertinent</w:t>
      </w:r>
      <w:r>
        <w:rPr>
          <w:rFonts w:eastAsia="SimSun"/>
          <w:lang w:val="es-ES" w:eastAsia="zh-CN"/>
        </w:rPr>
        <w:t>es,</w:t>
      </w:r>
      <w:r w:rsidRPr="0040135F">
        <w:rPr>
          <w:rFonts w:eastAsia="SimSun"/>
          <w:lang w:val="es-ES" w:eastAsia="zh-CN"/>
        </w:rPr>
        <w:t xml:space="preserve"> JCA-AI/ML</w:t>
      </w:r>
    </w:p>
    <w:p w14:paraId="2297AFA7" w14:textId="77777777" w:rsidR="00AC335B" w:rsidRPr="0040135F" w:rsidRDefault="00AC335B" w:rsidP="00AC335B">
      <w:pPr>
        <w:pStyle w:val="Headingb0"/>
        <w:rPr>
          <w:rFonts w:eastAsia="SimSun"/>
          <w:lang w:val="es-ES" w:eastAsia="ja-JP"/>
        </w:rPr>
      </w:pPr>
      <w:r w:rsidRPr="0040135F">
        <w:rPr>
          <w:rFonts w:eastAsia="SimSun"/>
          <w:lang w:val="es-ES" w:eastAsia="ja-JP"/>
        </w:rPr>
        <w:t>Organismos de normalización:</w:t>
      </w:r>
    </w:p>
    <w:p w14:paraId="303A5E61" w14:textId="77777777" w:rsidR="00AC335B" w:rsidRPr="0040135F" w:rsidRDefault="00AC335B" w:rsidP="00AC335B">
      <w:pPr>
        <w:pStyle w:val="enumlev1"/>
        <w:rPr>
          <w:rFonts w:eastAsia="SimSun"/>
          <w:lang w:val="es-ES" w:eastAsia="ja-JP"/>
        </w:rPr>
      </w:pPr>
      <w:r w:rsidRPr="0040135F">
        <w:rPr>
          <w:rFonts w:eastAsia="SimSun"/>
          <w:lang w:val="es-ES" w:eastAsia="ja-JP"/>
        </w:rPr>
        <w:t>–</w:t>
      </w:r>
      <w:r w:rsidRPr="0040135F">
        <w:rPr>
          <w:rFonts w:eastAsia="SimSun"/>
          <w:lang w:val="es-ES" w:eastAsia="zh-CN"/>
        </w:rPr>
        <w:tab/>
      </w:r>
      <w:r w:rsidRPr="0040135F">
        <w:rPr>
          <w:rFonts w:eastAsia="SimSun"/>
          <w:lang w:val="es-ES" w:eastAsia="ja-JP"/>
        </w:rPr>
        <w:t>ISO/IEC JTC 1/SC</w:t>
      </w:r>
      <w:r w:rsidRPr="0040135F">
        <w:rPr>
          <w:rFonts w:eastAsia="SimSun"/>
          <w:lang w:val="es-ES" w:eastAsia="zh-CN"/>
        </w:rPr>
        <w:t xml:space="preserve"> 6, 27,</w:t>
      </w:r>
      <w:r w:rsidRPr="0040135F">
        <w:rPr>
          <w:rFonts w:eastAsia="SimSun"/>
          <w:lang w:val="es-ES" w:eastAsia="ja-JP"/>
        </w:rPr>
        <w:t xml:space="preserve"> 42, 44</w:t>
      </w:r>
    </w:p>
    <w:p w14:paraId="4A43785E" w14:textId="77777777" w:rsidR="00AC335B" w:rsidRPr="0040135F" w:rsidRDefault="00AC335B" w:rsidP="00AC335B">
      <w:pPr>
        <w:pStyle w:val="enumlev1"/>
        <w:rPr>
          <w:rFonts w:eastAsia="SimSun"/>
          <w:lang w:val="es-ES"/>
        </w:rPr>
      </w:pPr>
      <w:r w:rsidRPr="0040135F">
        <w:rPr>
          <w:rFonts w:eastAsia="SimSun"/>
          <w:lang w:val="es-ES" w:eastAsia="ja-JP"/>
        </w:rPr>
        <w:t>–</w:t>
      </w:r>
      <w:r w:rsidRPr="0040135F">
        <w:rPr>
          <w:rFonts w:eastAsia="SimSun"/>
          <w:lang w:val="es-ES" w:eastAsia="zh-CN"/>
        </w:rPr>
        <w:tab/>
      </w:r>
      <w:r w:rsidRPr="0040135F">
        <w:rPr>
          <w:rFonts w:eastAsia="SimSun"/>
          <w:lang w:val="es-ES" w:eastAsia="ja-JP"/>
        </w:rPr>
        <w:t xml:space="preserve">Instituto de Ingenieros Eléctricos y Electrónicos </w:t>
      </w:r>
      <w:r w:rsidRPr="0040135F">
        <w:rPr>
          <w:rFonts w:eastAsia="SimSun"/>
          <w:lang w:val="es-ES" w:eastAsia="zh-CN"/>
        </w:rPr>
        <w:t>(</w:t>
      </w:r>
      <w:r w:rsidRPr="0040135F">
        <w:rPr>
          <w:rFonts w:eastAsia="SimSun"/>
          <w:lang w:val="es-ES" w:eastAsia="ja-JP"/>
        </w:rPr>
        <w:t>IEEE</w:t>
      </w:r>
      <w:r w:rsidRPr="0040135F">
        <w:rPr>
          <w:rFonts w:eastAsia="SimSun"/>
          <w:lang w:val="es-ES" w:eastAsia="zh-CN"/>
        </w:rPr>
        <w:t>)</w:t>
      </w:r>
    </w:p>
    <w:p w14:paraId="196D92C8" w14:textId="77777777" w:rsidR="00AC335B" w:rsidRPr="0040135F" w:rsidRDefault="00AC335B" w:rsidP="00AC335B">
      <w:pPr>
        <w:pStyle w:val="enumlev1"/>
        <w:rPr>
          <w:rFonts w:eastAsia="SimSun"/>
          <w:lang w:val="es-ES"/>
        </w:rPr>
      </w:pPr>
      <w:r w:rsidRPr="0040135F">
        <w:rPr>
          <w:rFonts w:eastAsia="SimSun"/>
          <w:lang w:val="es-ES" w:eastAsia="ja-JP"/>
        </w:rPr>
        <w:t>–</w:t>
      </w:r>
      <w:r w:rsidRPr="0040135F">
        <w:rPr>
          <w:rFonts w:eastAsia="SimSun"/>
          <w:lang w:val="es-ES" w:eastAsia="zh-CN"/>
        </w:rPr>
        <w:tab/>
        <w:t>Instituto Europeo de Normas de Telecomuni</w:t>
      </w:r>
      <w:r>
        <w:rPr>
          <w:rFonts w:eastAsia="SimSun"/>
          <w:lang w:val="es-ES" w:eastAsia="zh-CN"/>
        </w:rPr>
        <w:t>caciones</w:t>
      </w:r>
      <w:r w:rsidRPr="0040135F">
        <w:rPr>
          <w:rFonts w:eastAsia="SimSun"/>
          <w:lang w:val="es-ES" w:eastAsia="ja-JP"/>
        </w:rPr>
        <w:t xml:space="preserve"> (ETSI</w:t>
      </w:r>
      <w:r w:rsidRPr="0040135F">
        <w:rPr>
          <w:rFonts w:eastAsia="SimSun"/>
          <w:lang w:val="es-ES" w:eastAsia="zh-CN"/>
        </w:rPr>
        <w:t>)</w:t>
      </w:r>
      <w:r w:rsidRPr="0040135F">
        <w:rPr>
          <w:rFonts w:eastAsia="SimSun"/>
          <w:lang w:val="es-ES" w:eastAsia="ja-JP"/>
        </w:rPr>
        <w:t xml:space="preserve"> </w:t>
      </w:r>
      <w:r w:rsidRPr="0040135F">
        <w:rPr>
          <w:rFonts w:eastAsia="SimSun"/>
          <w:lang w:val="es-ES" w:eastAsia="zh-CN"/>
        </w:rPr>
        <w:t xml:space="preserve">TC </w:t>
      </w:r>
      <w:r w:rsidRPr="0040135F">
        <w:rPr>
          <w:rFonts w:eastAsia="SimSun"/>
          <w:lang w:val="es-ES" w:eastAsia="ja-JP"/>
        </w:rPr>
        <w:t>SAI</w:t>
      </w:r>
      <w:r w:rsidRPr="0040135F">
        <w:rPr>
          <w:rFonts w:eastAsia="SimSun"/>
          <w:lang w:val="es-ES" w:eastAsia="zh-CN"/>
        </w:rPr>
        <w:t xml:space="preserve"> (</w:t>
      </w:r>
      <w:r w:rsidRPr="0040135F">
        <w:rPr>
          <w:rFonts w:eastAsia="SimSun"/>
          <w:lang w:val="es-ES" w:eastAsia="ko-KR"/>
        </w:rPr>
        <w:t>Se</w:t>
      </w:r>
      <w:r>
        <w:rPr>
          <w:rFonts w:eastAsia="SimSun"/>
          <w:lang w:val="es-ES" w:eastAsia="ko-KR"/>
        </w:rPr>
        <w:t>guridad de la inteligencia artificial</w:t>
      </w:r>
      <w:r w:rsidRPr="0040135F">
        <w:rPr>
          <w:rFonts w:eastAsia="SimSun"/>
          <w:lang w:val="es-ES" w:eastAsia="zh-CN"/>
        </w:rPr>
        <w:t>)</w:t>
      </w:r>
    </w:p>
    <w:p w14:paraId="1BA4B3F6" w14:textId="77777777" w:rsidR="00AC335B" w:rsidRPr="00627958" w:rsidRDefault="00AC335B" w:rsidP="00AC335B">
      <w:pPr>
        <w:pStyle w:val="enumlev1"/>
        <w:rPr>
          <w:rFonts w:eastAsia="SimSun"/>
          <w:lang w:val="es-ES"/>
        </w:rPr>
      </w:pPr>
      <w:r w:rsidRPr="00627958">
        <w:rPr>
          <w:rFonts w:eastAsia="SimSun"/>
          <w:lang w:val="es-ES" w:eastAsia="ja-JP"/>
        </w:rPr>
        <w:t>–</w:t>
      </w:r>
      <w:r w:rsidRPr="00627958">
        <w:rPr>
          <w:rFonts w:eastAsia="SimSun"/>
          <w:lang w:val="es-ES" w:eastAsia="zh-CN"/>
        </w:rPr>
        <w:tab/>
      </w:r>
      <w:r w:rsidRPr="00627958">
        <w:rPr>
          <w:rFonts w:eastAsia="SimSun"/>
          <w:lang w:val="es-ES" w:eastAsia="ja-JP"/>
        </w:rPr>
        <w:t>CEN-CENELEC JTC 21</w:t>
      </w:r>
    </w:p>
    <w:p w14:paraId="1898ABC7" w14:textId="77777777" w:rsidR="00AC335B" w:rsidRPr="0040135F" w:rsidRDefault="00AC335B" w:rsidP="00AC335B">
      <w:pPr>
        <w:pStyle w:val="enumlev1"/>
        <w:rPr>
          <w:rFonts w:eastAsia="SimSun"/>
          <w:lang w:val="es-ES"/>
        </w:rPr>
      </w:pPr>
      <w:r w:rsidRPr="0040135F">
        <w:rPr>
          <w:rFonts w:eastAsia="SimSun"/>
          <w:lang w:val="es-ES" w:eastAsia="ja-JP"/>
        </w:rPr>
        <w:t>–</w:t>
      </w:r>
      <w:r w:rsidRPr="0040135F">
        <w:rPr>
          <w:rFonts w:eastAsia="SimSun"/>
          <w:lang w:val="es-ES"/>
        </w:rPr>
        <w:tab/>
        <w:t xml:space="preserve">Grupo Especial de Ingeniería de </w:t>
      </w:r>
      <w:r w:rsidRPr="0040135F">
        <w:rPr>
          <w:rFonts w:eastAsia="SimSun"/>
          <w:lang w:val="es-ES" w:eastAsia="ja-JP"/>
        </w:rPr>
        <w:t>Internet (IETF)</w:t>
      </w:r>
      <w:r w:rsidRPr="0040135F">
        <w:rPr>
          <w:rFonts w:eastAsia="SimSun"/>
          <w:lang w:val="es-ES" w:eastAsia="zh-CN"/>
        </w:rPr>
        <w:t xml:space="preserve"> </w:t>
      </w:r>
      <w:r w:rsidRPr="0040135F">
        <w:rPr>
          <w:rFonts w:eastAsia="SimSun"/>
          <w:lang w:val="es-ES" w:eastAsia="ko-KR"/>
        </w:rPr>
        <w:t xml:space="preserve">WG </w:t>
      </w:r>
      <w:r w:rsidRPr="0040135F">
        <w:rPr>
          <w:rFonts w:eastAsia="SimSun"/>
          <w:lang w:val="es-ES" w:eastAsia="ja-JP"/>
        </w:rPr>
        <w:t xml:space="preserve">AI </w:t>
      </w:r>
      <w:proofErr w:type="spellStart"/>
      <w:r w:rsidRPr="0040135F">
        <w:rPr>
          <w:rFonts w:eastAsia="SimSun"/>
          <w:lang w:val="es-ES" w:eastAsia="ja-JP"/>
        </w:rPr>
        <w:t>Preferences</w:t>
      </w:r>
      <w:proofErr w:type="spellEnd"/>
      <w:r w:rsidRPr="0040135F">
        <w:rPr>
          <w:rFonts w:eastAsia="SimSun"/>
          <w:lang w:val="es-ES" w:eastAsia="zh-CN"/>
        </w:rPr>
        <w:t xml:space="preserve"> (</w:t>
      </w:r>
      <w:proofErr w:type="spellStart"/>
      <w:r w:rsidRPr="0040135F">
        <w:rPr>
          <w:rFonts w:eastAsia="Malgun Gothic"/>
          <w:lang w:val="es-ES" w:eastAsia="ko-KR"/>
        </w:rPr>
        <w:t>aipref</w:t>
      </w:r>
      <w:proofErr w:type="spellEnd"/>
      <w:r w:rsidRPr="0040135F">
        <w:rPr>
          <w:rFonts w:eastAsia="SimSun"/>
          <w:lang w:val="es-ES" w:eastAsia="zh-CN"/>
        </w:rPr>
        <w:t>)</w:t>
      </w:r>
    </w:p>
    <w:p w14:paraId="3402A8BE"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ja-JP"/>
        </w:rPr>
        <w:tab/>
        <w:t xml:space="preserve">Proyecto de Asociación de Tercera </w:t>
      </w:r>
      <w:r>
        <w:rPr>
          <w:rFonts w:eastAsia="SimSun"/>
          <w:lang w:val="es-ES" w:eastAsia="ja-JP"/>
        </w:rPr>
        <w:t>Generación</w:t>
      </w:r>
      <w:r w:rsidRPr="0040135F">
        <w:rPr>
          <w:rFonts w:eastAsia="SimSun"/>
          <w:lang w:val="es-ES" w:eastAsia="ja-JP"/>
        </w:rPr>
        <w:t xml:space="preserve"> (3GPP)</w:t>
      </w:r>
    </w:p>
    <w:p w14:paraId="65104462" w14:textId="77777777" w:rsidR="00AC335B" w:rsidRPr="00627958" w:rsidRDefault="00AC335B" w:rsidP="00AC335B">
      <w:pPr>
        <w:pStyle w:val="enumlev1"/>
        <w:rPr>
          <w:rFonts w:eastAsia="SimSun"/>
          <w:lang w:val="es-ES"/>
        </w:rPr>
      </w:pPr>
      <w:r w:rsidRPr="00627958">
        <w:rPr>
          <w:rFonts w:eastAsia="SimSun"/>
          <w:lang w:val="es-ES" w:eastAsia="ja-JP"/>
        </w:rPr>
        <w:t>–</w:t>
      </w:r>
      <w:r w:rsidRPr="00627958">
        <w:rPr>
          <w:rFonts w:eastAsia="SimSun"/>
          <w:lang w:val="es-ES" w:eastAsia="zh-CN"/>
        </w:rPr>
        <w:tab/>
        <w:t xml:space="preserve">Asociación </w:t>
      </w:r>
      <w:r w:rsidRPr="00627958">
        <w:rPr>
          <w:rFonts w:eastAsia="SimSun"/>
          <w:lang w:val="es-ES" w:eastAsia="ja-JP"/>
        </w:rPr>
        <w:t>GSM (GSMA)</w:t>
      </w:r>
    </w:p>
    <w:p w14:paraId="3C1C48C1" w14:textId="77777777" w:rsidR="00AC335B" w:rsidRPr="00627958" w:rsidRDefault="00AC335B" w:rsidP="00AC335B">
      <w:pPr>
        <w:pStyle w:val="enumlev1"/>
        <w:rPr>
          <w:rFonts w:eastAsia="SimSun"/>
          <w:lang w:val="es-ES"/>
        </w:rPr>
      </w:pPr>
      <w:r w:rsidRPr="00627958">
        <w:rPr>
          <w:rFonts w:eastAsia="SimSun"/>
          <w:lang w:val="es-ES" w:eastAsia="ja-JP"/>
        </w:rPr>
        <w:t>–</w:t>
      </w:r>
      <w:r w:rsidRPr="00627958">
        <w:rPr>
          <w:rFonts w:eastAsia="SimSun"/>
          <w:lang w:val="es-ES" w:eastAsia="zh-CN"/>
        </w:rPr>
        <w:tab/>
        <w:t xml:space="preserve">Consorcio </w:t>
      </w:r>
      <w:r w:rsidRPr="00627958">
        <w:rPr>
          <w:rFonts w:eastAsia="SimSun"/>
          <w:lang w:val="es-ES" w:eastAsia="ja-JP"/>
        </w:rPr>
        <w:t>World Wide Web (W3C)</w:t>
      </w:r>
    </w:p>
    <w:p w14:paraId="241FF632" w14:textId="77777777" w:rsidR="00AC335B" w:rsidRPr="0040135F" w:rsidRDefault="00AC335B" w:rsidP="00AC335B">
      <w:pPr>
        <w:pStyle w:val="enumlev1"/>
        <w:rPr>
          <w:rFonts w:eastAsia="SimSun"/>
          <w:lang w:val="es-ES" w:eastAsia="ja-JP"/>
        </w:rPr>
      </w:pPr>
      <w:r w:rsidRPr="0040135F">
        <w:rPr>
          <w:rFonts w:eastAsia="SimSun"/>
          <w:lang w:val="es-ES" w:eastAsia="ja-JP"/>
        </w:rPr>
        <w:lastRenderedPageBreak/>
        <w:t>–</w:t>
      </w:r>
      <w:r w:rsidRPr="0040135F">
        <w:rPr>
          <w:rFonts w:eastAsia="SimSun"/>
          <w:lang w:val="es-ES" w:eastAsia="zh-CN"/>
        </w:rPr>
        <w:tab/>
        <w:t xml:space="preserve">Foro </w:t>
      </w:r>
      <w:r w:rsidRPr="0040135F">
        <w:rPr>
          <w:rFonts w:eastAsia="SimSun"/>
          <w:lang w:val="es-ES" w:eastAsia="ja-JP"/>
        </w:rPr>
        <w:t>NFC; Instituto Nacional de Normas y Tecnología (NIST</w:t>
      </w:r>
      <w:r w:rsidRPr="0040135F">
        <w:rPr>
          <w:rFonts w:eastAsia="SimSun"/>
          <w:lang w:val="es-ES" w:eastAsia="zh-CN"/>
        </w:rPr>
        <w:t>)</w:t>
      </w:r>
    </w:p>
    <w:p w14:paraId="7934AD15"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zh-CN"/>
        </w:rPr>
        <w:tab/>
      </w:r>
      <w:r w:rsidRPr="0040135F">
        <w:rPr>
          <w:rFonts w:eastAsia="SimSun"/>
          <w:lang w:val="es-ES" w:eastAsia="ja-JP"/>
        </w:rPr>
        <w:t xml:space="preserve">Alianza de Soluciones para la </w:t>
      </w:r>
      <w:r>
        <w:rPr>
          <w:rFonts w:eastAsia="SimSun"/>
          <w:lang w:val="es-ES" w:eastAsia="ja-JP"/>
        </w:rPr>
        <w:t>Industria de las Telecomunicaciones</w:t>
      </w:r>
      <w:r w:rsidRPr="0040135F">
        <w:rPr>
          <w:rFonts w:eastAsia="SimSun"/>
          <w:lang w:val="es-ES" w:eastAsia="ja-JP"/>
        </w:rPr>
        <w:t xml:space="preserve"> (ATIS)</w:t>
      </w:r>
    </w:p>
    <w:p w14:paraId="74E1056C"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ja-JP"/>
        </w:rPr>
        <w:tab/>
        <w:t xml:space="preserve">Asociación de Normalización de </w:t>
      </w:r>
      <w:r>
        <w:rPr>
          <w:rFonts w:eastAsia="SimSun"/>
          <w:lang w:val="es-ES" w:eastAsia="ja-JP"/>
        </w:rPr>
        <w:t>las Comunicaciones de China</w:t>
      </w:r>
      <w:r w:rsidRPr="0040135F">
        <w:rPr>
          <w:rFonts w:eastAsia="SimSun"/>
          <w:lang w:val="es-ES" w:eastAsia="ja-JP"/>
        </w:rPr>
        <w:t xml:space="preserve"> (CCSA)</w:t>
      </w:r>
    </w:p>
    <w:p w14:paraId="7799F7BE"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ja-JP"/>
        </w:rPr>
        <w:tab/>
        <w:t>Comité de Tecnología de las Teleco</w:t>
      </w:r>
      <w:r>
        <w:rPr>
          <w:rFonts w:eastAsia="SimSun"/>
          <w:lang w:val="es-ES" w:eastAsia="ja-JP"/>
        </w:rPr>
        <w:t>municaciones</w:t>
      </w:r>
      <w:r w:rsidRPr="0040135F">
        <w:rPr>
          <w:rFonts w:eastAsia="SimSun"/>
          <w:lang w:val="es-ES" w:eastAsia="ja-JP"/>
        </w:rPr>
        <w:t xml:space="preserve"> (TTC)</w:t>
      </w:r>
    </w:p>
    <w:p w14:paraId="68C2296F" w14:textId="77777777" w:rsidR="00AC335B" w:rsidRPr="0040135F" w:rsidRDefault="00AC335B" w:rsidP="00AC335B">
      <w:pPr>
        <w:pStyle w:val="enumlev1"/>
        <w:rPr>
          <w:rFonts w:eastAsia="SimSun"/>
          <w:lang w:val="es-ES" w:eastAsia="zh-CN"/>
        </w:rPr>
      </w:pPr>
      <w:r w:rsidRPr="0040135F">
        <w:rPr>
          <w:rFonts w:eastAsia="SimSun"/>
          <w:lang w:val="es-ES" w:eastAsia="ja-JP"/>
        </w:rPr>
        <w:t>–</w:t>
      </w:r>
      <w:r w:rsidRPr="0040135F">
        <w:rPr>
          <w:rFonts w:eastAsia="SimSun"/>
          <w:lang w:val="es-ES" w:eastAsia="ja-JP"/>
        </w:rPr>
        <w:tab/>
        <w:t xml:space="preserve">Asociación de Tecnología de las </w:t>
      </w:r>
      <w:r>
        <w:rPr>
          <w:rFonts w:eastAsia="SimSun"/>
          <w:lang w:val="es-ES" w:eastAsia="ja-JP"/>
        </w:rPr>
        <w:t>Telecomunicaciones</w:t>
      </w:r>
      <w:r w:rsidRPr="0040135F">
        <w:rPr>
          <w:rFonts w:eastAsia="SimSun"/>
          <w:lang w:val="es-ES" w:eastAsia="ja-JP"/>
        </w:rPr>
        <w:t xml:space="preserve"> (TTA)</w:t>
      </w:r>
    </w:p>
    <w:p w14:paraId="7BBC7970" w14:textId="77777777" w:rsidR="00AC335B" w:rsidRPr="0040135F" w:rsidRDefault="00AC335B" w:rsidP="00AC335B">
      <w:pPr>
        <w:pStyle w:val="Headingb0"/>
        <w:rPr>
          <w:rFonts w:eastAsia="SimSun"/>
          <w:lang w:val="es-ES" w:eastAsia="zh-CN"/>
        </w:rPr>
      </w:pPr>
      <w:r w:rsidRPr="0040135F">
        <w:rPr>
          <w:rFonts w:eastAsia="SimSun"/>
          <w:lang w:val="es-ES" w:eastAsia="ja-JP"/>
        </w:rPr>
        <w:t>Líneas de Acción de la CMSI:</w:t>
      </w:r>
      <w:r w:rsidRPr="0040135F">
        <w:rPr>
          <w:rFonts w:eastAsia="SimSun"/>
          <w:lang w:val="es-ES" w:eastAsia="zh-CN"/>
        </w:rPr>
        <w:t xml:space="preserve"> </w:t>
      </w:r>
    </w:p>
    <w:p w14:paraId="088BB008" w14:textId="77777777" w:rsidR="00AC335B" w:rsidRPr="00627958" w:rsidRDefault="00AC335B" w:rsidP="00AC335B">
      <w:pPr>
        <w:pStyle w:val="enumlev1"/>
        <w:rPr>
          <w:rFonts w:eastAsia="SimSun"/>
          <w:lang w:val="es-ES" w:eastAsia="zh-CN"/>
        </w:rPr>
      </w:pPr>
      <w:r w:rsidRPr="00627958">
        <w:rPr>
          <w:rFonts w:eastAsia="SimSun"/>
          <w:lang w:val="es-ES" w:eastAsia="ja-JP"/>
        </w:rPr>
        <w:t>–</w:t>
      </w:r>
      <w:r w:rsidRPr="00627958">
        <w:rPr>
          <w:rFonts w:eastAsia="SimSun"/>
          <w:lang w:val="es-ES" w:eastAsia="zh-CN"/>
        </w:rPr>
        <w:tab/>
      </w:r>
      <w:r w:rsidRPr="00627958">
        <w:rPr>
          <w:rFonts w:eastAsia="SimSun"/>
          <w:lang w:val="es-ES" w:eastAsia="ja-JP"/>
        </w:rPr>
        <w:t>C5</w:t>
      </w:r>
    </w:p>
    <w:p w14:paraId="71ECDD93" w14:textId="77777777" w:rsidR="00AC335B" w:rsidRPr="0040135F" w:rsidRDefault="00AC335B" w:rsidP="00AC335B">
      <w:pPr>
        <w:pStyle w:val="Headingb0"/>
        <w:rPr>
          <w:rFonts w:eastAsia="SimSun"/>
          <w:lang w:val="es-ES" w:eastAsia="zh-CN"/>
        </w:rPr>
      </w:pPr>
      <w:r w:rsidRPr="0040135F">
        <w:rPr>
          <w:rFonts w:eastAsia="SimSun"/>
          <w:lang w:val="es-ES" w:eastAsia="ja-JP"/>
        </w:rPr>
        <w:t>Objetivos de Desarrollo Sos</w:t>
      </w:r>
      <w:r>
        <w:rPr>
          <w:rFonts w:eastAsia="SimSun"/>
          <w:lang w:val="es-ES" w:eastAsia="ja-JP"/>
        </w:rPr>
        <w:t>tenible (ODS</w:t>
      </w:r>
      <w:r w:rsidRPr="0040135F">
        <w:rPr>
          <w:rFonts w:eastAsia="SimSun"/>
          <w:lang w:val="es-ES" w:eastAsia="ja-JP"/>
        </w:rPr>
        <w:t>):</w:t>
      </w:r>
      <w:r w:rsidRPr="0040135F">
        <w:rPr>
          <w:rFonts w:eastAsia="SimSun"/>
          <w:lang w:val="es-ES" w:eastAsia="zh-CN"/>
        </w:rPr>
        <w:t xml:space="preserve"> </w:t>
      </w:r>
    </w:p>
    <w:p w14:paraId="26FD32DC" w14:textId="77777777" w:rsidR="00AC335B" w:rsidRPr="00627958" w:rsidRDefault="00AC335B" w:rsidP="00AC335B">
      <w:pPr>
        <w:pStyle w:val="enumlev1"/>
        <w:rPr>
          <w:rFonts w:eastAsia="SimSun"/>
          <w:lang w:val="es-ES" w:eastAsia="zh-CN"/>
        </w:rPr>
      </w:pPr>
      <w:r w:rsidRPr="00627958">
        <w:rPr>
          <w:rFonts w:eastAsia="SimSun"/>
          <w:lang w:val="es-ES" w:eastAsia="ja-JP"/>
        </w:rPr>
        <w:t>–</w:t>
      </w:r>
      <w:r w:rsidRPr="00627958">
        <w:rPr>
          <w:rFonts w:eastAsia="SimSun"/>
          <w:lang w:val="es-ES" w:eastAsia="zh-CN"/>
        </w:rPr>
        <w:tab/>
        <w:t>ODS</w:t>
      </w:r>
      <w:r w:rsidRPr="00627958">
        <w:rPr>
          <w:rFonts w:eastAsia="SimSun"/>
          <w:lang w:val="es-ES" w:eastAsia="ja-JP"/>
        </w:rPr>
        <w:t xml:space="preserve"> </w:t>
      </w:r>
      <w:r w:rsidRPr="00627958">
        <w:rPr>
          <w:rFonts w:eastAsia="SimSun"/>
          <w:lang w:val="es-ES" w:eastAsia="zh-CN"/>
        </w:rPr>
        <w:t xml:space="preserve">3, 4, 5, </w:t>
      </w:r>
      <w:r w:rsidRPr="00627958">
        <w:rPr>
          <w:rFonts w:eastAsia="SimSun"/>
          <w:lang w:val="es-ES" w:eastAsia="ja-JP"/>
        </w:rPr>
        <w:t>8</w:t>
      </w:r>
      <w:r w:rsidRPr="00627958">
        <w:rPr>
          <w:rFonts w:eastAsia="SimSun"/>
          <w:lang w:val="es-ES" w:eastAsia="zh-CN"/>
        </w:rPr>
        <w:t>, 9, 11</w:t>
      </w:r>
    </w:p>
    <w:p w14:paraId="5A94EF79" w14:textId="77777777" w:rsidR="00AC335B" w:rsidRPr="00627958" w:rsidRDefault="00AC335B" w:rsidP="00AC335B">
      <w:pPr>
        <w:rPr>
          <w:lang w:val="es-ES"/>
        </w:rPr>
      </w:pPr>
    </w:p>
    <w:p w14:paraId="1EB3CEB9" w14:textId="77777777" w:rsidR="00AC335B" w:rsidRPr="00627958" w:rsidRDefault="00AC335B" w:rsidP="00AC335B">
      <w:pPr>
        <w:rPr>
          <w:lang w:val="es-ES"/>
        </w:rPr>
      </w:pPr>
      <w:r w:rsidRPr="00627958">
        <w:rPr>
          <w:lang w:val="es-ES"/>
        </w:rPr>
        <w:br w:type="page"/>
      </w:r>
    </w:p>
    <w:p w14:paraId="730E59E8" w14:textId="0D5BF9EC" w:rsidR="00AC335B" w:rsidRPr="006C311D" w:rsidRDefault="00AC335B" w:rsidP="00CF0EAA">
      <w:pPr>
        <w:pStyle w:val="Annextitle0"/>
        <w:rPr>
          <w:lang w:val="es-ES"/>
        </w:rPr>
      </w:pPr>
      <w:r w:rsidRPr="006C311D">
        <w:rPr>
          <w:lang w:val="es-ES"/>
        </w:rPr>
        <w:lastRenderedPageBreak/>
        <w:t>Anexo 2</w:t>
      </w:r>
      <w:r w:rsidRPr="006C311D">
        <w:rPr>
          <w:lang w:val="es-ES"/>
        </w:rPr>
        <w:br/>
      </w:r>
      <w:r w:rsidRPr="0014722E">
        <w:rPr>
          <w:lang w:val="es-ES"/>
        </w:rPr>
        <w:t>Asunto</w:t>
      </w:r>
      <w:r w:rsidRPr="006C311D">
        <w:rPr>
          <w:lang w:val="es-ES"/>
        </w:rPr>
        <w:t>: Respuesta de Estado Miembro a la Circular TSB 101:</w:t>
      </w:r>
      <w:r w:rsidRPr="006C311D">
        <w:rPr>
          <w:lang w:val="es-ES"/>
        </w:rPr>
        <w:br/>
        <w:t>Consulta sobre la aprobación de Cues</w:t>
      </w:r>
      <w:r>
        <w:rPr>
          <w:lang w:val="es-ES"/>
        </w:rPr>
        <w:t>tiones nuevas y revisadas</w:t>
      </w:r>
      <w:r w:rsidR="00CD15F4">
        <w:rPr>
          <w:lang w:val="es-ES"/>
        </w:rPr>
        <w:br/>
      </w:r>
      <w:r>
        <w:rPr>
          <w:lang w:val="es-ES"/>
        </w:rPr>
        <w:t>de la</w:t>
      </w:r>
      <w:r w:rsidR="00CD15F4">
        <w:rPr>
          <w:lang w:val="es-ES"/>
        </w:rPr>
        <w:t xml:space="preserve"> C</w:t>
      </w:r>
      <w:r>
        <w:rPr>
          <w:lang w:val="es-ES"/>
        </w:rPr>
        <w:t>omisión de Estudio 17 del UIT-T</w:t>
      </w:r>
    </w:p>
    <w:tbl>
      <w:tblPr>
        <w:tblW w:w="9957" w:type="dxa"/>
        <w:tblInd w:w="-176" w:type="dxa"/>
        <w:tblLayout w:type="fixed"/>
        <w:tblLook w:val="04A0" w:firstRow="1" w:lastRow="0" w:firstColumn="1" w:lastColumn="0" w:noHBand="0" w:noVBand="1"/>
      </w:tblPr>
      <w:tblGrid>
        <w:gridCol w:w="1169"/>
        <w:gridCol w:w="4394"/>
        <w:gridCol w:w="992"/>
        <w:gridCol w:w="3402"/>
      </w:tblGrid>
      <w:tr w:rsidR="00AC335B" w:rsidRPr="00627958" w14:paraId="3FE16964" w14:textId="77777777" w:rsidTr="00CD15F4">
        <w:tc>
          <w:tcPr>
            <w:tcW w:w="1169" w:type="dxa"/>
          </w:tcPr>
          <w:p w14:paraId="089C1D29" w14:textId="77777777" w:rsidR="00AC335B" w:rsidRPr="00235862" w:rsidRDefault="00AC335B" w:rsidP="00B058FC">
            <w:pPr>
              <w:jc w:val="right"/>
              <w:rPr>
                <w:rFonts w:cstheme="minorHAnsi"/>
                <w:sz w:val="22"/>
                <w:szCs w:val="22"/>
              </w:rPr>
            </w:pPr>
            <w:r>
              <w:rPr>
                <w:rFonts w:cstheme="minorHAnsi"/>
                <w:b/>
                <w:bCs/>
                <w:sz w:val="22"/>
                <w:szCs w:val="22"/>
              </w:rPr>
              <w:t>A</w:t>
            </w:r>
            <w:r w:rsidRPr="00235862">
              <w:rPr>
                <w:rFonts w:cstheme="minorHAnsi"/>
                <w:sz w:val="22"/>
                <w:szCs w:val="22"/>
              </w:rPr>
              <w:t>:</w:t>
            </w:r>
          </w:p>
        </w:tc>
        <w:tc>
          <w:tcPr>
            <w:tcW w:w="4394" w:type="dxa"/>
            <w:tcBorders>
              <w:right w:val="single" w:sz="8" w:space="0" w:color="auto"/>
            </w:tcBorders>
          </w:tcPr>
          <w:p w14:paraId="68175561" w14:textId="77777777" w:rsidR="00AC335B" w:rsidRPr="006C311D" w:rsidRDefault="00AC335B" w:rsidP="00B058FC">
            <w:pPr>
              <w:rPr>
                <w:rFonts w:cstheme="minorHAnsi"/>
                <w:sz w:val="22"/>
                <w:szCs w:val="22"/>
                <w:lang w:val="es-ES"/>
              </w:rPr>
            </w:pPr>
            <w:r w:rsidRPr="006C311D">
              <w:rPr>
                <w:rFonts w:cstheme="minorHAnsi"/>
                <w:sz w:val="22"/>
                <w:szCs w:val="22"/>
                <w:lang w:val="es-ES"/>
              </w:rPr>
              <w:t xml:space="preserve">Director de la Oficina de </w:t>
            </w:r>
            <w:r w:rsidRPr="006C311D">
              <w:rPr>
                <w:rFonts w:cstheme="minorHAnsi"/>
                <w:sz w:val="22"/>
                <w:szCs w:val="22"/>
                <w:lang w:val="es-ES"/>
              </w:rPr>
              <w:br/>
            </w:r>
            <w:r>
              <w:rPr>
                <w:rFonts w:cstheme="minorHAnsi"/>
                <w:sz w:val="22"/>
                <w:szCs w:val="22"/>
                <w:lang w:val="es-ES"/>
              </w:rPr>
              <w:t>Normalización de las Telecomunicaciones</w:t>
            </w:r>
            <w:r w:rsidRPr="006C311D">
              <w:rPr>
                <w:rFonts w:cstheme="minorHAnsi"/>
                <w:sz w:val="22"/>
                <w:szCs w:val="22"/>
                <w:lang w:val="es-ES"/>
              </w:rPr>
              <w:t>,</w:t>
            </w:r>
          </w:p>
          <w:p w14:paraId="62335FE0" w14:textId="77777777" w:rsidR="00AC335B" w:rsidRPr="00627958" w:rsidRDefault="00AC335B" w:rsidP="00B058FC">
            <w:pPr>
              <w:spacing w:before="0"/>
              <w:rPr>
                <w:rFonts w:cstheme="minorHAnsi"/>
                <w:sz w:val="22"/>
                <w:szCs w:val="22"/>
                <w:lang w:val="es-ES"/>
              </w:rPr>
            </w:pPr>
            <w:r w:rsidRPr="00627958">
              <w:rPr>
                <w:rFonts w:cstheme="minorHAnsi"/>
                <w:sz w:val="22"/>
                <w:szCs w:val="22"/>
                <w:lang w:val="es-ES"/>
              </w:rPr>
              <w:t>Unión Internacional de Telecomunicaciones</w:t>
            </w:r>
          </w:p>
          <w:p w14:paraId="67F1F4F5" w14:textId="77777777" w:rsidR="00AC335B" w:rsidRPr="00627958" w:rsidRDefault="00AC335B" w:rsidP="00B058FC">
            <w:pPr>
              <w:spacing w:before="0"/>
              <w:rPr>
                <w:rFonts w:cstheme="minorHAnsi"/>
                <w:sz w:val="22"/>
                <w:szCs w:val="22"/>
                <w:lang w:val="es-ES"/>
              </w:rPr>
            </w:pPr>
            <w:r w:rsidRPr="00627958">
              <w:rPr>
                <w:rFonts w:cstheme="minorHAnsi"/>
                <w:sz w:val="22"/>
                <w:szCs w:val="22"/>
                <w:lang w:val="es-ES"/>
              </w:rPr>
              <w:t>Place des Nations</w:t>
            </w:r>
          </w:p>
          <w:p w14:paraId="484F3A03" w14:textId="77777777" w:rsidR="00AC335B" w:rsidRPr="00235862" w:rsidRDefault="00AC335B" w:rsidP="00B058FC">
            <w:pPr>
              <w:spacing w:before="0"/>
              <w:rPr>
                <w:rFonts w:cstheme="minorHAnsi"/>
                <w:sz w:val="22"/>
                <w:szCs w:val="22"/>
              </w:rPr>
            </w:pPr>
            <w:r w:rsidRPr="00235862">
              <w:rPr>
                <w:rFonts w:cstheme="minorHAnsi"/>
                <w:sz w:val="22"/>
                <w:szCs w:val="22"/>
              </w:rPr>
              <w:t>CH 1211 G</w:t>
            </w:r>
            <w:r>
              <w:rPr>
                <w:rFonts w:cstheme="minorHAnsi"/>
                <w:sz w:val="22"/>
                <w:szCs w:val="22"/>
              </w:rPr>
              <w:t>inebra</w:t>
            </w:r>
            <w:r w:rsidRPr="00235862">
              <w:rPr>
                <w:rFonts w:cstheme="minorHAnsi"/>
                <w:sz w:val="22"/>
                <w:szCs w:val="22"/>
              </w:rPr>
              <w:t xml:space="preserve"> 20, S</w:t>
            </w:r>
            <w:r>
              <w:rPr>
                <w:rFonts w:cstheme="minorHAnsi"/>
                <w:sz w:val="22"/>
                <w:szCs w:val="22"/>
              </w:rPr>
              <w:t>uiza</w:t>
            </w:r>
          </w:p>
        </w:tc>
        <w:tc>
          <w:tcPr>
            <w:tcW w:w="992" w:type="dxa"/>
            <w:tcBorders>
              <w:left w:val="single" w:sz="8" w:space="0" w:color="auto"/>
            </w:tcBorders>
          </w:tcPr>
          <w:p w14:paraId="22716B38" w14:textId="77777777" w:rsidR="00AC335B" w:rsidRPr="00235862" w:rsidRDefault="00AC335B" w:rsidP="00B058FC">
            <w:pPr>
              <w:jc w:val="right"/>
              <w:rPr>
                <w:rFonts w:cstheme="minorHAnsi"/>
                <w:sz w:val="22"/>
                <w:szCs w:val="22"/>
              </w:rPr>
            </w:pPr>
            <w:r>
              <w:rPr>
                <w:rFonts w:cstheme="minorHAnsi"/>
                <w:b/>
                <w:bCs/>
                <w:sz w:val="22"/>
                <w:szCs w:val="22"/>
              </w:rPr>
              <w:t>De</w:t>
            </w:r>
            <w:r w:rsidRPr="00235862">
              <w:rPr>
                <w:rFonts w:cstheme="minorHAnsi"/>
                <w:sz w:val="22"/>
                <w:szCs w:val="22"/>
              </w:rPr>
              <w:t>:</w:t>
            </w:r>
          </w:p>
        </w:tc>
        <w:tc>
          <w:tcPr>
            <w:tcW w:w="3402" w:type="dxa"/>
          </w:tcPr>
          <w:p w14:paraId="742B0CEC" w14:textId="77777777" w:rsidR="00AC335B" w:rsidRPr="006C311D" w:rsidRDefault="00AC335B" w:rsidP="00B058FC">
            <w:pPr>
              <w:rPr>
                <w:rFonts w:cstheme="minorHAnsi"/>
                <w:sz w:val="22"/>
                <w:szCs w:val="22"/>
                <w:highlight w:val="green"/>
                <w:lang w:val="es-ES"/>
              </w:rPr>
            </w:pPr>
            <w:r w:rsidRPr="006C311D">
              <w:rPr>
                <w:rFonts w:cstheme="minorHAnsi"/>
                <w:sz w:val="22"/>
                <w:szCs w:val="22"/>
                <w:highlight w:val="green"/>
                <w:lang w:val="es-ES"/>
              </w:rPr>
              <w:t>[Nombre]</w:t>
            </w:r>
          </w:p>
          <w:p w14:paraId="329BA1D0" w14:textId="77777777" w:rsidR="00AC335B" w:rsidRPr="006C311D" w:rsidRDefault="00AC335B" w:rsidP="00B058FC">
            <w:pPr>
              <w:spacing w:before="0"/>
              <w:rPr>
                <w:rFonts w:cstheme="minorHAnsi"/>
                <w:sz w:val="22"/>
                <w:szCs w:val="22"/>
                <w:highlight w:val="green"/>
                <w:lang w:val="es-ES"/>
              </w:rPr>
            </w:pPr>
            <w:r w:rsidRPr="006C311D">
              <w:rPr>
                <w:rFonts w:cstheme="minorHAnsi"/>
                <w:sz w:val="22"/>
                <w:szCs w:val="22"/>
                <w:highlight w:val="green"/>
                <w:lang w:val="es-ES"/>
              </w:rPr>
              <w:t>[Cargo oficial/título]</w:t>
            </w:r>
          </w:p>
          <w:p w14:paraId="179B6794" w14:textId="77777777" w:rsidR="00AC335B" w:rsidRPr="00627958" w:rsidRDefault="00AC335B" w:rsidP="00B058FC">
            <w:pPr>
              <w:spacing w:before="0"/>
              <w:rPr>
                <w:rFonts w:cstheme="minorHAnsi"/>
                <w:sz w:val="22"/>
                <w:szCs w:val="22"/>
                <w:lang w:val="es-ES"/>
              </w:rPr>
            </w:pPr>
            <w:r w:rsidRPr="00627958">
              <w:rPr>
                <w:rFonts w:cstheme="minorHAnsi"/>
                <w:sz w:val="22"/>
                <w:szCs w:val="22"/>
                <w:highlight w:val="green"/>
                <w:lang w:val="es-ES"/>
              </w:rPr>
              <w:t>[Dirección]</w:t>
            </w:r>
          </w:p>
        </w:tc>
      </w:tr>
      <w:tr w:rsidR="00AC335B" w:rsidRPr="00235862" w14:paraId="08779CE2" w14:textId="77777777" w:rsidTr="00CD15F4">
        <w:tc>
          <w:tcPr>
            <w:tcW w:w="1169" w:type="dxa"/>
          </w:tcPr>
          <w:p w14:paraId="4594E5E3" w14:textId="77777777" w:rsidR="00AC335B" w:rsidRPr="00235862" w:rsidRDefault="00AC335B" w:rsidP="00B058FC">
            <w:pPr>
              <w:spacing w:before="0"/>
              <w:jc w:val="right"/>
              <w:rPr>
                <w:rFonts w:cstheme="minorHAnsi"/>
                <w:sz w:val="22"/>
                <w:szCs w:val="22"/>
              </w:rPr>
            </w:pPr>
            <w:r w:rsidRPr="00235862">
              <w:rPr>
                <w:rFonts w:cstheme="minorHAnsi"/>
                <w:b/>
                <w:bCs/>
                <w:sz w:val="22"/>
                <w:szCs w:val="22"/>
              </w:rPr>
              <w:t>Fax</w:t>
            </w:r>
            <w:r w:rsidRPr="00235862">
              <w:rPr>
                <w:rFonts w:cstheme="minorHAnsi"/>
                <w:sz w:val="22"/>
                <w:szCs w:val="22"/>
              </w:rPr>
              <w:t>:</w:t>
            </w:r>
          </w:p>
        </w:tc>
        <w:tc>
          <w:tcPr>
            <w:tcW w:w="4394" w:type="dxa"/>
            <w:tcBorders>
              <w:right w:val="single" w:sz="8" w:space="0" w:color="auto"/>
            </w:tcBorders>
          </w:tcPr>
          <w:p w14:paraId="7C441705" w14:textId="77777777" w:rsidR="00AC335B" w:rsidRPr="00235862" w:rsidRDefault="00AC335B" w:rsidP="00B058FC">
            <w:pPr>
              <w:spacing w:before="0"/>
              <w:rPr>
                <w:rFonts w:cstheme="minorHAnsi"/>
                <w:sz w:val="22"/>
                <w:szCs w:val="22"/>
              </w:rPr>
            </w:pPr>
            <w:r w:rsidRPr="00235862">
              <w:rPr>
                <w:rFonts w:cstheme="minorHAnsi"/>
                <w:sz w:val="22"/>
                <w:szCs w:val="22"/>
              </w:rPr>
              <w:t>+41-22-730-5853</w:t>
            </w:r>
          </w:p>
        </w:tc>
        <w:tc>
          <w:tcPr>
            <w:tcW w:w="992" w:type="dxa"/>
            <w:tcBorders>
              <w:left w:val="single" w:sz="8" w:space="0" w:color="auto"/>
            </w:tcBorders>
          </w:tcPr>
          <w:p w14:paraId="5B3407B0" w14:textId="77777777" w:rsidR="00AC335B" w:rsidRPr="00235862" w:rsidRDefault="00AC335B" w:rsidP="00B058FC">
            <w:pPr>
              <w:spacing w:before="0"/>
              <w:jc w:val="right"/>
              <w:rPr>
                <w:rFonts w:cstheme="minorHAnsi"/>
                <w:sz w:val="22"/>
                <w:szCs w:val="22"/>
              </w:rPr>
            </w:pPr>
            <w:r w:rsidRPr="00235862">
              <w:rPr>
                <w:rFonts w:cstheme="minorHAnsi"/>
                <w:b/>
                <w:bCs/>
                <w:sz w:val="22"/>
                <w:szCs w:val="22"/>
              </w:rPr>
              <w:t>Fax</w:t>
            </w:r>
            <w:r w:rsidRPr="00235862">
              <w:rPr>
                <w:rFonts w:cstheme="minorHAnsi"/>
                <w:sz w:val="22"/>
                <w:szCs w:val="22"/>
              </w:rPr>
              <w:t>:</w:t>
            </w:r>
          </w:p>
        </w:tc>
        <w:tc>
          <w:tcPr>
            <w:tcW w:w="3402" w:type="dxa"/>
          </w:tcPr>
          <w:p w14:paraId="7617C1ED" w14:textId="77777777" w:rsidR="00AC335B" w:rsidRPr="00235862" w:rsidRDefault="00AC335B" w:rsidP="00B058FC">
            <w:pPr>
              <w:spacing w:before="0"/>
              <w:rPr>
                <w:rFonts w:cstheme="minorHAnsi"/>
                <w:sz w:val="22"/>
                <w:szCs w:val="22"/>
              </w:rPr>
            </w:pPr>
          </w:p>
        </w:tc>
      </w:tr>
      <w:tr w:rsidR="00AC335B" w:rsidRPr="00235862" w14:paraId="6AE23D97" w14:textId="77777777" w:rsidTr="00CD15F4">
        <w:tc>
          <w:tcPr>
            <w:tcW w:w="1169" w:type="dxa"/>
          </w:tcPr>
          <w:p w14:paraId="6FCA4046" w14:textId="77777777" w:rsidR="00AC335B" w:rsidRPr="00235862" w:rsidRDefault="00AC335B" w:rsidP="00B058FC">
            <w:pPr>
              <w:spacing w:before="0"/>
              <w:jc w:val="right"/>
              <w:rPr>
                <w:rFonts w:cstheme="minorHAnsi"/>
                <w:sz w:val="22"/>
                <w:szCs w:val="22"/>
              </w:rPr>
            </w:pPr>
            <w:r>
              <w:rPr>
                <w:rFonts w:cstheme="minorHAnsi"/>
                <w:b/>
                <w:bCs/>
                <w:sz w:val="22"/>
                <w:szCs w:val="22"/>
              </w:rPr>
              <w:t>Correo-e</w:t>
            </w:r>
            <w:r w:rsidRPr="00235862">
              <w:rPr>
                <w:rFonts w:cstheme="minorHAnsi"/>
                <w:sz w:val="22"/>
                <w:szCs w:val="22"/>
              </w:rPr>
              <w:t>:</w:t>
            </w:r>
          </w:p>
        </w:tc>
        <w:tc>
          <w:tcPr>
            <w:tcW w:w="4394" w:type="dxa"/>
            <w:tcBorders>
              <w:right w:val="single" w:sz="8" w:space="0" w:color="auto"/>
            </w:tcBorders>
          </w:tcPr>
          <w:p w14:paraId="3D10A3C8" w14:textId="77777777" w:rsidR="00AC335B" w:rsidRPr="00235862" w:rsidRDefault="00AC335B" w:rsidP="00B058FC">
            <w:pPr>
              <w:spacing w:before="0"/>
              <w:rPr>
                <w:rFonts w:cstheme="minorHAnsi"/>
                <w:sz w:val="22"/>
                <w:szCs w:val="22"/>
              </w:rPr>
            </w:pPr>
            <w:hyperlink r:id="rId14" w:history="1">
              <w:r w:rsidRPr="00235862">
                <w:rPr>
                  <w:rStyle w:val="Hyperlink"/>
                  <w:rFonts w:cstheme="minorHAnsi"/>
                  <w:sz w:val="22"/>
                  <w:szCs w:val="22"/>
                </w:rPr>
                <w:t>tsbdir@itu.int</w:t>
              </w:r>
            </w:hyperlink>
            <w:r w:rsidRPr="00235862">
              <w:rPr>
                <w:rFonts w:cstheme="minorHAnsi"/>
                <w:sz w:val="22"/>
                <w:szCs w:val="22"/>
              </w:rPr>
              <w:t xml:space="preserve"> </w:t>
            </w:r>
          </w:p>
        </w:tc>
        <w:tc>
          <w:tcPr>
            <w:tcW w:w="992" w:type="dxa"/>
            <w:tcBorders>
              <w:left w:val="single" w:sz="8" w:space="0" w:color="auto"/>
            </w:tcBorders>
          </w:tcPr>
          <w:p w14:paraId="42680E4A" w14:textId="77777777" w:rsidR="00AC335B" w:rsidRPr="00235862" w:rsidRDefault="00AC335B" w:rsidP="00B058FC">
            <w:pPr>
              <w:spacing w:before="0"/>
              <w:jc w:val="right"/>
              <w:rPr>
                <w:rFonts w:cstheme="minorHAnsi"/>
                <w:sz w:val="22"/>
                <w:szCs w:val="22"/>
              </w:rPr>
            </w:pPr>
            <w:r>
              <w:rPr>
                <w:rFonts w:cstheme="minorHAnsi"/>
                <w:b/>
                <w:bCs/>
                <w:sz w:val="22"/>
                <w:szCs w:val="22"/>
              </w:rPr>
              <w:t>Correo-e</w:t>
            </w:r>
            <w:r w:rsidRPr="00235862">
              <w:rPr>
                <w:rFonts w:cstheme="minorHAnsi"/>
                <w:sz w:val="22"/>
                <w:szCs w:val="22"/>
              </w:rPr>
              <w:t>:</w:t>
            </w:r>
          </w:p>
        </w:tc>
        <w:tc>
          <w:tcPr>
            <w:tcW w:w="3402" w:type="dxa"/>
          </w:tcPr>
          <w:p w14:paraId="2CF91688" w14:textId="77777777" w:rsidR="00AC335B" w:rsidRPr="00235862" w:rsidRDefault="00AC335B" w:rsidP="00B058FC">
            <w:pPr>
              <w:spacing w:before="0"/>
              <w:rPr>
                <w:rFonts w:cstheme="minorHAnsi"/>
                <w:sz w:val="22"/>
                <w:szCs w:val="22"/>
              </w:rPr>
            </w:pPr>
          </w:p>
        </w:tc>
      </w:tr>
      <w:tr w:rsidR="00AC335B" w:rsidRPr="00235862" w14:paraId="41D260E7" w14:textId="77777777" w:rsidTr="00CD15F4">
        <w:tc>
          <w:tcPr>
            <w:tcW w:w="1169" w:type="dxa"/>
          </w:tcPr>
          <w:p w14:paraId="0461B010" w14:textId="77777777" w:rsidR="00AC335B" w:rsidRPr="00235862" w:rsidRDefault="00AC335B" w:rsidP="00B058FC">
            <w:pPr>
              <w:spacing w:before="0"/>
              <w:jc w:val="right"/>
              <w:rPr>
                <w:rFonts w:cstheme="minorHAnsi"/>
                <w:sz w:val="22"/>
                <w:szCs w:val="22"/>
              </w:rPr>
            </w:pPr>
          </w:p>
        </w:tc>
        <w:tc>
          <w:tcPr>
            <w:tcW w:w="4394" w:type="dxa"/>
            <w:tcBorders>
              <w:right w:val="single" w:sz="8" w:space="0" w:color="auto"/>
            </w:tcBorders>
          </w:tcPr>
          <w:p w14:paraId="32AC0000" w14:textId="77777777" w:rsidR="00AC335B" w:rsidRPr="00235862" w:rsidRDefault="00AC335B" w:rsidP="00B058FC">
            <w:pPr>
              <w:spacing w:before="0"/>
              <w:rPr>
                <w:rFonts w:cstheme="minorHAnsi"/>
                <w:sz w:val="22"/>
                <w:szCs w:val="22"/>
              </w:rPr>
            </w:pPr>
          </w:p>
        </w:tc>
        <w:tc>
          <w:tcPr>
            <w:tcW w:w="992" w:type="dxa"/>
            <w:tcBorders>
              <w:left w:val="single" w:sz="8" w:space="0" w:color="auto"/>
            </w:tcBorders>
          </w:tcPr>
          <w:p w14:paraId="0B88BD98" w14:textId="77777777" w:rsidR="00AC335B" w:rsidRPr="00235862" w:rsidRDefault="00AC335B" w:rsidP="00B058FC">
            <w:pPr>
              <w:spacing w:before="0"/>
              <w:jc w:val="right"/>
              <w:rPr>
                <w:rFonts w:cstheme="minorHAnsi"/>
                <w:sz w:val="22"/>
                <w:szCs w:val="22"/>
              </w:rPr>
            </w:pPr>
            <w:r>
              <w:rPr>
                <w:rFonts w:cstheme="minorHAnsi"/>
                <w:b/>
                <w:bCs/>
                <w:sz w:val="22"/>
                <w:szCs w:val="22"/>
              </w:rPr>
              <w:t>Fecha</w:t>
            </w:r>
            <w:r w:rsidRPr="00235862">
              <w:rPr>
                <w:rFonts w:cstheme="minorHAnsi"/>
                <w:sz w:val="22"/>
                <w:szCs w:val="22"/>
              </w:rPr>
              <w:t>:</w:t>
            </w:r>
          </w:p>
        </w:tc>
        <w:tc>
          <w:tcPr>
            <w:tcW w:w="3402" w:type="dxa"/>
          </w:tcPr>
          <w:p w14:paraId="17DE2F89" w14:textId="77777777" w:rsidR="00AC335B" w:rsidRPr="00235862" w:rsidRDefault="00AC335B" w:rsidP="00B058FC">
            <w:pPr>
              <w:spacing w:before="0"/>
              <w:rPr>
                <w:rFonts w:cstheme="minorHAnsi"/>
                <w:sz w:val="22"/>
                <w:szCs w:val="22"/>
              </w:rPr>
            </w:pPr>
            <w:r w:rsidRPr="00235862">
              <w:rPr>
                <w:rFonts w:cstheme="minorHAnsi"/>
                <w:sz w:val="22"/>
                <w:szCs w:val="22"/>
                <w:highlight w:val="green"/>
              </w:rPr>
              <w:t>[</w:t>
            </w:r>
            <w:r>
              <w:rPr>
                <w:rFonts w:cstheme="minorHAnsi"/>
                <w:sz w:val="22"/>
                <w:szCs w:val="22"/>
                <w:highlight w:val="green"/>
              </w:rPr>
              <w:t>Lugar</w:t>
            </w:r>
            <w:r w:rsidRPr="00235862">
              <w:rPr>
                <w:rFonts w:cstheme="minorHAnsi"/>
                <w:sz w:val="22"/>
                <w:szCs w:val="22"/>
                <w:highlight w:val="green"/>
              </w:rPr>
              <w:t>,] [</w:t>
            </w:r>
            <w:r>
              <w:rPr>
                <w:rFonts w:cstheme="minorHAnsi"/>
                <w:sz w:val="22"/>
                <w:szCs w:val="22"/>
                <w:highlight w:val="green"/>
              </w:rPr>
              <w:t>fecha</w:t>
            </w:r>
            <w:r w:rsidRPr="00235862">
              <w:rPr>
                <w:rFonts w:cstheme="minorHAnsi"/>
                <w:sz w:val="22"/>
                <w:szCs w:val="22"/>
                <w:highlight w:val="green"/>
              </w:rPr>
              <w:t>]</w:t>
            </w:r>
          </w:p>
        </w:tc>
      </w:tr>
    </w:tbl>
    <w:p w14:paraId="3EDC585B" w14:textId="77777777" w:rsidR="00AC335B" w:rsidRPr="006C311D" w:rsidRDefault="00AC335B" w:rsidP="00AC335B">
      <w:pPr>
        <w:spacing w:before="360"/>
        <w:rPr>
          <w:rFonts w:cstheme="minorHAnsi"/>
          <w:sz w:val="22"/>
          <w:szCs w:val="22"/>
          <w:lang w:val="es-ES"/>
        </w:rPr>
      </w:pPr>
      <w:r w:rsidRPr="006C311D">
        <w:rPr>
          <w:rFonts w:cstheme="minorHAnsi"/>
          <w:sz w:val="22"/>
          <w:szCs w:val="22"/>
          <w:lang w:val="es-ES"/>
        </w:rPr>
        <w:t>Muy Señora mía/Muy Señor mío:</w:t>
      </w:r>
    </w:p>
    <w:p w14:paraId="26367E1E" w14:textId="77777777" w:rsidR="00AC335B" w:rsidRPr="006C311D" w:rsidRDefault="00AC335B" w:rsidP="00CF0EAA">
      <w:pPr>
        <w:spacing w:after="120"/>
        <w:rPr>
          <w:rFonts w:cstheme="minorHAnsi"/>
          <w:sz w:val="22"/>
          <w:szCs w:val="22"/>
          <w:lang w:val="es-ES"/>
        </w:rPr>
      </w:pPr>
      <w:r w:rsidRPr="006C311D">
        <w:rPr>
          <w:rFonts w:cstheme="minorHAnsi"/>
          <w:sz w:val="22"/>
          <w:szCs w:val="22"/>
          <w:lang w:val="es-ES"/>
        </w:rPr>
        <w:t xml:space="preserve">En lo que respecta a la consulta a los Estados Miembros sobre la aprobación de las Cuestiones nuevas y revisadas de la Comisión de Estudio 17 del UIT-T enumeradas en la </w:t>
      </w:r>
      <w:hyperlink r:id="rId15" w:history="1">
        <w:r w:rsidRPr="006C311D">
          <w:rPr>
            <w:rStyle w:val="Hyperlink"/>
            <w:rFonts w:cstheme="minorHAnsi"/>
            <w:sz w:val="22"/>
            <w:szCs w:val="22"/>
            <w:lang w:val="es-ES"/>
          </w:rPr>
          <w:t xml:space="preserve">Circular </w:t>
        </w:r>
        <w:r>
          <w:rPr>
            <w:rStyle w:val="Hyperlink"/>
            <w:rFonts w:cstheme="minorHAnsi"/>
            <w:sz w:val="22"/>
            <w:szCs w:val="22"/>
            <w:lang w:val="es-ES"/>
          </w:rPr>
          <w:t xml:space="preserve">TSB </w:t>
        </w:r>
        <w:r w:rsidRPr="006C311D">
          <w:rPr>
            <w:rStyle w:val="Hyperlink"/>
            <w:rFonts w:cstheme="minorHAnsi"/>
            <w:sz w:val="22"/>
            <w:szCs w:val="22"/>
            <w:lang w:val="es-ES"/>
          </w:rPr>
          <w:t>101</w:t>
        </w:r>
      </w:hyperlink>
      <w:r w:rsidRPr="006C311D">
        <w:rPr>
          <w:rFonts w:cstheme="minorHAnsi"/>
          <w:sz w:val="22"/>
          <w:szCs w:val="22"/>
          <w:lang w:val="es-ES"/>
        </w:rPr>
        <w:t xml:space="preserve">, </w:t>
      </w:r>
      <w:r>
        <w:rPr>
          <w:rFonts w:cstheme="minorHAnsi"/>
          <w:sz w:val="22"/>
          <w:szCs w:val="22"/>
          <w:lang w:val="es-ES"/>
        </w:rPr>
        <w:t>deseo informarle de la opinión de esta Administración, que se refleja en el siguiente cuadro</w:t>
      </w:r>
      <w:r w:rsidRPr="006C311D">
        <w:rPr>
          <w:rFonts w:cstheme="minorHAnsi"/>
          <w:sz w:val="22"/>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2"/>
      </w:tblGrid>
      <w:tr w:rsidR="00AC335B" w:rsidRPr="00627958" w14:paraId="0AD9C2DC" w14:textId="77777777" w:rsidTr="00B058FC">
        <w:trPr>
          <w:tblHeader/>
        </w:trPr>
        <w:tc>
          <w:tcPr>
            <w:tcW w:w="2547" w:type="dxa"/>
            <w:vAlign w:val="center"/>
          </w:tcPr>
          <w:p w14:paraId="3C530403" w14:textId="77777777" w:rsidR="00AC335B" w:rsidRPr="006C311D" w:rsidRDefault="00AC335B" w:rsidP="00B058FC">
            <w:pPr>
              <w:spacing w:after="120"/>
              <w:jc w:val="center"/>
              <w:rPr>
                <w:rFonts w:cstheme="minorHAnsi"/>
                <w:b/>
                <w:bCs/>
                <w:sz w:val="22"/>
                <w:szCs w:val="22"/>
                <w:lang w:val="es-ES"/>
              </w:rPr>
            </w:pPr>
          </w:p>
        </w:tc>
        <w:tc>
          <w:tcPr>
            <w:tcW w:w="7082" w:type="dxa"/>
            <w:vAlign w:val="center"/>
          </w:tcPr>
          <w:p w14:paraId="57CDBD08" w14:textId="77777777" w:rsidR="00AC335B" w:rsidRPr="00627958" w:rsidRDefault="00AC335B" w:rsidP="00B058FC">
            <w:pPr>
              <w:tabs>
                <w:tab w:val="clear" w:pos="794"/>
                <w:tab w:val="clear" w:pos="1191"/>
                <w:tab w:val="clear" w:pos="1588"/>
                <w:tab w:val="clear" w:pos="1985"/>
              </w:tabs>
              <w:spacing w:after="120"/>
              <w:ind w:left="939" w:hanging="459"/>
              <w:jc w:val="center"/>
              <w:rPr>
                <w:rFonts w:cstheme="minorHAnsi"/>
                <w:b/>
                <w:bCs/>
                <w:sz w:val="22"/>
                <w:szCs w:val="22"/>
                <w:lang w:val="es-ES"/>
              </w:rPr>
            </w:pPr>
            <w:r w:rsidRPr="00627958">
              <w:rPr>
                <w:rFonts w:cstheme="minorHAnsi"/>
                <w:b/>
                <w:bCs/>
                <w:sz w:val="22"/>
                <w:szCs w:val="22"/>
                <w:lang w:val="es-ES"/>
              </w:rPr>
              <w:t>Selecciones una de las dos casillas</w:t>
            </w:r>
          </w:p>
        </w:tc>
      </w:tr>
      <w:tr w:rsidR="00AC335B" w:rsidRPr="00235862" w14:paraId="1B84C235" w14:textId="77777777" w:rsidTr="00B058FC">
        <w:trPr>
          <w:trHeight w:val="748"/>
        </w:trPr>
        <w:tc>
          <w:tcPr>
            <w:tcW w:w="2547" w:type="dxa"/>
            <w:vMerge w:val="restart"/>
            <w:vAlign w:val="center"/>
          </w:tcPr>
          <w:p w14:paraId="4C95A5B4" w14:textId="2CBDA36D" w:rsidR="00AC335B" w:rsidRPr="00C46082" w:rsidRDefault="00AC335B" w:rsidP="00C46082">
            <w:pPr>
              <w:pStyle w:val="Heading1"/>
              <w:ind w:left="0" w:firstLine="0"/>
              <w:jc w:val="center"/>
              <w:rPr>
                <w:rFonts w:cstheme="minorHAnsi"/>
                <w:sz w:val="22"/>
                <w:szCs w:val="22"/>
                <w:lang w:val="es-ES"/>
              </w:rPr>
            </w:pPr>
            <w:r w:rsidRPr="006C311D">
              <w:rPr>
                <w:rFonts w:cstheme="minorHAnsi"/>
                <w:sz w:val="22"/>
                <w:szCs w:val="22"/>
                <w:lang w:val="es-ES"/>
              </w:rPr>
              <w:t xml:space="preserve">Proyecto de revisión de </w:t>
            </w:r>
            <w:r>
              <w:rPr>
                <w:rFonts w:cstheme="minorHAnsi"/>
                <w:sz w:val="22"/>
                <w:szCs w:val="22"/>
                <w:lang w:val="es-ES"/>
              </w:rPr>
              <w:t xml:space="preserve">la Cuestión </w:t>
            </w:r>
            <w:r w:rsidRPr="006C311D">
              <w:rPr>
                <w:rFonts w:cstheme="minorHAnsi"/>
                <w:sz w:val="22"/>
                <w:szCs w:val="22"/>
                <w:lang w:val="es-ES"/>
              </w:rPr>
              <w:t>7/17</w:t>
            </w:r>
            <w:r>
              <w:rPr>
                <w:rFonts w:cstheme="minorHAnsi"/>
                <w:sz w:val="22"/>
                <w:szCs w:val="22"/>
                <w:lang w:val="es-ES"/>
              </w:rPr>
              <w:t xml:space="preserve">, </w:t>
            </w:r>
            <w:r>
              <w:rPr>
                <w:rFonts w:cstheme="minorHAnsi"/>
                <w:i/>
                <w:iCs/>
                <w:sz w:val="22"/>
                <w:szCs w:val="22"/>
                <w:lang w:val="es-ES"/>
              </w:rPr>
              <w:t>Servicios de aplicación seguros</w:t>
            </w:r>
          </w:p>
        </w:tc>
        <w:tc>
          <w:tcPr>
            <w:tcW w:w="7082" w:type="dxa"/>
            <w:vAlign w:val="center"/>
          </w:tcPr>
          <w:p w14:paraId="2402D3D1" w14:textId="77777777" w:rsidR="00AC335B" w:rsidRPr="00235862" w:rsidRDefault="00AC335B" w:rsidP="00B058FC">
            <w:pPr>
              <w:tabs>
                <w:tab w:val="clear" w:pos="794"/>
                <w:tab w:val="clear" w:pos="1191"/>
                <w:tab w:val="clear" w:pos="1588"/>
                <w:tab w:val="clear" w:pos="1985"/>
              </w:tabs>
              <w:spacing w:before="60" w:after="60"/>
              <w:ind w:left="459" w:hanging="459"/>
              <w:rPr>
                <w:rFonts w:cstheme="minorHAnsi"/>
                <w:sz w:val="22"/>
                <w:szCs w:val="22"/>
              </w:rPr>
            </w:pPr>
            <w:r w:rsidRPr="00235862">
              <w:rPr>
                <w:rFonts w:cstheme="minorHAnsi"/>
                <w:sz w:val="22"/>
                <w:szCs w:val="22"/>
              </w:rPr>
              <w:fldChar w:fldCharType="begin">
                <w:ffData>
                  <w:name w:val="Check1"/>
                  <w:enabled/>
                  <w:calcOnExit w:val="0"/>
                  <w:checkBox>
                    <w:sizeAuto/>
                    <w:default w:val="0"/>
                  </w:checkBox>
                </w:ffData>
              </w:fldChar>
            </w:r>
            <w:r w:rsidRPr="00235862">
              <w:rPr>
                <w:rFonts w:cstheme="minorHAnsi"/>
                <w:sz w:val="22"/>
                <w:szCs w:val="22"/>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235862">
              <w:rPr>
                <w:rFonts w:cstheme="minorHAnsi"/>
                <w:sz w:val="22"/>
                <w:szCs w:val="22"/>
              </w:rPr>
              <w:tab/>
            </w:r>
            <w:r>
              <w:rPr>
                <w:rFonts w:cstheme="minorHAnsi"/>
                <w:b/>
                <w:bCs/>
                <w:sz w:val="22"/>
                <w:szCs w:val="22"/>
              </w:rPr>
              <w:t xml:space="preserve">apoya </w:t>
            </w:r>
            <w:r>
              <w:rPr>
                <w:rFonts w:cstheme="minorHAnsi"/>
                <w:sz w:val="22"/>
                <w:szCs w:val="22"/>
              </w:rPr>
              <w:t>la aprobación</w:t>
            </w:r>
          </w:p>
        </w:tc>
      </w:tr>
      <w:tr w:rsidR="00AC335B" w:rsidRPr="00627958" w14:paraId="33193C9E" w14:textId="77777777" w:rsidTr="00B058FC">
        <w:trPr>
          <w:trHeight w:val="747"/>
        </w:trPr>
        <w:tc>
          <w:tcPr>
            <w:tcW w:w="2547" w:type="dxa"/>
            <w:vMerge/>
            <w:vAlign w:val="center"/>
          </w:tcPr>
          <w:p w14:paraId="4F1B3775" w14:textId="77777777" w:rsidR="00AC335B" w:rsidRPr="00235862" w:rsidRDefault="00AC335B" w:rsidP="00B058FC">
            <w:pPr>
              <w:spacing w:before="60" w:after="60"/>
              <w:jc w:val="center"/>
              <w:rPr>
                <w:rFonts w:cstheme="minorHAnsi"/>
                <w:b/>
                <w:bCs/>
                <w:sz w:val="22"/>
                <w:szCs w:val="22"/>
              </w:rPr>
            </w:pPr>
          </w:p>
        </w:tc>
        <w:tc>
          <w:tcPr>
            <w:tcW w:w="7082" w:type="dxa"/>
            <w:vAlign w:val="center"/>
          </w:tcPr>
          <w:p w14:paraId="622B52ED" w14:textId="77777777" w:rsidR="00AC335B" w:rsidRPr="006C311D" w:rsidRDefault="00AC335B" w:rsidP="00B058FC">
            <w:pPr>
              <w:tabs>
                <w:tab w:val="clear" w:pos="794"/>
                <w:tab w:val="clear" w:pos="1191"/>
                <w:tab w:val="clear" w:pos="1588"/>
                <w:tab w:val="clear" w:pos="1985"/>
                <w:tab w:val="left" w:pos="250"/>
              </w:tabs>
              <w:spacing w:before="60" w:after="60"/>
              <w:ind w:left="459" w:hanging="459"/>
              <w:rPr>
                <w:rFonts w:cstheme="minorHAnsi"/>
                <w:sz w:val="22"/>
                <w:szCs w:val="22"/>
                <w:lang w:val="es-ES"/>
              </w:rPr>
            </w:pPr>
            <w:r w:rsidRPr="00235862">
              <w:rPr>
                <w:rFonts w:cstheme="minorHAnsi"/>
                <w:sz w:val="22"/>
                <w:szCs w:val="22"/>
              </w:rPr>
              <w:fldChar w:fldCharType="begin">
                <w:ffData>
                  <w:name w:val="Check1"/>
                  <w:enabled/>
                  <w:calcOnExit w:val="0"/>
                  <w:checkBox>
                    <w:sizeAuto/>
                    <w:default w:val="0"/>
                  </w:checkBox>
                </w:ffData>
              </w:fldChar>
            </w:r>
            <w:r w:rsidRPr="006C311D">
              <w:rPr>
                <w:rFonts w:cstheme="minorHAnsi"/>
                <w:sz w:val="22"/>
                <w:szCs w:val="22"/>
                <w:lang w:val="es-ES"/>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6C311D">
              <w:rPr>
                <w:rFonts w:cstheme="minorHAnsi"/>
                <w:sz w:val="22"/>
                <w:szCs w:val="22"/>
                <w:lang w:val="es-ES"/>
              </w:rPr>
              <w:tab/>
            </w:r>
            <w:r w:rsidRPr="006C311D">
              <w:rPr>
                <w:rFonts w:cstheme="minorHAnsi"/>
                <w:b/>
                <w:bCs/>
                <w:sz w:val="22"/>
                <w:szCs w:val="22"/>
                <w:lang w:val="es-ES"/>
              </w:rPr>
              <w:t xml:space="preserve">no apoya </w:t>
            </w:r>
            <w:r w:rsidRPr="006C311D">
              <w:rPr>
                <w:rFonts w:cstheme="minorHAnsi"/>
                <w:sz w:val="22"/>
                <w:szCs w:val="22"/>
                <w:lang w:val="es-ES"/>
              </w:rPr>
              <w:t>la aprobación (se adjuntan los motivos de esta opinión)</w:t>
            </w:r>
          </w:p>
        </w:tc>
      </w:tr>
      <w:tr w:rsidR="00AC335B" w:rsidRPr="00235862" w14:paraId="35F4FB41" w14:textId="77777777" w:rsidTr="00B058FC">
        <w:trPr>
          <w:trHeight w:val="747"/>
        </w:trPr>
        <w:tc>
          <w:tcPr>
            <w:tcW w:w="2547" w:type="dxa"/>
            <w:vMerge w:val="restart"/>
            <w:vAlign w:val="center"/>
          </w:tcPr>
          <w:p w14:paraId="6A37502A" w14:textId="77777777" w:rsidR="00AC335B" w:rsidRPr="006C311D" w:rsidRDefault="00AC335B" w:rsidP="00B058FC">
            <w:pPr>
              <w:spacing w:before="60" w:after="60"/>
              <w:jc w:val="center"/>
              <w:rPr>
                <w:rFonts w:cstheme="minorHAnsi"/>
                <w:b/>
                <w:bCs/>
                <w:sz w:val="22"/>
                <w:szCs w:val="22"/>
                <w:lang w:val="es-ES"/>
              </w:rPr>
            </w:pPr>
            <w:r w:rsidRPr="006C311D">
              <w:rPr>
                <w:rFonts w:cstheme="minorHAnsi"/>
                <w:b/>
                <w:bCs/>
                <w:sz w:val="22"/>
                <w:szCs w:val="22"/>
                <w:lang w:val="es-ES"/>
              </w:rPr>
              <w:t>Proyecto de revisión</w:t>
            </w:r>
            <w:r>
              <w:rPr>
                <w:rFonts w:cstheme="minorHAnsi"/>
                <w:b/>
                <w:bCs/>
                <w:sz w:val="22"/>
                <w:szCs w:val="22"/>
                <w:lang w:val="es-ES"/>
              </w:rPr>
              <w:t xml:space="preserve"> </w:t>
            </w:r>
            <w:r w:rsidRPr="006C311D">
              <w:rPr>
                <w:rFonts w:cstheme="minorHAnsi"/>
                <w:b/>
                <w:bCs/>
                <w:sz w:val="22"/>
                <w:szCs w:val="22"/>
                <w:lang w:val="es-ES"/>
              </w:rPr>
              <w:t>de la Cuestión 10/17</w:t>
            </w:r>
            <w:r>
              <w:rPr>
                <w:rFonts w:cstheme="minorHAnsi"/>
                <w:b/>
                <w:bCs/>
                <w:sz w:val="22"/>
                <w:szCs w:val="22"/>
                <w:lang w:val="es-ES"/>
              </w:rPr>
              <w:t xml:space="preserve">, </w:t>
            </w:r>
            <w:r>
              <w:rPr>
                <w:rFonts w:cstheme="minorHAnsi"/>
                <w:b/>
                <w:bCs/>
                <w:i/>
                <w:iCs/>
                <w:sz w:val="22"/>
                <w:szCs w:val="22"/>
                <w:lang w:val="es-ES"/>
              </w:rPr>
              <w:t>Gestión de la identidad, la seguridad y los servicios digitales</w:t>
            </w:r>
          </w:p>
        </w:tc>
        <w:tc>
          <w:tcPr>
            <w:tcW w:w="7082" w:type="dxa"/>
            <w:vAlign w:val="center"/>
          </w:tcPr>
          <w:p w14:paraId="670B4222" w14:textId="77777777" w:rsidR="00AC335B" w:rsidRPr="00217D07" w:rsidRDefault="00AC335B" w:rsidP="00B058FC">
            <w:pPr>
              <w:tabs>
                <w:tab w:val="clear" w:pos="794"/>
                <w:tab w:val="clear" w:pos="1191"/>
                <w:tab w:val="clear" w:pos="1588"/>
                <w:tab w:val="clear" w:pos="1985"/>
              </w:tabs>
              <w:spacing w:before="60" w:after="60"/>
              <w:ind w:left="459" w:hanging="459"/>
              <w:rPr>
                <w:rFonts w:cstheme="minorHAnsi"/>
                <w:b/>
                <w:bCs/>
                <w:sz w:val="22"/>
                <w:szCs w:val="22"/>
              </w:rPr>
            </w:pPr>
            <w:r w:rsidRPr="00235862">
              <w:rPr>
                <w:rFonts w:cstheme="minorHAnsi"/>
                <w:sz w:val="22"/>
                <w:szCs w:val="22"/>
              </w:rPr>
              <w:fldChar w:fldCharType="begin">
                <w:ffData>
                  <w:name w:val="Check1"/>
                  <w:enabled/>
                  <w:calcOnExit w:val="0"/>
                  <w:checkBox>
                    <w:sizeAuto/>
                    <w:default w:val="0"/>
                  </w:checkBox>
                </w:ffData>
              </w:fldChar>
            </w:r>
            <w:r w:rsidRPr="00235862">
              <w:rPr>
                <w:rFonts w:cstheme="minorHAnsi"/>
                <w:sz w:val="22"/>
                <w:szCs w:val="22"/>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235862">
              <w:rPr>
                <w:rFonts w:cstheme="minorHAnsi"/>
                <w:sz w:val="22"/>
                <w:szCs w:val="22"/>
              </w:rPr>
              <w:tab/>
            </w:r>
            <w:r>
              <w:rPr>
                <w:rFonts w:cstheme="minorHAnsi"/>
                <w:b/>
                <w:bCs/>
                <w:sz w:val="22"/>
                <w:szCs w:val="22"/>
              </w:rPr>
              <w:t xml:space="preserve">apoya </w:t>
            </w:r>
            <w:r>
              <w:rPr>
                <w:rFonts w:cstheme="minorHAnsi"/>
                <w:sz w:val="22"/>
                <w:szCs w:val="22"/>
              </w:rPr>
              <w:t>la aprobación</w:t>
            </w:r>
          </w:p>
        </w:tc>
      </w:tr>
      <w:tr w:rsidR="00AC335B" w:rsidRPr="00627958" w14:paraId="4BCA1950" w14:textId="77777777" w:rsidTr="00B058FC">
        <w:trPr>
          <w:trHeight w:val="747"/>
        </w:trPr>
        <w:tc>
          <w:tcPr>
            <w:tcW w:w="2547" w:type="dxa"/>
            <w:vMerge/>
            <w:vAlign w:val="center"/>
          </w:tcPr>
          <w:p w14:paraId="1257AB7B" w14:textId="77777777" w:rsidR="00AC335B" w:rsidRPr="00235862" w:rsidRDefault="00AC335B" w:rsidP="00B058FC">
            <w:pPr>
              <w:spacing w:before="60" w:after="60"/>
              <w:jc w:val="center"/>
              <w:rPr>
                <w:rFonts w:cstheme="minorHAnsi"/>
                <w:b/>
                <w:bCs/>
                <w:sz w:val="22"/>
                <w:szCs w:val="22"/>
              </w:rPr>
            </w:pPr>
          </w:p>
        </w:tc>
        <w:tc>
          <w:tcPr>
            <w:tcW w:w="7082" w:type="dxa"/>
            <w:vAlign w:val="center"/>
          </w:tcPr>
          <w:p w14:paraId="485A505F" w14:textId="77777777" w:rsidR="00AC335B" w:rsidRPr="006C311D" w:rsidRDefault="00AC335B" w:rsidP="00B058FC">
            <w:pPr>
              <w:tabs>
                <w:tab w:val="clear" w:pos="794"/>
                <w:tab w:val="clear" w:pos="1191"/>
                <w:tab w:val="clear" w:pos="1588"/>
                <w:tab w:val="clear" w:pos="1985"/>
                <w:tab w:val="left" w:pos="250"/>
              </w:tabs>
              <w:spacing w:before="60" w:after="60"/>
              <w:ind w:left="459" w:hanging="459"/>
              <w:rPr>
                <w:rFonts w:cstheme="minorHAnsi"/>
                <w:b/>
                <w:bCs/>
                <w:sz w:val="22"/>
                <w:szCs w:val="22"/>
                <w:lang w:val="es-ES"/>
              </w:rPr>
            </w:pPr>
            <w:r w:rsidRPr="00235862">
              <w:rPr>
                <w:rFonts w:cstheme="minorHAnsi"/>
                <w:sz w:val="22"/>
                <w:szCs w:val="22"/>
              </w:rPr>
              <w:fldChar w:fldCharType="begin">
                <w:ffData>
                  <w:name w:val="Check1"/>
                  <w:enabled/>
                  <w:calcOnExit w:val="0"/>
                  <w:checkBox>
                    <w:sizeAuto/>
                    <w:default w:val="0"/>
                  </w:checkBox>
                </w:ffData>
              </w:fldChar>
            </w:r>
            <w:r w:rsidRPr="006C311D">
              <w:rPr>
                <w:rFonts w:cstheme="minorHAnsi"/>
                <w:sz w:val="22"/>
                <w:szCs w:val="22"/>
                <w:lang w:val="es-ES"/>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6C311D">
              <w:rPr>
                <w:rFonts w:cstheme="minorHAnsi"/>
                <w:sz w:val="22"/>
                <w:szCs w:val="22"/>
                <w:lang w:val="es-ES"/>
              </w:rPr>
              <w:tab/>
            </w:r>
            <w:r w:rsidRPr="006C311D">
              <w:rPr>
                <w:rFonts w:cstheme="minorHAnsi"/>
                <w:b/>
                <w:bCs/>
                <w:sz w:val="22"/>
                <w:szCs w:val="22"/>
                <w:lang w:val="es-ES"/>
              </w:rPr>
              <w:t xml:space="preserve">no apoya </w:t>
            </w:r>
            <w:r w:rsidRPr="006C311D">
              <w:rPr>
                <w:rFonts w:cstheme="minorHAnsi"/>
                <w:sz w:val="22"/>
                <w:szCs w:val="22"/>
                <w:lang w:val="es-ES"/>
              </w:rPr>
              <w:t>la aprobación (se adjuntan los motivos de esta opinión)</w:t>
            </w:r>
          </w:p>
        </w:tc>
      </w:tr>
      <w:tr w:rsidR="00AC335B" w:rsidRPr="00235862" w14:paraId="5565C813" w14:textId="77777777" w:rsidTr="00B058FC">
        <w:trPr>
          <w:trHeight w:val="747"/>
        </w:trPr>
        <w:tc>
          <w:tcPr>
            <w:tcW w:w="2547" w:type="dxa"/>
            <w:vMerge w:val="restart"/>
            <w:vAlign w:val="center"/>
          </w:tcPr>
          <w:p w14:paraId="2339F2DF" w14:textId="77777777" w:rsidR="00AC335B" w:rsidRPr="006C311D" w:rsidRDefault="00AC335B" w:rsidP="00B058FC">
            <w:pPr>
              <w:spacing w:before="60" w:after="60"/>
              <w:jc w:val="center"/>
              <w:rPr>
                <w:rFonts w:cstheme="minorHAnsi"/>
                <w:b/>
                <w:bCs/>
                <w:sz w:val="22"/>
                <w:szCs w:val="22"/>
                <w:lang w:val="es-ES"/>
              </w:rPr>
            </w:pPr>
            <w:r w:rsidRPr="006C311D">
              <w:rPr>
                <w:rFonts w:cstheme="minorHAnsi"/>
                <w:b/>
                <w:bCs/>
                <w:sz w:val="22"/>
                <w:szCs w:val="22"/>
                <w:lang w:val="es-ES"/>
              </w:rPr>
              <w:t>Proyecto de nueva Cuestión</w:t>
            </w:r>
            <w:r>
              <w:rPr>
                <w:rFonts w:cstheme="minorHAnsi"/>
                <w:b/>
                <w:bCs/>
                <w:sz w:val="22"/>
                <w:szCs w:val="22"/>
                <w:lang w:val="es-ES"/>
              </w:rPr>
              <w:t xml:space="preserve"> </w:t>
            </w:r>
            <w:r w:rsidRPr="006C311D">
              <w:rPr>
                <w:rFonts w:cstheme="minorHAnsi"/>
                <w:b/>
                <w:bCs/>
                <w:sz w:val="22"/>
                <w:szCs w:val="22"/>
                <w:lang w:val="es-ES"/>
              </w:rPr>
              <w:t>16/17</w:t>
            </w:r>
            <w:r>
              <w:rPr>
                <w:rFonts w:cstheme="minorHAnsi"/>
                <w:b/>
                <w:bCs/>
                <w:sz w:val="22"/>
                <w:szCs w:val="22"/>
                <w:lang w:val="es-ES"/>
              </w:rPr>
              <w:t xml:space="preserve">, </w:t>
            </w:r>
            <w:r>
              <w:rPr>
                <w:rFonts w:cstheme="minorHAnsi"/>
                <w:b/>
                <w:bCs/>
                <w:i/>
                <w:iCs/>
                <w:sz w:val="22"/>
                <w:szCs w:val="22"/>
                <w:lang w:val="es-ES"/>
              </w:rPr>
              <w:t>Seguridad de la IA</w:t>
            </w:r>
          </w:p>
        </w:tc>
        <w:tc>
          <w:tcPr>
            <w:tcW w:w="7082" w:type="dxa"/>
            <w:vAlign w:val="center"/>
          </w:tcPr>
          <w:p w14:paraId="01272291" w14:textId="77777777" w:rsidR="00AC335B" w:rsidRPr="00235862" w:rsidRDefault="00AC335B" w:rsidP="00B058FC">
            <w:pPr>
              <w:tabs>
                <w:tab w:val="clear" w:pos="794"/>
                <w:tab w:val="clear" w:pos="1191"/>
                <w:tab w:val="clear" w:pos="1588"/>
                <w:tab w:val="clear" w:pos="1985"/>
                <w:tab w:val="left" w:pos="250"/>
              </w:tabs>
              <w:spacing w:before="60" w:after="60"/>
              <w:ind w:left="459" w:hanging="459"/>
              <w:rPr>
                <w:rFonts w:cstheme="minorHAnsi"/>
                <w:sz w:val="22"/>
                <w:szCs w:val="22"/>
              </w:rPr>
            </w:pPr>
            <w:r w:rsidRPr="00235862">
              <w:rPr>
                <w:rFonts w:cstheme="minorHAnsi"/>
                <w:sz w:val="22"/>
                <w:szCs w:val="22"/>
              </w:rPr>
              <w:fldChar w:fldCharType="begin">
                <w:ffData>
                  <w:name w:val="Check1"/>
                  <w:enabled/>
                  <w:calcOnExit w:val="0"/>
                  <w:checkBox>
                    <w:sizeAuto/>
                    <w:default w:val="0"/>
                  </w:checkBox>
                </w:ffData>
              </w:fldChar>
            </w:r>
            <w:r w:rsidRPr="00235862">
              <w:rPr>
                <w:rFonts w:cstheme="minorHAnsi"/>
                <w:sz w:val="22"/>
                <w:szCs w:val="22"/>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235862">
              <w:rPr>
                <w:rFonts w:cstheme="minorHAnsi"/>
                <w:sz w:val="22"/>
                <w:szCs w:val="22"/>
              </w:rPr>
              <w:tab/>
            </w:r>
            <w:r>
              <w:rPr>
                <w:rFonts w:cstheme="minorHAnsi"/>
                <w:b/>
                <w:bCs/>
                <w:sz w:val="22"/>
                <w:szCs w:val="22"/>
              </w:rPr>
              <w:t xml:space="preserve">apoya </w:t>
            </w:r>
            <w:r>
              <w:rPr>
                <w:rFonts w:cstheme="minorHAnsi"/>
                <w:sz w:val="22"/>
                <w:szCs w:val="22"/>
              </w:rPr>
              <w:t>la aprobación</w:t>
            </w:r>
          </w:p>
        </w:tc>
      </w:tr>
      <w:tr w:rsidR="00AC335B" w:rsidRPr="00627958" w14:paraId="5019185F" w14:textId="77777777" w:rsidTr="00B058FC">
        <w:trPr>
          <w:trHeight w:val="747"/>
        </w:trPr>
        <w:tc>
          <w:tcPr>
            <w:tcW w:w="2547" w:type="dxa"/>
            <w:vMerge/>
            <w:vAlign w:val="center"/>
          </w:tcPr>
          <w:p w14:paraId="3CB971F9" w14:textId="77777777" w:rsidR="00AC335B" w:rsidRPr="00235862" w:rsidRDefault="00AC335B" w:rsidP="00B058FC">
            <w:pPr>
              <w:spacing w:before="60" w:after="60"/>
              <w:jc w:val="center"/>
              <w:rPr>
                <w:rFonts w:cstheme="minorHAnsi"/>
                <w:b/>
                <w:bCs/>
                <w:sz w:val="22"/>
                <w:szCs w:val="22"/>
              </w:rPr>
            </w:pPr>
          </w:p>
        </w:tc>
        <w:tc>
          <w:tcPr>
            <w:tcW w:w="7082" w:type="dxa"/>
            <w:vAlign w:val="center"/>
          </w:tcPr>
          <w:p w14:paraId="31562012" w14:textId="77777777" w:rsidR="00AC335B" w:rsidRPr="006C311D" w:rsidRDefault="00AC335B" w:rsidP="00B058FC">
            <w:pPr>
              <w:tabs>
                <w:tab w:val="clear" w:pos="794"/>
                <w:tab w:val="clear" w:pos="1191"/>
                <w:tab w:val="clear" w:pos="1588"/>
                <w:tab w:val="clear" w:pos="1985"/>
                <w:tab w:val="left" w:pos="250"/>
              </w:tabs>
              <w:spacing w:before="60" w:after="60"/>
              <w:ind w:left="459" w:hanging="459"/>
              <w:rPr>
                <w:rFonts w:cstheme="minorHAnsi"/>
                <w:sz w:val="22"/>
                <w:szCs w:val="22"/>
                <w:lang w:val="es-ES"/>
              </w:rPr>
            </w:pPr>
            <w:r w:rsidRPr="00235862">
              <w:rPr>
                <w:rFonts w:cstheme="minorHAnsi"/>
                <w:sz w:val="22"/>
                <w:szCs w:val="22"/>
              </w:rPr>
              <w:fldChar w:fldCharType="begin">
                <w:ffData>
                  <w:name w:val="Check1"/>
                  <w:enabled/>
                  <w:calcOnExit w:val="0"/>
                  <w:checkBox>
                    <w:sizeAuto/>
                    <w:default w:val="0"/>
                  </w:checkBox>
                </w:ffData>
              </w:fldChar>
            </w:r>
            <w:r w:rsidRPr="006C311D">
              <w:rPr>
                <w:rFonts w:cstheme="minorHAnsi"/>
                <w:sz w:val="22"/>
                <w:szCs w:val="22"/>
                <w:lang w:val="es-ES"/>
              </w:rPr>
              <w:instrText xml:space="preserve"> FORMCHECKBOX </w:instrText>
            </w:r>
            <w:r w:rsidRPr="00235862">
              <w:rPr>
                <w:rFonts w:cstheme="minorHAnsi"/>
                <w:sz w:val="22"/>
                <w:szCs w:val="22"/>
              </w:rPr>
            </w:r>
            <w:r w:rsidRPr="00235862">
              <w:rPr>
                <w:rFonts w:cstheme="minorHAnsi"/>
                <w:sz w:val="22"/>
                <w:szCs w:val="22"/>
              </w:rPr>
              <w:fldChar w:fldCharType="separate"/>
            </w:r>
            <w:r w:rsidRPr="00235862">
              <w:rPr>
                <w:rFonts w:cstheme="minorHAnsi"/>
                <w:sz w:val="22"/>
                <w:szCs w:val="22"/>
              </w:rPr>
              <w:fldChar w:fldCharType="end"/>
            </w:r>
            <w:r w:rsidRPr="006C311D">
              <w:rPr>
                <w:rFonts w:cstheme="minorHAnsi"/>
                <w:sz w:val="22"/>
                <w:szCs w:val="22"/>
                <w:lang w:val="es-ES"/>
              </w:rPr>
              <w:tab/>
            </w:r>
            <w:r w:rsidRPr="006C311D">
              <w:rPr>
                <w:rFonts w:cstheme="minorHAnsi"/>
                <w:b/>
                <w:bCs/>
                <w:sz w:val="22"/>
                <w:szCs w:val="22"/>
                <w:lang w:val="es-ES"/>
              </w:rPr>
              <w:t xml:space="preserve">no apoya </w:t>
            </w:r>
            <w:r w:rsidRPr="006C311D">
              <w:rPr>
                <w:rFonts w:cstheme="minorHAnsi"/>
                <w:sz w:val="22"/>
                <w:szCs w:val="22"/>
                <w:lang w:val="es-ES"/>
              </w:rPr>
              <w:t>la aprobación (se adjuntan los motivos de esta opinión)</w:t>
            </w:r>
          </w:p>
        </w:tc>
      </w:tr>
    </w:tbl>
    <w:p w14:paraId="4D4A913A" w14:textId="77777777" w:rsidR="00AC335B" w:rsidRPr="006C311D" w:rsidRDefault="00AC335B" w:rsidP="00C03B5D">
      <w:pPr>
        <w:rPr>
          <w:rFonts w:cstheme="minorHAnsi"/>
          <w:sz w:val="22"/>
          <w:szCs w:val="22"/>
          <w:lang w:val="es-ES"/>
        </w:rPr>
      </w:pPr>
      <w:r w:rsidRPr="006C311D">
        <w:rPr>
          <w:rFonts w:cstheme="minorHAnsi"/>
          <w:sz w:val="22"/>
          <w:szCs w:val="22"/>
          <w:lang w:val="es-ES"/>
        </w:rPr>
        <w:t>Atentamente,</w:t>
      </w:r>
    </w:p>
    <w:p w14:paraId="74B064E1" w14:textId="77777777" w:rsidR="00AC335B" w:rsidRPr="006C311D" w:rsidRDefault="00AC335B" w:rsidP="00C03B5D">
      <w:pPr>
        <w:spacing w:before="840"/>
        <w:rPr>
          <w:rFonts w:cstheme="minorHAnsi"/>
          <w:sz w:val="22"/>
          <w:szCs w:val="22"/>
          <w:highlight w:val="green"/>
          <w:lang w:val="es-ES"/>
        </w:rPr>
      </w:pPr>
      <w:r w:rsidRPr="006C311D">
        <w:rPr>
          <w:rFonts w:cstheme="minorHAnsi"/>
          <w:sz w:val="22"/>
          <w:szCs w:val="22"/>
          <w:highlight w:val="green"/>
          <w:lang w:val="es-ES"/>
        </w:rPr>
        <w:t>[Nombre]</w:t>
      </w:r>
    </w:p>
    <w:p w14:paraId="2E1B14A2" w14:textId="77777777" w:rsidR="00AC335B" w:rsidRPr="006C311D" w:rsidRDefault="00AC335B" w:rsidP="00AC335B">
      <w:pPr>
        <w:rPr>
          <w:rFonts w:cstheme="minorHAnsi"/>
          <w:sz w:val="22"/>
          <w:szCs w:val="22"/>
          <w:lang w:val="es-ES"/>
        </w:rPr>
      </w:pPr>
      <w:r w:rsidRPr="006C311D">
        <w:rPr>
          <w:rFonts w:cstheme="minorHAnsi"/>
          <w:sz w:val="22"/>
          <w:szCs w:val="22"/>
          <w:highlight w:val="green"/>
          <w:lang w:val="es-ES"/>
        </w:rPr>
        <w:t>[Cargo oficial/título]</w:t>
      </w:r>
    </w:p>
    <w:p w14:paraId="2CDDC38F" w14:textId="034C9875" w:rsidR="00AC335B" w:rsidRDefault="00AC335B" w:rsidP="00AC335B">
      <w:pPr>
        <w:ind w:right="92"/>
        <w:rPr>
          <w:rFonts w:cstheme="minorHAnsi"/>
          <w:sz w:val="22"/>
          <w:szCs w:val="22"/>
          <w:lang w:val="es-ES"/>
        </w:rPr>
      </w:pPr>
      <w:r w:rsidRPr="006C311D">
        <w:rPr>
          <w:rFonts w:cstheme="minorHAnsi"/>
          <w:sz w:val="22"/>
          <w:szCs w:val="22"/>
          <w:lang w:val="es-ES"/>
        </w:rPr>
        <w:t xml:space="preserve">Administración de </w:t>
      </w:r>
      <w:r w:rsidRPr="006C311D">
        <w:rPr>
          <w:rFonts w:cstheme="minorHAnsi"/>
          <w:sz w:val="22"/>
          <w:szCs w:val="22"/>
          <w:highlight w:val="green"/>
          <w:lang w:val="es-ES"/>
        </w:rPr>
        <w:t>[Estado Miembro]</w:t>
      </w:r>
    </w:p>
    <w:p w14:paraId="2C818570" w14:textId="17F1C41C" w:rsidR="00C46082" w:rsidRPr="00C46082" w:rsidRDefault="00C46082" w:rsidP="00C46082">
      <w:pPr>
        <w:jc w:val="center"/>
      </w:pPr>
      <w:r>
        <w:t>______________</w:t>
      </w:r>
    </w:p>
    <w:sectPr w:rsidR="00C46082" w:rsidRPr="00C46082" w:rsidSect="008B1670">
      <w:headerReference w:type="default" r:id="rId16"/>
      <w:footerReference w:type="first" r:id="rId17"/>
      <w:pgSz w:w="11907" w:h="16840" w:code="9"/>
      <w:pgMar w:top="1134" w:right="1134" w:bottom="900"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9F4A" w14:textId="77777777" w:rsidR="00AC335B" w:rsidRDefault="00AC335B">
      <w:r>
        <w:separator/>
      </w:r>
    </w:p>
  </w:endnote>
  <w:endnote w:type="continuationSeparator" w:id="0">
    <w:p w14:paraId="36E713A3" w14:textId="77777777" w:rsidR="00AC335B" w:rsidRDefault="00AC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F48E"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AABB" w14:textId="77777777" w:rsidR="00AC335B" w:rsidRDefault="00AC335B">
      <w:r>
        <w:t>____________________</w:t>
      </w:r>
    </w:p>
  </w:footnote>
  <w:footnote w:type="continuationSeparator" w:id="0">
    <w:p w14:paraId="77810C5B" w14:textId="77777777" w:rsidR="00AC335B" w:rsidRDefault="00AC335B">
      <w:r>
        <w:continuationSeparator/>
      </w:r>
    </w:p>
  </w:footnote>
  <w:footnote w:id="1">
    <w:p w14:paraId="0C525359" w14:textId="5E91AFCF" w:rsidR="00936BDF" w:rsidRPr="00936BDF" w:rsidRDefault="00AC335B" w:rsidP="00AC335B">
      <w:pPr>
        <w:pStyle w:val="FootnoteText"/>
        <w:rPr>
          <w:sz w:val="20"/>
          <w:lang w:val="es-ES"/>
        </w:rPr>
      </w:pPr>
      <w:bookmarkStart w:id="10" w:name="_Hlk222739086"/>
      <w:r w:rsidRPr="00936BDF">
        <w:rPr>
          <w:rStyle w:val="FootnoteReference"/>
        </w:rPr>
        <w:footnoteRef/>
      </w:r>
      <w:r w:rsidR="00227592" w:rsidRPr="00936BDF">
        <w:rPr>
          <w:lang w:val="es-ES"/>
        </w:rPr>
        <w:tab/>
      </w:r>
      <w:r w:rsidR="00936BDF" w:rsidRPr="00936BDF">
        <w:rPr>
          <w:sz w:val="20"/>
          <w:lang w:val="es-ES"/>
        </w:rPr>
        <w:t xml:space="preserve">Actualización de la C7/17, </w:t>
      </w:r>
      <w:r w:rsidR="00936BDF" w:rsidRPr="00936BDF">
        <w:rPr>
          <w:i/>
          <w:iCs/>
          <w:sz w:val="20"/>
          <w:lang w:val="es-ES"/>
        </w:rPr>
        <w:t>Servicios de aplicación seguros</w:t>
      </w:r>
      <w:r w:rsidR="00936BDF" w:rsidRPr="00936BDF">
        <w:rPr>
          <w:sz w:val="20"/>
          <w:lang w:val="es-ES"/>
        </w:rPr>
        <w:t>, (AMNT-24), preparada por la CE 17 del UIT</w:t>
      </w:r>
      <w:r w:rsidR="00936BDF" w:rsidRPr="00936BDF">
        <w:rPr>
          <w:sz w:val="20"/>
          <w:lang w:val="es-ES"/>
        </w:rPr>
        <w:noBreakHyphen/>
        <w:t>T (Ginebra, 3</w:t>
      </w:r>
      <w:r w:rsidR="00936BDF" w:rsidRPr="00936BDF">
        <w:rPr>
          <w:sz w:val="20"/>
          <w:lang w:val="es-ES"/>
        </w:rPr>
        <w:noBreakHyphen/>
        <w:t>11 de diciembre de 2025) y adoptada por el GANT (Ginebra, 26-30 de enero de 2026) para su consulta con los Estados Miembros.</w:t>
      </w:r>
    </w:p>
    <w:bookmarkEnd w:id="10"/>
  </w:footnote>
  <w:footnote w:id="2">
    <w:p w14:paraId="6E8680B7" w14:textId="2E271BDB" w:rsidR="00AC335B" w:rsidRPr="00477A37" w:rsidRDefault="00AC335B" w:rsidP="00AC335B">
      <w:pPr>
        <w:pStyle w:val="FootnoteText"/>
        <w:rPr>
          <w:lang w:val="es-ES"/>
        </w:rPr>
      </w:pPr>
      <w:r>
        <w:rPr>
          <w:rStyle w:val="FootnoteReference"/>
        </w:rPr>
        <w:footnoteRef/>
      </w:r>
      <w:r w:rsidR="00CF0EAA">
        <w:rPr>
          <w:lang w:val="es-ES"/>
        </w:rPr>
        <w:tab/>
      </w:r>
      <w:r w:rsidRPr="00627958">
        <w:rPr>
          <w:sz w:val="20"/>
          <w:szCs w:val="16"/>
          <w:lang w:val="es-ES"/>
        </w:rPr>
        <w:t xml:space="preserve">Las Cuestiones 3/17 y 10/17 fueron actualizadas por el GANT en su reunión de mayo de 2025. </w:t>
      </w:r>
      <w:r w:rsidRPr="00477A37">
        <w:rPr>
          <w:sz w:val="20"/>
          <w:szCs w:val="16"/>
          <w:lang w:val="es-ES"/>
        </w:rPr>
        <w:t>Esta versión fusionada fue preparada por la CE 17 del UIT-T (Ginebra, 3-11 de diciembre de 2025) y acor</w:t>
      </w:r>
      <w:r>
        <w:rPr>
          <w:sz w:val="20"/>
          <w:szCs w:val="16"/>
          <w:lang w:val="es-ES"/>
        </w:rPr>
        <w:t>dada por el GANT</w:t>
      </w:r>
      <w:r w:rsidRPr="00477A37">
        <w:rPr>
          <w:sz w:val="20"/>
          <w:szCs w:val="16"/>
          <w:lang w:val="es-ES"/>
        </w:rPr>
        <w:t xml:space="preserve"> (G</w:t>
      </w:r>
      <w:r>
        <w:rPr>
          <w:sz w:val="20"/>
          <w:szCs w:val="16"/>
          <w:lang w:val="es-ES"/>
        </w:rPr>
        <w:t>inebra</w:t>
      </w:r>
      <w:r w:rsidRPr="00477A37">
        <w:rPr>
          <w:sz w:val="20"/>
          <w:szCs w:val="16"/>
          <w:lang w:val="es-ES"/>
        </w:rPr>
        <w:t xml:space="preserve">, 26-30 </w:t>
      </w:r>
      <w:r>
        <w:rPr>
          <w:sz w:val="20"/>
          <w:szCs w:val="16"/>
          <w:lang w:val="es-ES"/>
        </w:rPr>
        <w:t>de enero de</w:t>
      </w:r>
      <w:r w:rsidRPr="00477A37">
        <w:rPr>
          <w:sz w:val="20"/>
          <w:szCs w:val="16"/>
          <w:lang w:val="es-ES"/>
        </w:rPr>
        <w:t xml:space="preserve"> 2026) </w:t>
      </w:r>
      <w:r>
        <w:rPr>
          <w:sz w:val="20"/>
          <w:szCs w:val="16"/>
          <w:lang w:val="es-ES"/>
        </w:rPr>
        <w:t>para su consulta con los Estados Miembros</w:t>
      </w:r>
      <w:r w:rsidRPr="00477A37">
        <w:rPr>
          <w:sz w:val="20"/>
          <w:szCs w:val="16"/>
          <w:lang w:val="es-ES"/>
        </w:rPr>
        <w:t>.</w:t>
      </w:r>
    </w:p>
  </w:footnote>
  <w:footnote w:id="3">
    <w:p w14:paraId="3904EC75" w14:textId="7FDE4D92" w:rsidR="00AC335B" w:rsidRPr="00477A37" w:rsidRDefault="00AC335B" w:rsidP="00AC335B">
      <w:pPr>
        <w:pStyle w:val="FootnoteText"/>
        <w:rPr>
          <w:rFonts w:ascii="Times New Roman" w:eastAsia="MS Mincho" w:hAnsi="Times New Roman"/>
          <w:sz w:val="22"/>
          <w:szCs w:val="22"/>
          <w:lang w:val="es-ES"/>
        </w:rPr>
      </w:pPr>
      <w:r w:rsidRPr="000D1630">
        <w:rPr>
          <w:rStyle w:val="FootnoteReference"/>
          <w:rFonts w:cs="Calibri"/>
        </w:rPr>
        <w:footnoteRef/>
      </w:r>
      <w:r w:rsidR="00CF0EAA">
        <w:rPr>
          <w:rFonts w:cstheme="minorHAnsi"/>
          <w:lang w:val="es-ES"/>
        </w:rPr>
        <w:tab/>
      </w:r>
      <w:r w:rsidRPr="00477A37">
        <w:rPr>
          <w:sz w:val="20"/>
          <w:szCs w:val="16"/>
          <w:lang w:val="es-ES"/>
        </w:rPr>
        <w:t>La normalización de la identidad digital misma (es decir, el co</w:t>
      </w:r>
      <w:r>
        <w:rPr>
          <w:sz w:val="20"/>
          <w:szCs w:val="16"/>
          <w:lang w:val="es-ES"/>
        </w:rPr>
        <w:t>ntenido de la identidad digital) queda fuera del ámbito de competencia de la CE 17 del UIT-T</w:t>
      </w:r>
      <w:r w:rsidRPr="00477A37">
        <w:rPr>
          <w:sz w:val="20"/>
          <w:szCs w:val="16"/>
          <w:lang w:val="es-ES"/>
        </w:rPr>
        <w:t>.</w:t>
      </w:r>
    </w:p>
  </w:footnote>
  <w:footnote w:id="4">
    <w:p w14:paraId="0CF027A3" w14:textId="73E73B8A" w:rsidR="00AC335B" w:rsidRPr="00FF23CA" w:rsidRDefault="00AC335B" w:rsidP="00AC335B">
      <w:pPr>
        <w:pStyle w:val="FootnoteText"/>
        <w:rPr>
          <w:lang w:val="es-ES"/>
        </w:rPr>
      </w:pPr>
      <w:r w:rsidRPr="00895C2C">
        <w:rPr>
          <w:rStyle w:val="FootnoteReference"/>
        </w:rPr>
        <w:footnoteRef/>
      </w:r>
      <w:r w:rsidR="00CF0EAA">
        <w:rPr>
          <w:sz w:val="20"/>
          <w:lang w:val="es-ES"/>
        </w:rPr>
        <w:tab/>
      </w:r>
      <w:r w:rsidRPr="00FF23CA">
        <w:rPr>
          <w:sz w:val="20"/>
          <w:lang w:val="es-ES"/>
        </w:rPr>
        <w:t>El proyecto de nueva Cuestión</w:t>
      </w:r>
      <w:r w:rsidRPr="00FF23CA">
        <w:rPr>
          <w:sz w:val="20"/>
          <w:szCs w:val="16"/>
          <w:lang w:val="es-ES"/>
        </w:rPr>
        <w:t xml:space="preserve"> 16/17, </w:t>
      </w:r>
      <w:r w:rsidRPr="00FF23CA">
        <w:rPr>
          <w:i/>
          <w:iCs/>
          <w:sz w:val="20"/>
          <w:szCs w:val="16"/>
          <w:lang w:val="es-ES"/>
        </w:rPr>
        <w:t>Seguridad de la inteligencia</w:t>
      </w:r>
      <w:r>
        <w:rPr>
          <w:i/>
          <w:iCs/>
          <w:sz w:val="20"/>
          <w:szCs w:val="16"/>
          <w:lang w:val="es-ES"/>
        </w:rPr>
        <w:t xml:space="preserve"> artificial (IA), </w:t>
      </w:r>
      <w:r>
        <w:rPr>
          <w:sz w:val="20"/>
          <w:szCs w:val="16"/>
          <w:lang w:val="es-ES"/>
        </w:rPr>
        <w:t>fue preparado por la CE</w:t>
      </w:r>
      <w:r w:rsidR="003D1287">
        <w:rPr>
          <w:sz w:val="20"/>
          <w:szCs w:val="16"/>
          <w:lang w:val="es-ES"/>
        </w:rPr>
        <w:t> </w:t>
      </w:r>
      <w:r>
        <w:rPr>
          <w:sz w:val="20"/>
          <w:szCs w:val="16"/>
          <w:lang w:val="es-ES"/>
        </w:rPr>
        <w:t>17 del</w:t>
      </w:r>
      <w:r w:rsidR="003D1287">
        <w:rPr>
          <w:sz w:val="20"/>
          <w:szCs w:val="16"/>
          <w:lang w:val="es-ES"/>
        </w:rPr>
        <w:t> </w:t>
      </w:r>
      <w:r>
        <w:rPr>
          <w:sz w:val="20"/>
          <w:szCs w:val="16"/>
          <w:lang w:val="es-ES"/>
        </w:rPr>
        <w:t>UIT</w:t>
      </w:r>
      <w:r w:rsidR="003D1287">
        <w:rPr>
          <w:sz w:val="20"/>
          <w:szCs w:val="16"/>
          <w:lang w:val="es-ES"/>
        </w:rPr>
        <w:noBreakHyphen/>
      </w:r>
      <w:r>
        <w:rPr>
          <w:sz w:val="20"/>
          <w:szCs w:val="16"/>
          <w:lang w:val="es-ES"/>
        </w:rPr>
        <w:t>T (Ginebra</w:t>
      </w:r>
      <w:r w:rsidRPr="00FF23CA">
        <w:rPr>
          <w:sz w:val="20"/>
          <w:szCs w:val="16"/>
          <w:lang w:val="es-ES"/>
        </w:rPr>
        <w:t xml:space="preserve">, 3-11 </w:t>
      </w:r>
      <w:r>
        <w:rPr>
          <w:sz w:val="20"/>
          <w:szCs w:val="16"/>
          <w:lang w:val="es-ES"/>
        </w:rPr>
        <w:t>de diciembre de</w:t>
      </w:r>
      <w:r w:rsidRPr="00FF23CA">
        <w:rPr>
          <w:sz w:val="20"/>
          <w:szCs w:val="16"/>
          <w:lang w:val="es-ES"/>
        </w:rPr>
        <w:t xml:space="preserve"> 2025) </w:t>
      </w:r>
      <w:r>
        <w:rPr>
          <w:sz w:val="20"/>
          <w:szCs w:val="16"/>
          <w:lang w:val="es-ES"/>
        </w:rPr>
        <w:t>y acordado por el GANT (Ginebra</w:t>
      </w:r>
      <w:r w:rsidRPr="00FF23CA">
        <w:rPr>
          <w:sz w:val="20"/>
          <w:szCs w:val="16"/>
          <w:lang w:val="es-ES"/>
        </w:rPr>
        <w:t xml:space="preserve">, 26-30 </w:t>
      </w:r>
      <w:r>
        <w:rPr>
          <w:sz w:val="20"/>
          <w:szCs w:val="16"/>
          <w:lang w:val="es-ES"/>
        </w:rPr>
        <w:t>de enero de</w:t>
      </w:r>
      <w:r w:rsidRPr="00FF23CA">
        <w:rPr>
          <w:sz w:val="20"/>
          <w:szCs w:val="16"/>
          <w:lang w:val="es-ES"/>
        </w:rPr>
        <w:t xml:space="preserve"> 2026) </w:t>
      </w:r>
      <w:r>
        <w:rPr>
          <w:sz w:val="20"/>
          <w:szCs w:val="16"/>
          <w:lang w:val="es-ES"/>
        </w:rPr>
        <w:t>para su consulta con los Estados Miembros</w:t>
      </w:r>
      <w:r w:rsidRPr="00FF23CA">
        <w:rPr>
          <w:sz w:val="20"/>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4975" w14:textId="6FAEC53B"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1ED1662A" w14:textId="5DC35B9D" w:rsidR="00AC335B" w:rsidRPr="00303D62" w:rsidRDefault="00AC335B">
    <w:pPr>
      <w:pStyle w:val="Header"/>
      <w:rPr>
        <w:sz w:val="18"/>
        <w:szCs w:val="18"/>
      </w:rPr>
    </w:pPr>
    <w:r>
      <w:rPr>
        <w:rStyle w:val="PageNumber"/>
        <w:sz w:val="18"/>
        <w:szCs w:val="18"/>
      </w:rPr>
      <w:t>Circular TSB 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B0B82"/>
    <w:multiLevelType w:val="hybridMultilevel"/>
    <w:tmpl w:val="68E8F48E"/>
    <w:lvl w:ilvl="0" w:tplc="B534FB18">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10CC1"/>
    <w:multiLevelType w:val="hybridMultilevel"/>
    <w:tmpl w:val="007280A8"/>
    <w:lvl w:ilvl="0" w:tplc="9D728B06">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761C7"/>
    <w:multiLevelType w:val="multilevel"/>
    <w:tmpl w:val="C854CC6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96468"/>
    <w:multiLevelType w:val="hybridMultilevel"/>
    <w:tmpl w:val="29E24F0A"/>
    <w:lvl w:ilvl="0" w:tplc="3F88D5B6">
      <w:start w:val="3"/>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76B96"/>
    <w:multiLevelType w:val="hybridMultilevel"/>
    <w:tmpl w:val="41BAD4D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D4FDE"/>
    <w:multiLevelType w:val="hybridMultilevel"/>
    <w:tmpl w:val="8D72EBA2"/>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1B7979"/>
    <w:multiLevelType w:val="hybridMultilevel"/>
    <w:tmpl w:val="CEA2A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1F861105"/>
    <w:multiLevelType w:val="hybridMultilevel"/>
    <w:tmpl w:val="28EA165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B76B8"/>
    <w:multiLevelType w:val="hybridMultilevel"/>
    <w:tmpl w:val="F738BB00"/>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3A56DE"/>
    <w:multiLevelType w:val="hybridMultilevel"/>
    <w:tmpl w:val="B11C1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54107DD"/>
    <w:multiLevelType w:val="hybridMultilevel"/>
    <w:tmpl w:val="A3C6927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D0746"/>
    <w:multiLevelType w:val="hybridMultilevel"/>
    <w:tmpl w:val="58E270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024E0"/>
    <w:multiLevelType w:val="hybridMultilevel"/>
    <w:tmpl w:val="A4DAAD4E"/>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540D0"/>
    <w:multiLevelType w:val="hybridMultilevel"/>
    <w:tmpl w:val="60CCDA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76F60"/>
    <w:multiLevelType w:val="hybridMultilevel"/>
    <w:tmpl w:val="20F821B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70A1A"/>
    <w:multiLevelType w:val="hybridMultilevel"/>
    <w:tmpl w:val="DDACB1E6"/>
    <w:lvl w:ilvl="0" w:tplc="4B7892B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B6815"/>
    <w:multiLevelType w:val="hybridMultilevel"/>
    <w:tmpl w:val="9490EC6A"/>
    <w:lvl w:ilvl="0" w:tplc="AE1AC23E">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574B16ED"/>
    <w:multiLevelType w:val="multilevel"/>
    <w:tmpl w:val="210E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F66"/>
    <w:multiLevelType w:val="hybridMultilevel"/>
    <w:tmpl w:val="B73AD108"/>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52655"/>
    <w:multiLevelType w:val="hybridMultilevel"/>
    <w:tmpl w:val="5E98686C"/>
    <w:lvl w:ilvl="0" w:tplc="10090001">
      <w:start w:val="1"/>
      <w:numFmt w:val="bullet"/>
      <w:lvlText w:val=""/>
      <w:lvlJc w:val="left"/>
      <w:pPr>
        <w:ind w:left="960" w:hanging="360"/>
      </w:pPr>
      <w:rPr>
        <w:rFonts w:ascii="Symbol" w:hAnsi="Symbol" w:hint="default"/>
      </w:rPr>
    </w:lvl>
    <w:lvl w:ilvl="1" w:tplc="5EB6F264">
      <w:numFmt w:val="bullet"/>
      <w:lvlText w:val="•"/>
      <w:lvlJc w:val="left"/>
      <w:pPr>
        <w:ind w:left="1680" w:hanging="360"/>
      </w:pPr>
      <w:rPr>
        <w:rFonts w:ascii="MS Mincho" w:eastAsia="MS Mincho" w:hAnsi="MS Mincho" w:cs="Times New Roman" w:hint="eastAsia"/>
      </w:rPr>
    </w:lvl>
    <w:lvl w:ilvl="2" w:tplc="10090005">
      <w:start w:val="1"/>
      <w:numFmt w:val="bullet"/>
      <w:lvlText w:val=""/>
      <w:lvlJc w:val="left"/>
      <w:pPr>
        <w:ind w:left="2400" w:hanging="360"/>
      </w:pPr>
      <w:rPr>
        <w:rFonts w:ascii="Wingdings" w:hAnsi="Wingdings" w:hint="default"/>
      </w:rPr>
    </w:lvl>
    <w:lvl w:ilvl="3" w:tplc="10090001">
      <w:start w:val="1"/>
      <w:numFmt w:val="bullet"/>
      <w:lvlText w:val=""/>
      <w:lvlJc w:val="left"/>
      <w:pPr>
        <w:ind w:left="3120" w:hanging="360"/>
      </w:pPr>
      <w:rPr>
        <w:rFonts w:ascii="Symbol" w:hAnsi="Symbol" w:hint="default"/>
      </w:rPr>
    </w:lvl>
    <w:lvl w:ilvl="4" w:tplc="10090003">
      <w:start w:val="1"/>
      <w:numFmt w:val="bullet"/>
      <w:lvlText w:val="o"/>
      <w:lvlJc w:val="left"/>
      <w:pPr>
        <w:ind w:left="3840" w:hanging="360"/>
      </w:pPr>
      <w:rPr>
        <w:rFonts w:ascii="Courier New" w:hAnsi="Courier New" w:cs="Courier New" w:hint="default"/>
      </w:rPr>
    </w:lvl>
    <w:lvl w:ilvl="5" w:tplc="10090005">
      <w:start w:val="1"/>
      <w:numFmt w:val="bullet"/>
      <w:lvlText w:val=""/>
      <w:lvlJc w:val="left"/>
      <w:pPr>
        <w:ind w:left="4560" w:hanging="360"/>
      </w:pPr>
      <w:rPr>
        <w:rFonts w:ascii="Wingdings" w:hAnsi="Wingdings" w:hint="default"/>
      </w:rPr>
    </w:lvl>
    <w:lvl w:ilvl="6" w:tplc="10090001">
      <w:start w:val="1"/>
      <w:numFmt w:val="bullet"/>
      <w:lvlText w:val=""/>
      <w:lvlJc w:val="left"/>
      <w:pPr>
        <w:ind w:left="5280" w:hanging="360"/>
      </w:pPr>
      <w:rPr>
        <w:rFonts w:ascii="Symbol" w:hAnsi="Symbol" w:hint="default"/>
      </w:rPr>
    </w:lvl>
    <w:lvl w:ilvl="7" w:tplc="10090003">
      <w:start w:val="1"/>
      <w:numFmt w:val="bullet"/>
      <w:lvlText w:val="o"/>
      <w:lvlJc w:val="left"/>
      <w:pPr>
        <w:ind w:left="6000" w:hanging="360"/>
      </w:pPr>
      <w:rPr>
        <w:rFonts w:ascii="Courier New" w:hAnsi="Courier New" w:cs="Courier New" w:hint="default"/>
      </w:rPr>
    </w:lvl>
    <w:lvl w:ilvl="8" w:tplc="10090005">
      <w:start w:val="1"/>
      <w:numFmt w:val="bullet"/>
      <w:lvlText w:val=""/>
      <w:lvlJc w:val="left"/>
      <w:pPr>
        <w:ind w:left="6720" w:hanging="360"/>
      </w:pPr>
      <w:rPr>
        <w:rFonts w:ascii="Wingdings" w:hAnsi="Wingdings" w:hint="default"/>
      </w:rPr>
    </w:lvl>
  </w:abstractNum>
  <w:abstractNum w:abstractNumId="33" w15:restartNumberingAfterBreak="0">
    <w:nsid w:val="626B5BA9"/>
    <w:multiLevelType w:val="hybridMultilevel"/>
    <w:tmpl w:val="CBC035AC"/>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D3594B"/>
    <w:multiLevelType w:val="hybridMultilevel"/>
    <w:tmpl w:val="BFE42E1E"/>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D2685A"/>
    <w:multiLevelType w:val="hybridMultilevel"/>
    <w:tmpl w:val="381E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97642E"/>
    <w:multiLevelType w:val="hybridMultilevel"/>
    <w:tmpl w:val="3BFA3316"/>
    <w:lvl w:ilvl="0" w:tplc="6B4CA006">
      <w:start w:val="1"/>
      <w:numFmt w:val="lowerLetter"/>
      <w:lvlText w:val="%1)"/>
      <w:lvlJc w:val="left"/>
      <w:pPr>
        <w:ind w:left="1020" w:hanging="360"/>
      </w:pPr>
    </w:lvl>
    <w:lvl w:ilvl="1" w:tplc="370C4A66">
      <w:start w:val="1"/>
      <w:numFmt w:val="upperRoman"/>
      <w:lvlText w:val="%2)"/>
      <w:lvlJc w:val="right"/>
      <w:pPr>
        <w:ind w:left="1740" w:hanging="360"/>
      </w:pPr>
    </w:lvl>
    <w:lvl w:ilvl="2" w:tplc="2FEA8488">
      <w:start w:val="1"/>
      <w:numFmt w:val="lowerLetter"/>
      <w:lvlText w:val="%3)"/>
      <w:lvlJc w:val="left"/>
      <w:pPr>
        <w:ind w:left="1020" w:hanging="360"/>
      </w:pPr>
    </w:lvl>
    <w:lvl w:ilvl="3" w:tplc="D3A03420">
      <w:start w:val="1"/>
      <w:numFmt w:val="lowerLetter"/>
      <w:lvlText w:val="%4)"/>
      <w:lvlJc w:val="left"/>
      <w:pPr>
        <w:ind w:left="1020" w:hanging="360"/>
      </w:pPr>
    </w:lvl>
    <w:lvl w:ilvl="4" w:tplc="015EC0B4">
      <w:start w:val="1"/>
      <w:numFmt w:val="lowerLetter"/>
      <w:lvlText w:val="%5)"/>
      <w:lvlJc w:val="left"/>
      <w:pPr>
        <w:ind w:left="1020" w:hanging="360"/>
      </w:pPr>
    </w:lvl>
    <w:lvl w:ilvl="5" w:tplc="2A16FC3A">
      <w:start w:val="1"/>
      <w:numFmt w:val="lowerLetter"/>
      <w:lvlText w:val="%6)"/>
      <w:lvlJc w:val="left"/>
      <w:pPr>
        <w:ind w:left="1020" w:hanging="360"/>
      </w:pPr>
    </w:lvl>
    <w:lvl w:ilvl="6" w:tplc="E0DE43C2">
      <w:start w:val="1"/>
      <w:numFmt w:val="lowerLetter"/>
      <w:lvlText w:val="%7)"/>
      <w:lvlJc w:val="left"/>
      <w:pPr>
        <w:ind w:left="1020" w:hanging="360"/>
      </w:pPr>
    </w:lvl>
    <w:lvl w:ilvl="7" w:tplc="D36EC022">
      <w:start w:val="1"/>
      <w:numFmt w:val="lowerLetter"/>
      <w:lvlText w:val="%8)"/>
      <w:lvlJc w:val="left"/>
      <w:pPr>
        <w:ind w:left="1020" w:hanging="360"/>
      </w:pPr>
    </w:lvl>
    <w:lvl w:ilvl="8" w:tplc="770809F8">
      <w:start w:val="1"/>
      <w:numFmt w:val="lowerLetter"/>
      <w:lvlText w:val="%9)"/>
      <w:lvlJc w:val="left"/>
      <w:pPr>
        <w:ind w:left="1020" w:hanging="360"/>
      </w:pPr>
    </w:lvl>
  </w:abstractNum>
  <w:abstractNum w:abstractNumId="38" w15:restartNumberingAfterBreak="0">
    <w:nsid w:val="747625AE"/>
    <w:multiLevelType w:val="hybridMultilevel"/>
    <w:tmpl w:val="7CAAEE64"/>
    <w:lvl w:ilvl="0" w:tplc="4E86B8EA">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7E5466"/>
    <w:multiLevelType w:val="hybridMultilevel"/>
    <w:tmpl w:val="66C031D4"/>
    <w:lvl w:ilvl="0" w:tplc="F3464EC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1"/>
  </w:num>
  <w:num w:numId="2" w16cid:durableId="1345282128">
    <w:abstractNumId w:val="40"/>
  </w:num>
  <w:num w:numId="3" w16cid:durableId="1069613404">
    <w:abstractNumId w:val="35"/>
  </w:num>
  <w:num w:numId="4" w16cid:durableId="374936234">
    <w:abstractNumId w:val="29"/>
  </w:num>
  <w:num w:numId="5" w16cid:durableId="2030641538">
    <w:abstractNumId w:val="9"/>
  </w:num>
  <w:num w:numId="6" w16cid:durableId="703597185">
    <w:abstractNumId w:val="7"/>
  </w:num>
  <w:num w:numId="7" w16cid:durableId="781416614">
    <w:abstractNumId w:val="6"/>
  </w:num>
  <w:num w:numId="8" w16cid:durableId="1474516819">
    <w:abstractNumId w:val="5"/>
  </w:num>
  <w:num w:numId="9" w16cid:durableId="1577324462">
    <w:abstractNumId w:val="4"/>
  </w:num>
  <w:num w:numId="10" w16cid:durableId="766736909">
    <w:abstractNumId w:val="8"/>
  </w:num>
  <w:num w:numId="11" w16cid:durableId="505360799">
    <w:abstractNumId w:val="3"/>
  </w:num>
  <w:num w:numId="12" w16cid:durableId="1723170693">
    <w:abstractNumId w:val="2"/>
  </w:num>
  <w:num w:numId="13" w16cid:durableId="1466117877">
    <w:abstractNumId w:val="1"/>
  </w:num>
  <w:num w:numId="14" w16cid:durableId="475802168">
    <w:abstractNumId w:val="0"/>
  </w:num>
  <w:num w:numId="15" w16cid:durableId="981077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0932948">
    <w:abstractNumId w:val="17"/>
  </w:num>
  <w:num w:numId="17" w16cid:durableId="112091024">
    <w:abstractNumId w:val="19"/>
  </w:num>
  <w:num w:numId="18" w16cid:durableId="1626960837">
    <w:abstractNumId w:val="34"/>
  </w:num>
  <w:num w:numId="19" w16cid:durableId="781614794">
    <w:abstractNumId w:val="37"/>
  </w:num>
  <w:num w:numId="20" w16cid:durableId="1802653626">
    <w:abstractNumId w:val="28"/>
  </w:num>
  <w:num w:numId="21" w16cid:durableId="1208105238">
    <w:abstractNumId w:val="10"/>
  </w:num>
  <w:num w:numId="22" w16cid:durableId="1214349257">
    <w:abstractNumId w:val="11"/>
  </w:num>
  <w:num w:numId="23" w16cid:durableId="378676341">
    <w:abstractNumId w:val="38"/>
  </w:num>
  <w:num w:numId="24" w16cid:durableId="1611546643">
    <w:abstractNumId w:val="30"/>
  </w:num>
  <w:num w:numId="25" w16cid:durableId="1284532358">
    <w:abstractNumId w:val="32"/>
  </w:num>
  <w:num w:numId="26" w16cid:durableId="697200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531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749719">
    <w:abstractNumId w:val="31"/>
  </w:num>
  <w:num w:numId="29" w16cid:durableId="363337121">
    <w:abstractNumId w:val="33"/>
  </w:num>
  <w:num w:numId="30" w16cid:durableId="2113353495">
    <w:abstractNumId w:val="24"/>
  </w:num>
  <w:num w:numId="31" w16cid:durableId="554438304">
    <w:abstractNumId w:val="27"/>
  </w:num>
  <w:num w:numId="32" w16cid:durableId="811293469">
    <w:abstractNumId w:val="26"/>
  </w:num>
  <w:num w:numId="33" w16cid:durableId="1116946335">
    <w:abstractNumId w:val="15"/>
  </w:num>
  <w:num w:numId="34" w16cid:durableId="2016884971">
    <w:abstractNumId w:val="18"/>
  </w:num>
  <w:num w:numId="35" w16cid:durableId="1592398015">
    <w:abstractNumId w:val="14"/>
  </w:num>
  <w:num w:numId="36" w16cid:durableId="733314800">
    <w:abstractNumId w:val="22"/>
  </w:num>
  <w:num w:numId="37" w16cid:durableId="227495076">
    <w:abstractNumId w:val="25"/>
  </w:num>
  <w:num w:numId="38" w16cid:durableId="1765764923">
    <w:abstractNumId w:val="23"/>
  </w:num>
  <w:num w:numId="39" w16cid:durableId="1863275925">
    <w:abstractNumId w:val="12"/>
  </w:num>
  <w:num w:numId="40" w16cid:durableId="109202722">
    <w:abstractNumId w:val="36"/>
  </w:num>
  <w:num w:numId="41" w16cid:durableId="1434478153">
    <w:abstractNumId w:val="13"/>
  </w:num>
  <w:num w:numId="42" w16cid:durableId="4724073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5B"/>
    <w:rsid w:val="00002529"/>
    <w:rsid w:val="000116EF"/>
    <w:rsid w:val="00046C6D"/>
    <w:rsid w:val="00085662"/>
    <w:rsid w:val="000C382F"/>
    <w:rsid w:val="001173CC"/>
    <w:rsid w:val="00133A72"/>
    <w:rsid w:val="001350B9"/>
    <w:rsid w:val="0014464D"/>
    <w:rsid w:val="0014722E"/>
    <w:rsid w:val="00194E14"/>
    <w:rsid w:val="001A54CC"/>
    <w:rsid w:val="00227592"/>
    <w:rsid w:val="00257FB4"/>
    <w:rsid w:val="002E496E"/>
    <w:rsid w:val="00303D62"/>
    <w:rsid w:val="00335367"/>
    <w:rsid w:val="00352422"/>
    <w:rsid w:val="00370C2D"/>
    <w:rsid w:val="003D1287"/>
    <w:rsid w:val="003D1E8D"/>
    <w:rsid w:val="003D673B"/>
    <w:rsid w:val="003F2855"/>
    <w:rsid w:val="00401C20"/>
    <w:rsid w:val="00491BD9"/>
    <w:rsid w:val="004A7957"/>
    <w:rsid w:val="004C4144"/>
    <w:rsid w:val="004E3DD7"/>
    <w:rsid w:val="0055719E"/>
    <w:rsid w:val="006524F8"/>
    <w:rsid w:val="006969B4"/>
    <w:rsid w:val="006D08B3"/>
    <w:rsid w:val="006E4F7B"/>
    <w:rsid w:val="006F2051"/>
    <w:rsid w:val="00766810"/>
    <w:rsid w:val="00781E2A"/>
    <w:rsid w:val="007933A2"/>
    <w:rsid w:val="007B6316"/>
    <w:rsid w:val="00814503"/>
    <w:rsid w:val="008258C2"/>
    <w:rsid w:val="008405A7"/>
    <w:rsid w:val="008505BD"/>
    <w:rsid w:val="00850C78"/>
    <w:rsid w:val="00876165"/>
    <w:rsid w:val="00884D12"/>
    <w:rsid w:val="008B1670"/>
    <w:rsid w:val="008C17AD"/>
    <w:rsid w:val="008D02CD"/>
    <w:rsid w:val="0091370C"/>
    <w:rsid w:val="00936BDF"/>
    <w:rsid w:val="0095172A"/>
    <w:rsid w:val="009A0BA0"/>
    <w:rsid w:val="00A34408"/>
    <w:rsid w:val="00A54E47"/>
    <w:rsid w:val="00A5647B"/>
    <w:rsid w:val="00A61540"/>
    <w:rsid w:val="00AB6E3A"/>
    <w:rsid w:val="00AC335B"/>
    <w:rsid w:val="00AE7093"/>
    <w:rsid w:val="00AF2348"/>
    <w:rsid w:val="00B422BC"/>
    <w:rsid w:val="00B43E65"/>
    <w:rsid w:val="00B43F77"/>
    <w:rsid w:val="00B55A3E"/>
    <w:rsid w:val="00B87E9E"/>
    <w:rsid w:val="00B95F0A"/>
    <w:rsid w:val="00B96180"/>
    <w:rsid w:val="00C03B5D"/>
    <w:rsid w:val="00C116FE"/>
    <w:rsid w:val="00C17AC0"/>
    <w:rsid w:val="00C34772"/>
    <w:rsid w:val="00C46082"/>
    <w:rsid w:val="00C5465A"/>
    <w:rsid w:val="00CD15F4"/>
    <w:rsid w:val="00CF0EAA"/>
    <w:rsid w:val="00D05EE5"/>
    <w:rsid w:val="00D51F7E"/>
    <w:rsid w:val="00D54642"/>
    <w:rsid w:val="00D834E7"/>
    <w:rsid w:val="00DD77C9"/>
    <w:rsid w:val="00DF3538"/>
    <w:rsid w:val="00E441E3"/>
    <w:rsid w:val="00E839B0"/>
    <w:rsid w:val="00E92C09"/>
    <w:rsid w:val="00F14380"/>
    <w:rsid w:val="00F16D80"/>
    <w:rsid w:val="00F53385"/>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49653"/>
  <w15:docId w15:val="{45496C84-35B2-40A2-AC91-ABB44D26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C335B"/>
    <w:rPr>
      <w:color w:val="605E5C"/>
      <w:shd w:val="clear" w:color="auto" w:fill="E1DFDD"/>
    </w:rPr>
  </w:style>
  <w:style w:type="paragraph" w:customStyle="1" w:styleId="TableNo">
    <w:name w:val="Table_No"/>
    <w:basedOn w:val="Normal"/>
    <w:next w:val="Tabletitle0"/>
    <w:rsid w:val="00AC335B"/>
    <w:pPr>
      <w:keepNext/>
      <w:spacing w:before="560" w:after="120"/>
      <w:jc w:val="center"/>
    </w:pPr>
    <w:rPr>
      <w:rFonts w:ascii="Calibri" w:hAnsi="Calibri"/>
      <w:caps/>
      <w:sz w:val="20"/>
      <w:lang w:val="en-GB"/>
    </w:rPr>
  </w:style>
  <w:style w:type="paragraph" w:customStyle="1" w:styleId="Tabletitle0">
    <w:name w:val="Table_title"/>
    <w:basedOn w:val="Normal"/>
    <w:next w:val="Tabletext0"/>
    <w:rsid w:val="00AC335B"/>
    <w:pPr>
      <w:keepNext/>
      <w:keepLines/>
      <w:spacing w:before="0" w:after="120"/>
      <w:jc w:val="center"/>
    </w:pPr>
    <w:rPr>
      <w:rFonts w:ascii="Calibri" w:hAnsi="Calibri"/>
      <w:b/>
      <w:sz w:val="20"/>
      <w:lang w:val="en-GB"/>
    </w:rPr>
  </w:style>
  <w:style w:type="paragraph" w:customStyle="1" w:styleId="Figuretitle0">
    <w:name w:val="Figure_title"/>
    <w:basedOn w:val="Tabletitle0"/>
    <w:next w:val="Normal"/>
    <w:rsid w:val="00AC335B"/>
    <w:pPr>
      <w:spacing w:after="480"/>
    </w:pPr>
  </w:style>
  <w:style w:type="paragraph" w:customStyle="1" w:styleId="FigureNo">
    <w:name w:val="Figure_No"/>
    <w:basedOn w:val="Normal"/>
    <w:next w:val="Figuretitle0"/>
    <w:rsid w:val="00AC335B"/>
    <w:pPr>
      <w:keepNext/>
      <w:keepLines/>
      <w:spacing w:before="480" w:after="120"/>
      <w:jc w:val="center"/>
    </w:pPr>
    <w:rPr>
      <w:rFonts w:ascii="Calibri" w:hAnsi="Calibri"/>
      <w:caps/>
      <w:sz w:val="20"/>
      <w:lang w:val="en-GB"/>
    </w:rPr>
  </w:style>
  <w:style w:type="paragraph" w:customStyle="1" w:styleId="AnnexNo">
    <w:name w:val="Annex_No"/>
    <w:basedOn w:val="Normal"/>
    <w:next w:val="Normal"/>
    <w:rsid w:val="00AC335B"/>
    <w:pPr>
      <w:keepNext/>
      <w:keepLines/>
      <w:spacing w:before="480" w:after="80"/>
      <w:jc w:val="center"/>
    </w:pPr>
    <w:rPr>
      <w:rFonts w:ascii="Calibri" w:hAnsi="Calibri"/>
      <w:caps/>
      <w:sz w:val="28"/>
      <w:lang w:val="en-GB"/>
    </w:rPr>
  </w:style>
  <w:style w:type="paragraph" w:customStyle="1" w:styleId="Annexref0">
    <w:name w:val="Annex_ref"/>
    <w:basedOn w:val="Normal"/>
    <w:next w:val="Normal"/>
    <w:rsid w:val="00AC335B"/>
    <w:pPr>
      <w:keepNext/>
      <w:keepLines/>
      <w:spacing w:after="280"/>
      <w:jc w:val="center"/>
    </w:pPr>
    <w:rPr>
      <w:rFonts w:ascii="Calibri" w:hAnsi="Calibri"/>
      <w:lang w:val="en-GB"/>
    </w:rPr>
  </w:style>
  <w:style w:type="paragraph" w:customStyle="1" w:styleId="Annextitle0">
    <w:name w:val="Annex_title"/>
    <w:basedOn w:val="Normal"/>
    <w:next w:val="Normal"/>
    <w:rsid w:val="00AC335B"/>
    <w:pPr>
      <w:keepNext/>
      <w:keepLines/>
      <w:spacing w:before="240" w:after="280"/>
      <w:jc w:val="center"/>
    </w:pPr>
    <w:rPr>
      <w:rFonts w:ascii="Calibri" w:hAnsi="Calibri"/>
      <w:b/>
      <w:sz w:val="28"/>
      <w:lang w:val="en-GB"/>
    </w:rPr>
  </w:style>
  <w:style w:type="paragraph" w:customStyle="1" w:styleId="AppendixNo">
    <w:name w:val="Appendix_No"/>
    <w:basedOn w:val="AnnexNo"/>
    <w:next w:val="Annexref0"/>
    <w:rsid w:val="00AC335B"/>
  </w:style>
  <w:style w:type="paragraph" w:customStyle="1" w:styleId="Appendixref0">
    <w:name w:val="Appendix_ref"/>
    <w:basedOn w:val="Annexref0"/>
    <w:next w:val="Annextitle0"/>
    <w:rsid w:val="00AC335B"/>
  </w:style>
  <w:style w:type="paragraph" w:customStyle="1" w:styleId="Appendixtitle0">
    <w:name w:val="Appendix_title"/>
    <w:basedOn w:val="Annextitle0"/>
    <w:next w:val="Normal"/>
    <w:rsid w:val="00AC335B"/>
  </w:style>
  <w:style w:type="paragraph" w:customStyle="1" w:styleId="Border">
    <w:name w:val="Border"/>
    <w:basedOn w:val="Tabletext0"/>
    <w:rsid w:val="00AC335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rFonts w:ascii="Calibri" w:hAnsi="Calibri"/>
      <w:b/>
      <w:noProof/>
      <w:sz w:val="24"/>
      <w:lang w:val="en-GB"/>
    </w:rPr>
  </w:style>
  <w:style w:type="paragraph" w:customStyle="1" w:styleId="Proposal">
    <w:name w:val="Proposal"/>
    <w:basedOn w:val="Normal"/>
    <w:next w:val="Normal"/>
    <w:rsid w:val="00AC335B"/>
    <w:pPr>
      <w:keepNext/>
      <w:spacing w:before="240"/>
    </w:pPr>
    <w:rPr>
      <w:rFonts w:ascii="Calibri" w:hAnsi="Times New Roman Bold"/>
      <w:lang w:val="en-GB"/>
    </w:rPr>
  </w:style>
  <w:style w:type="paragraph" w:customStyle="1" w:styleId="Reasons">
    <w:name w:val="Reasons"/>
    <w:basedOn w:val="Normal"/>
    <w:qFormat/>
    <w:rsid w:val="00AC335B"/>
    <w:rPr>
      <w:rFonts w:ascii="Calibri" w:hAnsi="Calibri"/>
      <w:lang w:val="en-GB"/>
    </w:rPr>
  </w:style>
  <w:style w:type="paragraph" w:customStyle="1" w:styleId="Section3">
    <w:name w:val="Section_3"/>
    <w:basedOn w:val="Section1"/>
    <w:rsid w:val="00AC335B"/>
    <w:pPr>
      <w:tabs>
        <w:tab w:val="left" w:pos="794"/>
        <w:tab w:val="left" w:pos="1191"/>
        <w:tab w:val="left" w:pos="1588"/>
        <w:tab w:val="left" w:pos="1985"/>
        <w:tab w:val="center" w:pos="4820"/>
      </w:tabs>
      <w:spacing w:before="360"/>
    </w:pPr>
    <w:rPr>
      <w:rFonts w:ascii="Calibri" w:hAnsi="Calibri"/>
      <w:b w:val="0"/>
      <w:lang w:val="en-GB"/>
    </w:rPr>
  </w:style>
  <w:style w:type="paragraph" w:customStyle="1" w:styleId="TableTextS5">
    <w:name w:val="Table_TextS5"/>
    <w:basedOn w:val="Normal"/>
    <w:rsid w:val="00AC335B"/>
    <w:pPr>
      <w:tabs>
        <w:tab w:val="left" w:pos="170"/>
        <w:tab w:val="left" w:pos="567"/>
        <w:tab w:val="left" w:pos="737"/>
        <w:tab w:val="left" w:pos="2977"/>
        <w:tab w:val="left" w:pos="3266"/>
      </w:tabs>
      <w:spacing w:before="40" w:after="40"/>
    </w:pPr>
    <w:rPr>
      <w:rFonts w:ascii="Calibri" w:hAnsi="Calibri"/>
      <w:sz w:val="20"/>
      <w:lang w:val="en-GB"/>
    </w:rPr>
  </w:style>
  <w:style w:type="paragraph" w:styleId="BalloonText">
    <w:name w:val="Balloon Text"/>
    <w:basedOn w:val="Normal"/>
    <w:link w:val="BalloonTextChar"/>
    <w:rsid w:val="00AC335B"/>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AC335B"/>
    <w:rPr>
      <w:rFonts w:ascii="Tahoma" w:hAnsi="Tahoma" w:cs="Tahoma"/>
      <w:sz w:val="16"/>
      <w:szCs w:val="16"/>
      <w:lang w:val="en-GB" w:eastAsia="en-US"/>
    </w:rPr>
  </w:style>
  <w:style w:type="paragraph" w:styleId="BodyText3">
    <w:name w:val="Body Text 3"/>
    <w:basedOn w:val="Normal"/>
    <w:link w:val="BodyText3Char"/>
    <w:rsid w:val="00AC335B"/>
    <w:pPr>
      <w:overflowPunct/>
      <w:autoSpaceDE/>
      <w:autoSpaceDN/>
      <w:adjustRightInd/>
      <w:spacing w:before="1701"/>
      <w:ind w:right="91"/>
      <w:textAlignment w:val="auto"/>
    </w:pPr>
    <w:rPr>
      <w:rFonts w:ascii="Calibri" w:hAnsi="Calibri"/>
      <w:lang w:val="en-GB"/>
    </w:rPr>
  </w:style>
  <w:style w:type="character" w:customStyle="1" w:styleId="BodyText3Char">
    <w:name w:val="Body Text 3 Char"/>
    <w:basedOn w:val="DefaultParagraphFont"/>
    <w:link w:val="BodyText3"/>
    <w:rsid w:val="00AC335B"/>
    <w:rPr>
      <w:rFonts w:ascii="Calibri" w:hAnsi="Calibri"/>
      <w:sz w:val="24"/>
      <w:lang w:val="en-GB" w:eastAsia="en-US"/>
    </w:rPr>
  </w:style>
  <w:style w:type="table" w:customStyle="1" w:styleId="TableGridLight1">
    <w:name w:val="Table Grid Light1"/>
    <w:basedOn w:val="TableNormal"/>
    <w:rsid w:val="00AC335B"/>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AC335B"/>
    <w:rPr>
      <w:sz w:val="16"/>
      <w:szCs w:val="16"/>
    </w:rPr>
  </w:style>
  <w:style w:type="paragraph" w:styleId="CommentText">
    <w:name w:val="annotation text"/>
    <w:basedOn w:val="Normal"/>
    <w:link w:val="CommentTextChar"/>
    <w:rsid w:val="00AC335B"/>
    <w:rPr>
      <w:rFonts w:ascii="Calibri" w:hAnsi="Calibri"/>
      <w:sz w:val="20"/>
      <w:lang w:val="en-GB"/>
    </w:rPr>
  </w:style>
  <w:style w:type="character" w:customStyle="1" w:styleId="CommentTextChar">
    <w:name w:val="Comment Text Char"/>
    <w:basedOn w:val="DefaultParagraphFont"/>
    <w:link w:val="CommentText"/>
    <w:rsid w:val="00AC335B"/>
    <w:rPr>
      <w:rFonts w:ascii="Calibri" w:hAnsi="Calibri"/>
      <w:lang w:val="en-GB" w:eastAsia="en-US"/>
    </w:rPr>
  </w:style>
  <w:style w:type="paragraph" w:styleId="CommentSubject">
    <w:name w:val="annotation subject"/>
    <w:basedOn w:val="CommentText"/>
    <w:next w:val="CommentText"/>
    <w:link w:val="CommentSubjectChar"/>
    <w:rsid w:val="00AC335B"/>
    <w:rPr>
      <w:b/>
      <w:bCs/>
    </w:rPr>
  </w:style>
  <w:style w:type="character" w:customStyle="1" w:styleId="CommentSubjectChar">
    <w:name w:val="Comment Subject Char"/>
    <w:basedOn w:val="CommentTextChar"/>
    <w:link w:val="CommentSubject"/>
    <w:rsid w:val="00AC335B"/>
    <w:rPr>
      <w:rFonts w:ascii="Calibri" w:hAnsi="Calibri"/>
      <w:b/>
      <w:bCs/>
      <w:lang w:val="en-GB" w:eastAsia="en-US"/>
    </w:rPr>
  </w:style>
  <w:style w:type="table" w:styleId="TableGrid">
    <w:name w:val="Table Grid"/>
    <w:basedOn w:val="TableNormal"/>
    <w:rsid w:val="00AC335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AC335B"/>
    <w:rPr>
      <w:rFonts w:ascii="Calibri" w:hAnsi="Calibri"/>
      <w:sz w:val="24"/>
      <w:lang w:val="en-GB" w:eastAsia="en-US"/>
    </w:rPr>
  </w:style>
  <w:style w:type="paragraph" w:customStyle="1" w:styleId="Docnumber">
    <w:name w:val="Docnumber"/>
    <w:basedOn w:val="Tabletext0"/>
    <w:rsid w:val="00AC335B"/>
    <w:pPr>
      <w:framePr w:hSpace="181" w:wrap="around" w:vAnchor="page" w:hAnchor="margin" w:xAlign="center" w:y="664"/>
      <w:tabs>
        <w:tab w:val="clear" w:pos="1134"/>
        <w:tab w:val="clear" w:pos="2268"/>
        <w:tab w:val="left" w:pos="794"/>
        <w:tab w:val="left" w:pos="1191"/>
        <w:tab w:val="left" w:pos="1588"/>
      </w:tabs>
    </w:pPr>
    <w:rPr>
      <w:rFonts w:ascii="Calibri" w:hAnsi="Calibri"/>
      <w:b/>
      <w:bCs/>
      <w:szCs w:val="22"/>
      <w:lang w:val="en-GB"/>
    </w:rPr>
  </w:style>
  <w:style w:type="paragraph" w:styleId="BodyText0">
    <w:name w:val="Body Text"/>
    <w:basedOn w:val="Normal"/>
    <w:link w:val="BodyTextChar"/>
    <w:rsid w:val="00AC335B"/>
    <w:pPr>
      <w:spacing w:after="120"/>
    </w:pPr>
    <w:rPr>
      <w:rFonts w:ascii="Calibri" w:hAnsi="Calibri"/>
      <w:lang w:val="en-GB"/>
    </w:rPr>
  </w:style>
  <w:style w:type="character" w:customStyle="1" w:styleId="BodyTextChar">
    <w:name w:val="Body Text Char"/>
    <w:basedOn w:val="DefaultParagraphFont"/>
    <w:link w:val="BodyText0"/>
    <w:rsid w:val="00AC335B"/>
    <w:rPr>
      <w:rFonts w:ascii="Calibri" w:hAnsi="Calibri"/>
      <w:sz w:val="24"/>
      <w:lang w:val="en-GB" w:eastAsia="en-US"/>
    </w:rPr>
  </w:style>
  <w:style w:type="paragraph" w:styleId="ListParagraph">
    <w:name w:val="List Paragraph"/>
    <w:basedOn w:val="Normal"/>
    <w:uiPriority w:val="34"/>
    <w:qFormat/>
    <w:rsid w:val="00AC335B"/>
    <w:pPr>
      <w:ind w:left="720"/>
      <w:contextualSpacing/>
    </w:pPr>
    <w:rPr>
      <w:rFonts w:ascii="Calibri" w:hAnsi="Calibri"/>
      <w:lang w:val="en-GB"/>
    </w:rPr>
  </w:style>
  <w:style w:type="character" w:customStyle="1" w:styleId="FootnoteTextChar">
    <w:name w:val="Footnote Text Char"/>
    <w:basedOn w:val="DefaultParagraphFont"/>
    <w:link w:val="FootnoteText"/>
    <w:uiPriority w:val="99"/>
    <w:rsid w:val="00AC335B"/>
    <w:rPr>
      <w:rFonts w:asciiTheme="minorHAnsi" w:hAnsiTheme="minorHAnsi"/>
      <w:sz w:val="24"/>
      <w:lang w:val="es-ES_tradnl" w:eastAsia="en-US"/>
    </w:rPr>
  </w:style>
  <w:style w:type="paragraph" w:customStyle="1" w:styleId="Questionhistory">
    <w:name w:val="Question_history"/>
    <w:basedOn w:val="Normal"/>
    <w:rsid w:val="00AC335B"/>
    <w:pPr>
      <w:tabs>
        <w:tab w:val="clear" w:pos="794"/>
        <w:tab w:val="clear" w:pos="1191"/>
        <w:tab w:val="clear" w:pos="1588"/>
        <w:tab w:val="clear" w:pos="1985"/>
      </w:tabs>
      <w:overflowPunct/>
      <w:autoSpaceDE/>
      <w:autoSpaceDN/>
      <w:adjustRightInd/>
      <w:textAlignment w:val="auto"/>
    </w:pPr>
    <w:rPr>
      <w:rFonts w:ascii="Calibri" w:eastAsiaTheme="minorHAnsi" w:hAnsi="Calibri"/>
      <w:szCs w:val="24"/>
      <w:lang w:val="en-GB" w:eastAsia="ja-JP"/>
    </w:rPr>
  </w:style>
  <w:style w:type="numbering" w:customStyle="1" w:styleId="CurrentList1">
    <w:name w:val="Current List1"/>
    <w:uiPriority w:val="99"/>
    <w:rsid w:val="00AC335B"/>
    <w:pPr>
      <w:numPr>
        <w:numId w:val="39"/>
      </w:numPr>
    </w:pPr>
  </w:style>
  <w:style w:type="character" w:customStyle="1" w:styleId="enumlev1Char">
    <w:name w:val="enumlev1 Char"/>
    <w:link w:val="enumlev1"/>
    <w:qFormat/>
    <w:locked/>
    <w:rsid w:val="00AC335B"/>
    <w:rPr>
      <w:rFonts w:asciiTheme="minorHAnsi" w:hAnsi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3771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16/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1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p=18&amp;q=7/17" TargetMode="External"/><Relationship Id="rId5" Type="http://schemas.openxmlformats.org/officeDocument/2006/relationships/webSettings" Target="webSettings.xml"/><Relationship Id="rId15" Type="http://schemas.openxmlformats.org/officeDocument/2006/relationships/hyperlink" Target="https://www.itu.int/md/T25-TSB-CIR-0101"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679</TotalTime>
  <Pages>20</Pages>
  <Words>7655</Words>
  <Characters>43522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51075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28</cp:revision>
  <cp:lastPrinted>2026-03-06T11:02:00Z</cp:lastPrinted>
  <dcterms:created xsi:type="dcterms:W3CDTF">2026-02-19T14:54:00Z</dcterms:created>
  <dcterms:modified xsi:type="dcterms:W3CDTF">2026-03-06T11:02:00Z</dcterms:modified>
</cp:coreProperties>
</file>