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1" w:type="dxa"/>
        <w:tblInd w:w="8" w:type="dxa"/>
        <w:tblLayout w:type="fixed"/>
        <w:tblCellMar>
          <w:left w:w="0" w:type="dxa"/>
          <w:right w:w="0" w:type="dxa"/>
        </w:tblCellMar>
        <w:tblLook w:val="0000" w:firstRow="0" w:lastRow="0" w:firstColumn="0" w:lastColumn="0" w:noHBand="0" w:noVBand="0"/>
      </w:tblPr>
      <w:tblGrid>
        <w:gridCol w:w="993"/>
        <w:gridCol w:w="417"/>
        <w:gridCol w:w="3467"/>
        <w:gridCol w:w="4754"/>
      </w:tblGrid>
      <w:tr w:rsidR="007B6316" w14:paraId="038E326C" w14:textId="77777777" w:rsidTr="00FE6271">
        <w:trPr>
          <w:cantSplit/>
          <w:trHeight w:val="340"/>
        </w:trPr>
        <w:tc>
          <w:tcPr>
            <w:tcW w:w="1410" w:type="dxa"/>
            <w:gridSpan w:val="2"/>
          </w:tcPr>
          <w:p w14:paraId="3B3841CE"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2F46E147" wp14:editId="4D3D34C9">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221" w:type="dxa"/>
            <w:gridSpan w:val="2"/>
            <w:vAlign w:val="center"/>
          </w:tcPr>
          <w:p w14:paraId="784155F9"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7D8C1F00"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5B930129" w14:textId="77777777" w:rsidTr="00FE6271">
        <w:trPr>
          <w:cantSplit/>
          <w:trHeight w:val="340"/>
        </w:trPr>
        <w:tc>
          <w:tcPr>
            <w:tcW w:w="993" w:type="dxa"/>
          </w:tcPr>
          <w:p w14:paraId="0131109C" w14:textId="77777777" w:rsidR="007B6316" w:rsidRPr="004852C2" w:rsidRDefault="007B6316" w:rsidP="00303D62">
            <w:pPr>
              <w:tabs>
                <w:tab w:val="left" w:pos="4111"/>
              </w:tabs>
              <w:spacing w:before="10"/>
              <w:ind w:left="57"/>
              <w:rPr>
                <w:b/>
                <w:bCs/>
                <w:szCs w:val="24"/>
              </w:rPr>
            </w:pPr>
          </w:p>
        </w:tc>
        <w:tc>
          <w:tcPr>
            <w:tcW w:w="3884" w:type="dxa"/>
            <w:gridSpan w:val="2"/>
          </w:tcPr>
          <w:p w14:paraId="5256ED10" w14:textId="77777777" w:rsidR="007B6316" w:rsidRPr="004852C2" w:rsidRDefault="007B6316" w:rsidP="00303D62">
            <w:pPr>
              <w:tabs>
                <w:tab w:val="left" w:pos="4111"/>
              </w:tabs>
              <w:spacing w:before="0"/>
              <w:ind w:left="57"/>
              <w:rPr>
                <w:b/>
                <w:szCs w:val="24"/>
              </w:rPr>
            </w:pPr>
          </w:p>
        </w:tc>
        <w:tc>
          <w:tcPr>
            <w:tcW w:w="4754" w:type="dxa"/>
          </w:tcPr>
          <w:p w14:paraId="6BD16816" w14:textId="38531A5F" w:rsidR="007B6316" w:rsidRPr="004852C2" w:rsidRDefault="007B6316" w:rsidP="007B6316">
            <w:pPr>
              <w:tabs>
                <w:tab w:val="clear" w:pos="794"/>
                <w:tab w:val="clear" w:pos="1191"/>
                <w:tab w:val="clear" w:pos="1588"/>
                <w:tab w:val="clear" w:pos="1985"/>
                <w:tab w:val="left" w:pos="284"/>
              </w:tabs>
              <w:spacing w:after="120"/>
              <w:ind w:left="284" w:hanging="227"/>
              <w:rPr>
                <w:szCs w:val="24"/>
              </w:rPr>
            </w:pPr>
            <w:r w:rsidRPr="004852C2">
              <w:rPr>
                <w:szCs w:val="24"/>
              </w:rPr>
              <w:t>Ginebra,</w:t>
            </w:r>
            <w:r w:rsidR="004852C2" w:rsidRPr="004852C2">
              <w:rPr>
                <w:szCs w:val="24"/>
              </w:rPr>
              <w:t xml:space="preserve"> 22 de diciembre de 2025</w:t>
            </w:r>
          </w:p>
        </w:tc>
      </w:tr>
      <w:tr w:rsidR="001350B9" w14:paraId="42B32BBF" w14:textId="77777777" w:rsidTr="00FE6271">
        <w:trPr>
          <w:cantSplit/>
          <w:trHeight w:val="340"/>
        </w:trPr>
        <w:tc>
          <w:tcPr>
            <w:tcW w:w="993" w:type="dxa"/>
          </w:tcPr>
          <w:p w14:paraId="31A074C3" w14:textId="77777777" w:rsidR="001350B9" w:rsidRPr="004852C2" w:rsidRDefault="001350B9" w:rsidP="00303D62">
            <w:pPr>
              <w:tabs>
                <w:tab w:val="left" w:pos="4111"/>
              </w:tabs>
              <w:spacing w:before="10"/>
              <w:ind w:left="57"/>
              <w:rPr>
                <w:szCs w:val="24"/>
              </w:rPr>
            </w:pPr>
            <w:r w:rsidRPr="004852C2">
              <w:rPr>
                <w:szCs w:val="24"/>
              </w:rPr>
              <w:t>Ref.:</w:t>
            </w:r>
          </w:p>
          <w:p w14:paraId="73AC21C5" w14:textId="77777777" w:rsidR="001350B9" w:rsidRPr="004852C2" w:rsidRDefault="001350B9" w:rsidP="007B6316">
            <w:pPr>
              <w:tabs>
                <w:tab w:val="left" w:pos="4111"/>
              </w:tabs>
              <w:spacing w:before="10"/>
              <w:ind w:left="57"/>
              <w:rPr>
                <w:szCs w:val="24"/>
              </w:rPr>
            </w:pPr>
          </w:p>
        </w:tc>
        <w:tc>
          <w:tcPr>
            <w:tcW w:w="3884" w:type="dxa"/>
            <w:gridSpan w:val="2"/>
          </w:tcPr>
          <w:p w14:paraId="2D9886F7" w14:textId="2F2D9D41" w:rsidR="001350B9" w:rsidRPr="004852C2" w:rsidRDefault="001350B9" w:rsidP="00303D62">
            <w:pPr>
              <w:tabs>
                <w:tab w:val="left" w:pos="4111"/>
              </w:tabs>
              <w:spacing w:before="0"/>
              <w:ind w:left="57"/>
              <w:rPr>
                <w:b/>
                <w:szCs w:val="24"/>
                <w:lang w:val="fr-FR"/>
              </w:rPr>
            </w:pPr>
            <w:r w:rsidRPr="004852C2">
              <w:rPr>
                <w:b/>
                <w:szCs w:val="24"/>
                <w:lang w:val="fr-FR"/>
              </w:rPr>
              <w:t xml:space="preserve">Circular TSB </w:t>
            </w:r>
            <w:r w:rsidR="004852C2" w:rsidRPr="004852C2">
              <w:rPr>
                <w:b/>
                <w:szCs w:val="24"/>
                <w:lang w:val="fr-FR"/>
              </w:rPr>
              <w:t>100</w:t>
            </w:r>
          </w:p>
          <w:p w14:paraId="4483B44C" w14:textId="3BF6A1B0" w:rsidR="001350B9" w:rsidRPr="00B7311A" w:rsidRDefault="004852C2" w:rsidP="007B6316">
            <w:pPr>
              <w:tabs>
                <w:tab w:val="left" w:pos="4111"/>
              </w:tabs>
              <w:spacing w:before="0"/>
              <w:ind w:left="57"/>
              <w:rPr>
                <w:b/>
                <w:szCs w:val="24"/>
                <w:lang w:val="fr-FR"/>
              </w:rPr>
            </w:pPr>
            <w:r w:rsidRPr="004852C2">
              <w:rPr>
                <w:szCs w:val="24"/>
                <w:lang w:val="fr-FR"/>
              </w:rPr>
              <w:t>CE 17</w:t>
            </w:r>
            <w:r w:rsidR="001350B9" w:rsidRPr="004852C2">
              <w:rPr>
                <w:szCs w:val="24"/>
                <w:lang w:val="fr-FR"/>
              </w:rPr>
              <w:t>/</w:t>
            </w:r>
            <w:r w:rsidRPr="004852C2">
              <w:rPr>
                <w:szCs w:val="24"/>
                <w:lang w:val="fr-FR"/>
              </w:rPr>
              <w:t>XY</w:t>
            </w:r>
          </w:p>
        </w:tc>
        <w:tc>
          <w:tcPr>
            <w:tcW w:w="4754" w:type="dxa"/>
            <w:vMerge w:val="restart"/>
          </w:tcPr>
          <w:p w14:paraId="3732DCB0" w14:textId="30E20079" w:rsidR="004852C2" w:rsidRPr="004852C2" w:rsidRDefault="004852C2" w:rsidP="004852C2">
            <w:pPr>
              <w:tabs>
                <w:tab w:val="clear" w:pos="794"/>
                <w:tab w:val="clear" w:pos="1191"/>
                <w:tab w:val="clear" w:pos="1588"/>
                <w:tab w:val="clear" w:pos="1985"/>
                <w:tab w:val="left" w:pos="284"/>
              </w:tabs>
              <w:spacing w:before="0"/>
              <w:ind w:left="284" w:hanging="227"/>
              <w:rPr>
                <w:szCs w:val="24"/>
              </w:rPr>
            </w:pPr>
            <w:bookmarkStart w:id="0" w:name="Addressee_S"/>
            <w:bookmarkEnd w:id="0"/>
            <w:r w:rsidRPr="004852C2">
              <w:rPr>
                <w:szCs w:val="24"/>
              </w:rPr>
              <w:t>–</w:t>
            </w:r>
            <w:r w:rsidR="001350B9" w:rsidRPr="004852C2">
              <w:rPr>
                <w:szCs w:val="24"/>
              </w:rPr>
              <w:tab/>
              <w:t>A las Administraciones de los Estados Miembros de la Unión</w:t>
            </w:r>
            <w:r w:rsidRPr="004852C2">
              <w:rPr>
                <w:szCs w:val="24"/>
              </w:rPr>
              <w:t>;</w:t>
            </w:r>
          </w:p>
          <w:p w14:paraId="142F1B9F" w14:textId="1D6845A2" w:rsidR="004852C2" w:rsidRPr="004852C2"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Pr="004852C2">
              <w:rPr>
                <w:szCs w:val="24"/>
              </w:rPr>
              <w:tab/>
              <w:t>Al Estado de Palestina (Res. 99 (Rev. Dubái, 2018))</w:t>
            </w:r>
          </w:p>
          <w:p w14:paraId="44441D76" w14:textId="4F608133" w:rsidR="004852C2" w:rsidRPr="004852C2" w:rsidRDefault="004852C2" w:rsidP="004852C2">
            <w:pPr>
              <w:tabs>
                <w:tab w:val="clear" w:pos="794"/>
                <w:tab w:val="clear" w:pos="1191"/>
                <w:tab w:val="clear" w:pos="1588"/>
                <w:tab w:val="clear" w:pos="1985"/>
                <w:tab w:val="left" w:pos="284"/>
              </w:tabs>
              <w:spacing w:after="120"/>
              <w:ind w:left="284" w:hanging="227"/>
              <w:rPr>
                <w:b/>
                <w:bCs/>
                <w:szCs w:val="24"/>
              </w:rPr>
            </w:pPr>
            <w:r w:rsidRPr="004852C2">
              <w:rPr>
                <w:b/>
                <w:bCs/>
                <w:szCs w:val="24"/>
              </w:rPr>
              <w:t>Copia:</w:t>
            </w:r>
          </w:p>
          <w:p w14:paraId="401C958C" w14:textId="4826A98B" w:rsidR="004852C2" w:rsidRPr="004852C2"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001350B9" w:rsidRPr="004852C2">
              <w:rPr>
                <w:szCs w:val="24"/>
              </w:rPr>
              <w:tab/>
              <w:t xml:space="preserve">A los Miembros de Sector </w:t>
            </w:r>
            <w:r w:rsidRPr="004852C2">
              <w:rPr>
                <w:szCs w:val="24"/>
              </w:rPr>
              <w:t xml:space="preserve">del </w:t>
            </w:r>
            <w:r w:rsidR="001350B9" w:rsidRPr="004852C2">
              <w:rPr>
                <w:szCs w:val="24"/>
              </w:rPr>
              <w:t>UIT</w:t>
            </w:r>
            <w:r w:rsidR="001350B9" w:rsidRPr="004852C2">
              <w:rPr>
                <w:szCs w:val="24"/>
              </w:rPr>
              <w:noBreakHyphen/>
              <w:t>T;</w:t>
            </w:r>
          </w:p>
          <w:p w14:paraId="16381E90" w14:textId="3DAE62E6" w:rsidR="004852C2" w:rsidRPr="004852C2"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001350B9" w:rsidRPr="004852C2">
              <w:rPr>
                <w:szCs w:val="24"/>
              </w:rPr>
              <w:tab/>
              <w:t>A los Asociados de</w:t>
            </w:r>
            <w:r w:rsidRPr="004852C2">
              <w:rPr>
                <w:szCs w:val="24"/>
              </w:rPr>
              <w:t xml:space="preserve"> </w:t>
            </w:r>
            <w:r w:rsidR="001350B9" w:rsidRPr="004852C2">
              <w:rPr>
                <w:szCs w:val="24"/>
              </w:rPr>
              <w:t>l</w:t>
            </w:r>
            <w:r w:rsidRPr="004852C2">
              <w:rPr>
                <w:szCs w:val="24"/>
              </w:rPr>
              <w:t>a Comisión de Estudio 17 del </w:t>
            </w:r>
            <w:r w:rsidR="001350B9" w:rsidRPr="004852C2">
              <w:rPr>
                <w:szCs w:val="24"/>
              </w:rPr>
              <w:t>UIT</w:t>
            </w:r>
            <w:r w:rsidR="001350B9" w:rsidRPr="004852C2">
              <w:rPr>
                <w:szCs w:val="24"/>
              </w:rPr>
              <w:noBreakHyphen/>
              <w:t>T;</w:t>
            </w:r>
          </w:p>
          <w:p w14:paraId="25C10B25" w14:textId="4A60E155" w:rsidR="004852C2" w:rsidRPr="004852C2"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001350B9" w:rsidRPr="004852C2">
              <w:rPr>
                <w:szCs w:val="24"/>
              </w:rPr>
              <w:tab/>
              <w:t>A las Instituciones Académicas de</w:t>
            </w:r>
            <w:r w:rsidRPr="004852C2">
              <w:rPr>
                <w:szCs w:val="24"/>
              </w:rPr>
              <w:t xml:space="preserve"> </w:t>
            </w:r>
            <w:r w:rsidR="001350B9" w:rsidRPr="004852C2">
              <w:rPr>
                <w:szCs w:val="24"/>
              </w:rPr>
              <w:t>l</w:t>
            </w:r>
            <w:r w:rsidRPr="004852C2">
              <w:rPr>
                <w:szCs w:val="24"/>
              </w:rPr>
              <w:t>a</w:t>
            </w:r>
            <w:r w:rsidR="001350B9" w:rsidRPr="004852C2">
              <w:rPr>
                <w:szCs w:val="24"/>
              </w:rPr>
              <w:t xml:space="preserve"> UI</w:t>
            </w:r>
            <w:r w:rsidRPr="004852C2">
              <w:rPr>
                <w:szCs w:val="24"/>
              </w:rPr>
              <w:t>T;</w:t>
            </w:r>
          </w:p>
          <w:p w14:paraId="0A46040F" w14:textId="0889E6AD" w:rsidR="004852C2" w:rsidRPr="004852C2"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001350B9" w:rsidRPr="004852C2">
              <w:rPr>
                <w:szCs w:val="24"/>
              </w:rPr>
              <w:tab/>
              <w:t>Al Presidente y a los Vicepresidentes de la</w:t>
            </w:r>
            <w:r w:rsidRPr="004852C2">
              <w:rPr>
                <w:szCs w:val="24"/>
              </w:rPr>
              <w:t xml:space="preserve"> </w:t>
            </w:r>
            <w:r w:rsidR="001350B9" w:rsidRPr="004852C2">
              <w:rPr>
                <w:szCs w:val="24"/>
              </w:rPr>
              <w:t xml:space="preserve">Comisión de Estudio </w:t>
            </w:r>
            <w:r w:rsidRPr="004852C2">
              <w:rPr>
                <w:szCs w:val="24"/>
              </w:rPr>
              <w:t>17 del UIT-T</w:t>
            </w:r>
            <w:r w:rsidR="001350B9" w:rsidRPr="004852C2">
              <w:rPr>
                <w:szCs w:val="24"/>
              </w:rPr>
              <w:t>;</w:t>
            </w:r>
          </w:p>
          <w:p w14:paraId="68F7A632" w14:textId="5419EA9B" w:rsidR="004852C2" w:rsidRPr="004852C2"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001350B9" w:rsidRPr="004852C2">
              <w:rPr>
                <w:szCs w:val="24"/>
              </w:rPr>
              <w:tab/>
              <w:t>Al Director de la Oficina de Desarrollo de las Telecomunicaciones;</w:t>
            </w:r>
          </w:p>
          <w:p w14:paraId="1ED621D3" w14:textId="77777777" w:rsidR="001350B9" w:rsidRDefault="004852C2" w:rsidP="004852C2">
            <w:pPr>
              <w:tabs>
                <w:tab w:val="clear" w:pos="794"/>
                <w:tab w:val="clear" w:pos="1191"/>
                <w:tab w:val="clear" w:pos="1588"/>
                <w:tab w:val="clear" w:pos="1985"/>
                <w:tab w:val="left" w:pos="284"/>
              </w:tabs>
              <w:spacing w:before="0"/>
              <w:ind w:left="284" w:hanging="227"/>
              <w:rPr>
                <w:szCs w:val="24"/>
              </w:rPr>
            </w:pPr>
            <w:r w:rsidRPr="004852C2">
              <w:rPr>
                <w:szCs w:val="24"/>
              </w:rPr>
              <w:t>–</w:t>
            </w:r>
            <w:r w:rsidR="001350B9" w:rsidRPr="004852C2">
              <w:rPr>
                <w:szCs w:val="24"/>
              </w:rPr>
              <w:tab/>
              <w:t xml:space="preserve">Al </w:t>
            </w:r>
            <w:proofErr w:type="gramStart"/>
            <w:r w:rsidR="001350B9" w:rsidRPr="004852C2">
              <w:rPr>
                <w:szCs w:val="24"/>
              </w:rPr>
              <w:t>Director</w:t>
            </w:r>
            <w:proofErr w:type="gramEnd"/>
            <w:r w:rsidR="001350B9" w:rsidRPr="004852C2">
              <w:rPr>
                <w:szCs w:val="24"/>
              </w:rPr>
              <w:t xml:space="preserve"> de la Oficina de Radiocomunicaciones</w:t>
            </w:r>
          </w:p>
          <w:p w14:paraId="7D161127" w14:textId="77777777" w:rsidR="00880A93" w:rsidRDefault="00880A93" w:rsidP="004852C2">
            <w:pPr>
              <w:tabs>
                <w:tab w:val="clear" w:pos="794"/>
                <w:tab w:val="clear" w:pos="1191"/>
                <w:tab w:val="clear" w:pos="1588"/>
                <w:tab w:val="clear" w:pos="1985"/>
                <w:tab w:val="left" w:pos="284"/>
              </w:tabs>
              <w:spacing w:before="0"/>
              <w:ind w:left="284" w:hanging="227"/>
              <w:rPr>
                <w:szCs w:val="24"/>
              </w:rPr>
            </w:pPr>
          </w:p>
          <w:p w14:paraId="03613176" w14:textId="13D73F38" w:rsidR="00880A93" w:rsidRPr="004852C2" w:rsidRDefault="00880A93" w:rsidP="004852C2">
            <w:pPr>
              <w:tabs>
                <w:tab w:val="clear" w:pos="794"/>
                <w:tab w:val="clear" w:pos="1191"/>
                <w:tab w:val="clear" w:pos="1588"/>
                <w:tab w:val="clear" w:pos="1985"/>
                <w:tab w:val="left" w:pos="284"/>
              </w:tabs>
              <w:spacing w:before="0"/>
              <w:ind w:left="284" w:hanging="227"/>
              <w:rPr>
                <w:szCs w:val="24"/>
              </w:rPr>
            </w:pPr>
          </w:p>
        </w:tc>
      </w:tr>
      <w:tr w:rsidR="001350B9" w14:paraId="4584DBB3" w14:textId="77777777" w:rsidTr="00FE6271">
        <w:trPr>
          <w:cantSplit/>
        </w:trPr>
        <w:tc>
          <w:tcPr>
            <w:tcW w:w="993" w:type="dxa"/>
          </w:tcPr>
          <w:p w14:paraId="6EA21AD9" w14:textId="77777777" w:rsidR="001350B9" w:rsidRPr="004852C2" w:rsidRDefault="001350B9" w:rsidP="00303D62">
            <w:pPr>
              <w:tabs>
                <w:tab w:val="left" w:pos="4111"/>
              </w:tabs>
              <w:spacing w:before="10"/>
              <w:ind w:left="57"/>
              <w:rPr>
                <w:szCs w:val="24"/>
              </w:rPr>
            </w:pPr>
            <w:r w:rsidRPr="004852C2">
              <w:rPr>
                <w:szCs w:val="24"/>
              </w:rPr>
              <w:t>Tel.:</w:t>
            </w:r>
          </w:p>
        </w:tc>
        <w:tc>
          <w:tcPr>
            <w:tcW w:w="3884" w:type="dxa"/>
            <w:gridSpan w:val="2"/>
          </w:tcPr>
          <w:p w14:paraId="5BECD637" w14:textId="08055D01" w:rsidR="001350B9" w:rsidRPr="004852C2" w:rsidRDefault="001350B9" w:rsidP="00303D62">
            <w:pPr>
              <w:tabs>
                <w:tab w:val="left" w:pos="4111"/>
              </w:tabs>
              <w:spacing w:before="0"/>
              <w:ind w:left="57"/>
              <w:rPr>
                <w:rStyle w:val="Hyperlink"/>
                <w:szCs w:val="24"/>
              </w:rPr>
            </w:pPr>
            <w:r w:rsidRPr="004852C2">
              <w:rPr>
                <w:szCs w:val="24"/>
              </w:rPr>
              <w:t>+41 22 730</w:t>
            </w:r>
            <w:r w:rsidR="004852C2" w:rsidRPr="004852C2">
              <w:rPr>
                <w:szCs w:val="24"/>
              </w:rPr>
              <w:t xml:space="preserve"> 6206</w:t>
            </w:r>
          </w:p>
        </w:tc>
        <w:tc>
          <w:tcPr>
            <w:tcW w:w="4754" w:type="dxa"/>
            <w:vMerge/>
          </w:tcPr>
          <w:p w14:paraId="27E2DEAA" w14:textId="77777777" w:rsidR="001350B9" w:rsidRPr="004852C2" w:rsidRDefault="001350B9" w:rsidP="00303D62">
            <w:pPr>
              <w:tabs>
                <w:tab w:val="left" w:pos="226"/>
                <w:tab w:val="left" w:pos="510"/>
              </w:tabs>
              <w:spacing w:before="0"/>
              <w:ind w:left="226" w:hanging="169"/>
              <w:rPr>
                <w:b/>
                <w:szCs w:val="24"/>
              </w:rPr>
            </w:pPr>
          </w:p>
        </w:tc>
      </w:tr>
      <w:tr w:rsidR="001350B9" w14:paraId="6540F774" w14:textId="77777777" w:rsidTr="00FE6271">
        <w:trPr>
          <w:cantSplit/>
        </w:trPr>
        <w:tc>
          <w:tcPr>
            <w:tcW w:w="993" w:type="dxa"/>
          </w:tcPr>
          <w:p w14:paraId="14ED47DC" w14:textId="77777777" w:rsidR="001350B9" w:rsidRPr="004852C2" w:rsidRDefault="001350B9" w:rsidP="00303D62">
            <w:pPr>
              <w:tabs>
                <w:tab w:val="left" w:pos="4111"/>
              </w:tabs>
              <w:spacing w:before="10"/>
              <w:ind w:left="57"/>
              <w:rPr>
                <w:szCs w:val="24"/>
              </w:rPr>
            </w:pPr>
            <w:r w:rsidRPr="004852C2">
              <w:rPr>
                <w:szCs w:val="24"/>
              </w:rPr>
              <w:t>Fax:</w:t>
            </w:r>
          </w:p>
        </w:tc>
        <w:tc>
          <w:tcPr>
            <w:tcW w:w="3884" w:type="dxa"/>
            <w:gridSpan w:val="2"/>
          </w:tcPr>
          <w:p w14:paraId="6DEA70A0" w14:textId="77777777" w:rsidR="001350B9" w:rsidRPr="004852C2" w:rsidRDefault="001350B9" w:rsidP="00303D62">
            <w:pPr>
              <w:tabs>
                <w:tab w:val="left" w:pos="4111"/>
              </w:tabs>
              <w:spacing w:before="0"/>
              <w:ind w:left="57"/>
              <w:rPr>
                <w:rStyle w:val="Hyperlink"/>
                <w:szCs w:val="24"/>
              </w:rPr>
            </w:pPr>
            <w:r w:rsidRPr="004852C2">
              <w:rPr>
                <w:szCs w:val="24"/>
              </w:rPr>
              <w:t>+41 22 730 5853</w:t>
            </w:r>
          </w:p>
        </w:tc>
        <w:tc>
          <w:tcPr>
            <w:tcW w:w="4754" w:type="dxa"/>
            <w:vMerge/>
          </w:tcPr>
          <w:p w14:paraId="55EFA2AF" w14:textId="77777777" w:rsidR="001350B9" w:rsidRPr="004852C2" w:rsidRDefault="001350B9" w:rsidP="00303D62">
            <w:pPr>
              <w:tabs>
                <w:tab w:val="left" w:pos="226"/>
                <w:tab w:val="left" w:pos="510"/>
              </w:tabs>
              <w:spacing w:before="0"/>
              <w:ind w:left="226" w:hanging="169"/>
              <w:rPr>
                <w:b/>
                <w:szCs w:val="24"/>
              </w:rPr>
            </w:pPr>
          </w:p>
        </w:tc>
      </w:tr>
      <w:tr w:rsidR="001350B9" w14:paraId="344C83AF" w14:textId="77777777" w:rsidTr="00FE6271">
        <w:trPr>
          <w:cantSplit/>
        </w:trPr>
        <w:tc>
          <w:tcPr>
            <w:tcW w:w="993" w:type="dxa"/>
          </w:tcPr>
          <w:p w14:paraId="0861FBDB" w14:textId="77777777" w:rsidR="001350B9" w:rsidRPr="004852C2" w:rsidRDefault="001350B9" w:rsidP="00303D62">
            <w:pPr>
              <w:tabs>
                <w:tab w:val="left" w:pos="4111"/>
              </w:tabs>
              <w:spacing w:before="10"/>
              <w:ind w:left="57"/>
              <w:rPr>
                <w:szCs w:val="24"/>
              </w:rPr>
            </w:pPr>
            <w:r w:rsidRPr="004852C2">
              <w:rPr>
                <w:szCs w:val="24"/>
              </w:rPr>
              <w:t>Correo-e:</w:t>
            </w:r>
          </w:p>
        </w:tc>
        <w:tc>
          <w:tcPr>
            <w:tcW w:w="3884" w:type="dxa"/>
            <w:gridSpan w:val="2"/>
          </w:tcPr>
          <w:p w14:paraId="3207A473" w14:textId="06194DFE" w:rsidR="001350B9" w:rsidRPr="004852C2" w:rsidRDefault="004852C2" w:rsidP="00303D62">
            <w:pPr>
              <w:tabs>
                <w:tab w:val="left" w:pos="4111"/>
              </w:tabs>
              <w:spacing w:before="0"/>
              <w:ind w:left="57"/>
              <w:rPr>
                <w:szCs w:val="24"/>
              </w:rPr>
            </w:pPr>
            <w:hyperlink r:id="rId9" w:history="1">
              <w:r w:rsidRPr="004852C2">
                <w:rPr>
                  <w:rStyle w:val="Hyperlink"/>
                  <w:szCs w:val="24"/>
                </w:rPr>
                <w:t>tsbsg17@itu.int</w:t>
              </w:r>
            </w:hyperlink>
          </w:p>
        </w:tc>
        <w:tc>
          <w:tcPr>
            <w:tcW w:w="4754" w:type="dxa"/>
            <w:vMerge/>
          </w:tcPr>
          <w:p w14:paraId="6A3CA9D7" w14:textId="77777777" w:rsidR="001350B9" w:rsidRPr="004852C2" w:rsidRDefault="001350B9" w:rsidP="00303D62">
            <w:pPr>
              <w:tabs>
                <w:tab w:val="clear" w:pos="794"/>
                <w:tab w:val="clear" w:pos="1191"/>
                <w:tab w:val="clear" w:pos="1588"/>
                <w:tab w:val="clear" w:pos="1985"/>
                <w:tab w:val="left" w:pos="226"/>
                <w:tab w:val="left" w:pos="510"/>
              </w:tabs>
              <w:spacing w:before="0"/>
              <w:ind w:left="226" w:hanging="169"/>
              <w:rPr>
                <w:szCs w:val="24"/>
              </w:rPr>
            </w:pPr>
          </w:p>
        </w:tc>
      </w:tr>
      <w:tr w:rsidR="007B6316" w14:paraId="4ABD3057" w14:textId="77777777" w:rsidTr="00FE6271">
        <w:trPr>
          <w:cantSplit/>
        </w:trPr>
        <w:tc>
          <w:tcPr>
            <w:tcW w:w="993" w:type="dxa"/>
          </w:tcPr>
          <w:p w14:paraId="04AEACDF" w14:textId="77777777" w:rsidR="007B6316" w:rsidRPr="004852C2" w:rsidRDefault="007B6316" w:rsidP="00303D62">
            <w:pPr>
              <w:tabs>
                <w:tab w:val="left" w:pos="4111"/>
              </w:tabs>
              <w:spacing w:before="10"/>
              <w:ind w:left="57"/>
              <w:rPr>
                <w:szCs w:val="24"/>
              </w:rPr>
            </w:pPr>
            <w:r w:rsidRPr="004852C2">
              <w:rPr>
                <w:szCs w:val="24"/>
              </w:rPr>
              <w:t>Asunto:</w:t>
            </w:r>
          </w:p>
        </w:tc>
        <w:tc>
          <w:tcPr>
            <w:tcW w:w="8638" w:type="dxa"/>
            <w:gridSpan w:val="3"/>
          </w:tcPr>
          <w:p w14:paraId="3C2AA308" w14:textId="12777848" w:rsidR="007B6316" w:rsidRPr="004852C2" w:rsidRDefault="004852C2" w:rsidP="00303D62">
            <w:pPr>
              <w:tabs>
                <w:tab w:val="left" w:pos="4111"/>
              </w:tabs>
              <w:spacing w:before="0"/>
              <w:rPr>
                <w:b/>
                <w:szCs w:val="24"/>
              </w:rPr>
            </w:pPr>
            <w:bookmarkStart w:id="1" w:name="_Hlk217291356"/>
            <w:r w:rsidRPr="004852C2">
              <w:rPr>
                <w:b/>
                <w:bCs/>
                <w:color w:val="000000"/>
                <w:szCs w:val="24"/>
                <w:lang w:val="es-ES"/>
              </w:rPr>
              <w:t>Consulta a los Estados Miembros sobre el proyecto de nueva Recomendación UIT-T X.1901 (antes X.aas) determinada ISO/CEI 27566-1, propuesto para aprobación en la reunión de la Comisión de Estudio 17 del UIT-T (virtual, 9 de abril de 2026)</w:t>
            </w:r>
            <w:bookmarkEnd w:id="1"/>
          </w:p>
        </w:tc>
      </w:tr>
    </w:tbl>
    <w:p w14:paraId="56F4498E" w14:textId="77777777" w:rsidR="00C34772" w:rsidRDefault="00C34772" w:rsidP="007B6316">
      <w:pPr>
        <w:spacing w:before="320"/>
      </w:pPr>
      <w:bookmarkStart w:id="2" w:name="StartTyping_S"/>
      <w:bookmarkStart w:id="3" w:name="suitetext"/>
      <w:bookmarkStart w:id="4" w:name="text"/>
      <w:bookmarkEnd w:id="2"/>
      <w:bookmarkEnd w:id="3"/>
      <w:bookmarkEnd w:id="4"/>
      <w:r>
        <w:t>Muy Señora mía/Muy Señor mío:</w:t>
      </w:r>
    </w:p>
    <w:p w14:paraId="6E1C2D92" w14:textId="113CBAAB" w:rsidR="004852C2" w:rsidRPr="004852C2" w:rsidRDefault="004852C2" w:rsidP="004852C2">
      <w:pPr>
        <w:rPr>
          <w:rFonts w:cstheme="minorHAnsi"/>
          <w:szCs w:val="24"/>
          <w:lang w:val="es-ES"/>
        </w:rPr>
      </w:pPr>
      <w:r w:rsidRPr="004852C2">
        <w:rPr>
          <w:szCs w:val="24"/>
          <w:lang w:val="es-ES"/>
        </w:rPr>
        <w:t>1</w:t>
      </w:r>
      <w:r w:rsidRPr="004852C2">
        <w:rPr>
          <w:szCs w:val="24"/>
          <w:lang w:val="es-ES"/>
        </w:rPr>
        <w:tab/>
        <w:t>La Comisión de Estudio 17 del UIT-T (Seguridad) tiene previsto aplicar el procedimiento de aprobación tradicional descrito en la Sección 9 de la Resolución 1 (Rev. Ginebra, 2022) de la AMNT para la aprobación del citado proyecto de Recomendación durante su próxima reunión virtual, el 9</w:t>
      </w:r>
      <w:r w:rsidR="00B7311A">
        <w:rPr>
          <w:szCs w:val="24"/>
          <w:lang w:val="es-ES"/>
        </w:rPr>
        <w:t> </w:t>
      </w:r>
      <w:r w:rsidRPr="004852C2">
        <w:rPr>
          <w:szCs w:val="24"/>
          <w:lang w:val="es-ES"/>
        </w:rPr>
        <w:t>de abril de 2026. El orden del día y toda la información pertinente sobre la reunión de la Comisión de Estudio 17 del UIT-T figurarán en la Carta Colectiva </w:t>
      </w:r>
      <w:hyperlink r:id="rId10" w:history="1">
        <w:r w:rsidRPr="004852C2">
          <w:rPr>
            <w:rStyle w:val="Hyperlink"/>
            <w:szCs w:val="24"/>
            <w:lang w:val="es-ES"/>
          </w:rPr>
          <w:t>7/17</w:t>
        </w:r>
      </w:hyperlink>
      <w:r w:rsidRPr="004852C2">
        <w:rPr>
          <w:szCs w:val="24"/>
          <w:lang w:val="es-ES"/>
        </w:rPr>
        <w:t>.</w:t>
      </w:r>
      <w:hyperlink r:id="rId11" w:history="1"/>
    </w:p>
    <w:p w14:paraId="4A0D2928" w14:textId="77777777" w:rsidR="004852C2" w:rsidRPr="004852C2" w:rsidRDefault="004852C2" w:rsidP="004852C2">
      <w:pPr>
        <w:rPr>
          <w:rFonts w:cstheme="minorHAnsi"/>
          <w:szCs w:val="24"/>
          <w:lang w:val="es-ES"/>
        </w:rPr>
      </w:pPr>
      <w:r w:rsidRPr="004852C2">
        <w:rPr>
          <w:szCs w:val="24"/>
          <w:lang w:val="es-ES"/>
        </w:rPr>
        <w:t>2</w:t>
      </w:r>
      <w:r w:rsidRPr="004852C2">
        <w:rPr>
          <w:szCs w:val="24"/>
          <w:lang w:val="es-ES"/>
        </w:rPr>
        <w:tab/>
        <w:t>El Anexo 1 contiene los títulos, resúmenes y ubicaciones de los proyectos de Recomendación UIT-T propuestos para aprobación.</w:t>
      </w:r>
    </w:p>
    <w:p w14:paraId="75F0CBC1" w14:textId="77777777" w:rsidR="004852C2" w:rsidRPr="004852C2" w:rsidRDefault="004852C2" w:rsidP="004852C2">
      <w:pPr>
        <w:rPr>
          <w:rFonts w:cstheme="minorHAnsi"/>
          <w:b/>
          <w:bCs/>
          <w:szCs w:val="24"/>
          <w:lang w:val="es-ES"/>
        </w:rPr>
      </w:pPr>
      <w:r w:rsidRPr="004852C2">
        <w:rPr>
          <w:szCs w:val="24"/>
          <w:lang w:val="es-ES"/>
        </w:rPr>
        <w:t>3</w:t>
      </w:r>
      <w:r w:rsidRPr="004852C2">
        <w:rPr>
          <w:szCs w:val="24"/>
          <w:lang w:val="es-ES"/>
        </w:rPr>
        <w:tab/>
        <w:t xml:space="preserve">Con esta Circular se inicia la consulta oficial con los Estados Miembros de la UIT sobre si estos textos pueden considerarse para aprobación en la próxima reunión, de acuerdo con la cláusula 9.4 de la Resolución 1. Se ruega a los Estados Miembros que cumplimenten y devuelvan el formulario incluido en el Anexo 2 antes de las 23.59 horas UTC del </w:t>
      </w:r>
      <w:r w:rsidRPr="004852C2">
        <w:rPr>
          <w:b/>
          <w:bCs/>
          <w:szCs w:val="24"/>
          <w:lang w:val="es-ES"/>
        </w:rPr>
        <w:t>30 de marzo de 2026</w:t>
      </w:r>
      <w:r w:rsidRPr="004852C2">
        <w:rPr>
          <w:szCs w:val="24"/>
          <w:lang w:val="es-ES"/>
        </w:rPr>
        <w:t>.</w:t>
      </w:r>
    </w:p>
    <w:p w14:paraId="319062B4" w14:textId="77777777" w:rsidR="004852C2" w:rsidRDefault="004852C2">
      <w:pPr>
        <w:tabs>
          <w:tab w:val="clear" w:pos="794"/>
          <w:tab w:val="clear" w:pos="1191"/>
          <w:tab w:val="clear" w:pos="1588"/>
          <w:tab w:val="clear" w:pos="1985"/>
        </w:tabs>
        <w:overflowPunct/>
        <w:autoSpaceDE/>
        <w:autoSpaceDN/>
        <w:adjustRightInd/>
        <w:spacing w:before="0"/>
        <w:textAlignment w:val="auto"/>
        <w:rPr>
          <w:szCs w:val="24"/>
          <w:lang w:val="es-ES"/>
        </w:rPr>
      </w:pPr>
      <w:r>
        <w:rPr>
          <w:szCs w:val="24"/>
          <w:lang w:val="es-ES"/>
        </w:rPr>
        <w:br w:type="page"/>
      </w:r>
    </w:p>
    <w:p w14:paraId="74B69F27" w14:textId="5A5CB4C9" w:rsidR="007B6316" w:rsidRPr="004852C2" w:rsidRDefault="004852C2" w:rsidP="004852C2">
      <w:pPr>
        <w:rPr>
          <w:szCs w:val="24"/>
        </w:rPr>
      </w:pPr>
      <w:r w:rsidRPr="004852C2">
        <w:rPr>
          <w:szCs w:val="24"/>
          <w:lang w:val="es-ES"/>
        </w:rPr>
        <w:lastRenderedPageBreak/>
        <w:t>4</w:t>
      </w:r>
      <w:r w:rsidRPr="004852C2">
        <w:rPr>
          <w:szCs w:val="24"/>
          <w:lang w:val="es-ES"/>
        </w:rPr>
        <w:tab/>
        <w:t>Si el 70 % como mínimo de las respuestas de los Estados Miembros es favorable a que se considere la aprobación, se dedicará una sesión plenaria a la aplicación del procedimiento de aprobación. Los Estados Miembros que no otorguen autoridad para proceder deben informar al Director de la TSB de los motivos de su decisión e indicar los posibles cambios que harían posible el avance de los trabajos.</w:t>
      </w:r>
    </w:p>
    <w:p w14:paraId="55C09223" w14:textId="77777777" w:rsidR="007B6316" w:rsidRPr="004852C2" w:rsidRDefault="007B6316" w:rsidP="007B6316">
      <w:pPr>
        <w:rPr>
          <w:szCs w:val="24"/>
        </w:rPr>
      </w:pPr>
      <w:r w:rsidRPr="004852C2">
        <w:rPr>
          <w:szCs w:val="24"/>
        </w:rPr>
        <w:t>Atentamente,</w:t>
      </w:r>
    </w:p>
    <w:p w14:paraId="57B31FEE" w14:textId="77777777" w:rsidR="007B6316" w:rsidRPr="004852C2" w:rsidRDefault="007B6316" w:rsidP="007B6316">
      <w:pPr>
        <w:spacing w:before="480" w:line="480" w:lineRule="auto"/>
        <w:rPr>
          <w:szCs w:val="24"/>
        </w:rPr>
      </w:pPr>
      <w:r w:rsidRPr="004852C2">
        <w:rPr>
          <w:i/>
          <w:iCs/>
          <w:szCs w:val="24"/>
        </w:rPr>
        <w:t>(firmado)</w:t>
      </w:r>
    </w:p>
    <w:p w14:paraId="0DDCD7CA" w14:textId="77777777" w:rsidR="007B6316" w:rsidRPr="00081FE5" w:rsidRDefault="001350B9" w:rsidP="007B6316">
      <w:pPr>
        <w:spacing w:before="360"/>
      </w:pPr>
      <w:r w:rsidRPr="001350B9">
        <w:rPr>
          <w:rFonts w:cstheme="minorHAnsi"/>
          <w:szCs w:val="22"/>
          <w:lang w:val="es-ES"/>
        </w:rPr>
        <w:t>Seizo Onoe</w:t>
      </w:r>
      <w:r w:rsidR="007B6316" w:rsidRPr="00081FE5">
        <w:br/>
        <w:t xml:space="preserve">Director de la Oficina de </w:t>
      </w:r>
      <w:r w:rsidR="007B6316" w:rsidRPr="00081FE5">
        <w:br/>
        <w:t>Normalización de las Telecomunicaciones</w:t>
      </w:r>
    </w:p>
    <w:p w14:paraId="6C4F0A31" w14:textId="5984A07D" w:rsidR="004852C2" w:rsidRDefault="004852C2" w:rsidP="004852C2">
      <w:pPr>
        <w:spacing w:before="2040"/>
        <w:ind w:right="91"/>
        <w:rPr>
          <w:lang w:val="es-ES"/>
        </w:rPr>
      </w:pPr>
      <w:r w:rsidRPr="004852C2">
        <w:rPr>
          <w:b/>
          <w:bCs/>
          <w:lang w:val="es-ES"/>
        </w:rPr>
        <w:t>Anexos:</w:t>
      </w:r>
      <w:r>
        <w:rPr>
          <w:lang w:val="es-ES"/>
        </w:rPr>
        <w:t xml:space="preserve"> 2</w:t>
      </w:r>
    </w:p>
    <w:p w14:paraId="3D149428" w14:textId="1580DCD0" w:rsidR="004852C2" w:rsidRDefault="004852C2">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041B4045" w14:textId="5E8DAD12" w:rsidR="004852C2" w:rsidRPr="00883A6B" w:rsidRDefault="004852C2" w:rsidP="004852C2">
      <w:pPr>
        <w:pStyle w:val="Annextitle0"/>
        <w:rPr>
          <w:rFonts w:asciiTheme="minorHAnsi" w:hAnsiTheme="minorHAnsi" w:cstheme="minorHAnsi"/>
          <w:szCs w:val="28"/>
          <w:lang w:val="es-ES"/>
        </w:rPr>
      </w:pPr>
      <w:r>
        <w:rPr>
          <w:bCs/>
          <w:lang w:val="es-ES"/>
        </w:rPr>
        <w:lastRenderedPageBreak/>
        <w:t>Anexo 1</w:t>
      </w:r>
      <w:r>
        <w:rPr>
          <w:bCs/>
          <w:lang w:val="es-ES"/>
        </w:rPr>
        <w:br/>
        <w:t>Resumen y ubicación del proyecto de nueva Recomendación</w:t>
      </w:r>
      <w:r w:rsidR="00DB7FE1">
        <w:rPr>
          <w:bCs/>
          <w:lang w:val="es-ES"/>
        </w:rPr>
        <w:t xml:space="preserve"> </w:t>
      </w:r>
      <w:r>
        <w:rPr>
          <w:bCs/>
          <w:lang w:val="es-ES"/>
        </w:rPr>
        <w:t>UIT-T X.1901 (antes X.aas) determinada |ISO/CEI 27566-1</w:t>
      </w:r>
    </w:p>
    <w:p w14:paraId="247D5170" w14:textId="75D06897" w:rsidR="004852C2" w:rsidRPr="00B7311A" w:rsidRDefault="004852C2" w:rsidP="00B7311A">
      <w:pPr>
        <w:pStyle w:val="Heading1"/>
        <w:rPr>
          <w:rFonts w:cstheme="minorHAnsi"/>
          <w:szCs w:val="24"/>
          <w:lang w:val="es-ES"/>
        </w:rPr>
      </w:pPr>
      <w:r w:rsidRPr="00B7311A">
        <w:rPr>
          <w:bCs/>
          <w:szCs w:val="24"/>
          <w:lang w:val="es-ES"/>
        </w:rPr>
        <w:t>1</w:t>
      </w:r>
      <w:r w:rsidRPr="00B7311A">
        <w:rPr>
          <w:szCs w:val="24"/>
          <w:lang w:val="es-ES"/>
        </w:rPr>
        <w:tab/>
      </w:r>
      <w:proofErr w:type="gramStart"/>
      <w:r w:rsidRPr="00B7311A">
        <w:rPr>
          <w:szCs w:val="24"/>
          <w:lang w:val="es-ES"/>
        </w:rPr>
        <w:t>Proyecto</w:t>
      </w:r>
      <w:proofErr w:type="gramEnd"/>
      <w:r w:rsidRPr="00B7311A">
        <w:rPr>
          <w:szCs w:val="24"/>
          <w:lang w:val="es-ES"/>
        </w:rPr>
        <w:t xml:space="preserve"> de nueva Recomendación </w:t>
      </w:r>
      <w:r w:rsidRPr="00B7311A">
        <w:rPr>
          <w:szCs w:val="24"/>
        </w:rPr>
        <w:t>UIT</w:t>
      </w:r>
      <w:r w:rsidRPr="00B7311A">
        <w:rPr>
          <w:szCs w:val="24"/>
          <w:lang w:val="es-ES"/>
        </w:rPr>
        <w:t>-T X.1901 (antes X.aas) ISO/CEI 27566-1 [SG17</w:t>
      </w:r>
      <w:r w:rsidR="00B7311A">
        <w:rPr>
          <w:szCs w:val="24"/>
          <w:lang w:val="es-ES"/>
        </w:rPr>
        <w:noBreakHyphen/>
      </w:r>
      <w:hyperlink r:id="rId12" w:history="1">
        <w:r w:rsidRPr="00B7311A">
          <w:rPr>
            <w:rStyle w:val="Hyperlink"/>
            <w:szCs w:val="24"/>
            <w:lang w:val="es-ES"/>
          </w:rPr>
          <w:t>R24</w:t>
        </w:r>
      </w:hyperlink>
      <w:r w:rsidRPr="00B7311A">
        <w:rPr>
          <w:szCs w:val="24"/>
          <w:lang w:val="es-ES"/>
        </w:rPr>
        <w:t>]</w:t>
      </w:r>
      <w:hyperlink r:id="rId13" w:history="1"/>
    </w:p>
    <w:p w14:paraId="76A9FC44" w14:textId="77777777" w:rsidR="004852C2" w:rsidRPr="004B63D3" w:rsidRDefault="004852C2" w:rsidP="004852C2">
      <w:pPr>
        <w:pStyle w:val="Rectitle0"/>
        <w:rPr>
          <w:lang w:val="es-ES"/>
        </w:rPr>
      </w:pPr>
      <w:r w:rsidRPr="004B63D3">
        <w:rPr>
          <w:lang w:val="es-ES"/>
        </w:rPr>
        <w:t>Seguridad de la información, ciberseguridad y protección de la privacidad – Sistemas de garantía de edad — Parte 1: Marco</w:t>
      </w:r>
    </w:p>
    <w:p w14:paraId="723FC0F3" w14:textId="77777777" w:rsidR="004852C2" w:rsidRPr="00B7311A" w:rsidRDefault="004852C2" w:rsidP="00B7311A">
      <w:pPr>
        <w:pStyle w:val="Headingb0"/>
        <w:rPr>
          <w:rFonts w:cstheme="minorHAnsi"/>
          <w:szCs w:val="24"/>
          <w:lang w:val="es-ES"/>
        </w:rPr>
      </w:pPr>
      <w:r w:rsidRPr="00B7311A">
        <w:rPr>
          <w:szCs w:val="24"/>
          <w:lang w:val="es-ES"/>
        </w:rPr>
        <w:t>Resumen:</w:t>
      </w:r>
    </w:p>
    <w:p w14:paraId="12DA1B0C" w14:textId="77777777" w:rsidR="004852C2" w:rsidRPr="00B7311A" w:rsidRDefault="004852C2" w:rsidP="004852C2">
      <w:pPr>
        <w:rPr>
          <w:rFonts w:cstheme="minorHAnsi"/>
          <w:szCs w:val="24"/>
          <w:lang w:val="es-ES"/>
        </w:rPr>
      </w:pPr>
      <w:r w:rsidRPr="00B7311A">
        <w:rPr>
          <w:szCs w:val="24"/>
          <w:lang w:val="es-ES"/>
        </w:rPr>
        <w:t>Este documento establece el marco y las características básicas de los sistemas de aseguramiento de la edad desplegados con el fin de facilitar las decisiones de elegibilidad relacionadas con la edad. Estas decisiones pueden ser tomadas por cualquier persona por cualquier motivo en cualquier lugar a través de cualquier tipo de relación entre un individuo y el proveedor de cualquier bien, contenido, servicio (como el suministro de alcohol, tabaco, armas o contenido en línea), lugares o espacios que tienen requisitos de política para adquirir garantías sobre la edad o el rango de edad de las personas.</w:t>
      </w:r>
    </w:p>
    <w:p w14:paraId="544C5D12" w14:textId="77777777" w:rsidR="004852C2" w:rsidRPr="00B7311A" w:rsidRDefault="004852C2" w:rsidP="004852C2">
      <w:pPr>
        <w:rPr>
          <w:rFonts w:cstheme="minorHAnsi"/>
          <w:szCs w:val="24"/>
          <w:lang w:val="es-ES"/>
        </w:rPr>
      </w:pPr>
      <w:r w:rsidRPr="00B7311A">
        <w:rPr>
          <w:szCs w:val="24"/>
          <w:lang w:val="es-ES"/>
        </w:rPr>
        <w:t>Las decisiones de elegibilidad relacionadas con la edad son necesarias cuando una persona debe tener cierta edad, ser mayor o menor que una edad determinada o estar dentro de un rango de edad, donde las edades se cuentan en años y cuando estos criterios dependen del tipo de bienes, contenidos, servicios, lugares o espacios proporcionados.</w:t>
      </w:r>
    </w:p>
    <w:p w14:paraId="109B60D8" w14:textId="77777777" w:rsidR="004852C2" w:rsidRPr="00B7311A" w:rsidRDefault="004852C2" w:rsidP="004852C2">
      <w:pPr>
        <w:rPr>
          <w:rFonts w:cstheme="minorHAnsi"/>
          <w:szCs w:val="24"/>
          <w:lang w:val="es-ES"/>
        </w:rPr>
      </w:pPr>
      <w:r w:rsidRPr="00B7311A">
        <w:rPr>
          <w:szCs w:val="24"/>
          <w:lang w:val="es-ES"/>
        </w:rPr>
        <w:t>Este documento pretende abordar los problemas asociados con procesos de garantía de edad inadecuadamente definidos y la falta de confianza asociada en términos de funcionalidad, rendimiento, privacidad, seguridad y aceptabilidad. En este documento se describen las características de un sistema de garantía de la edad para ayudar a los responsables de la formulación de políticas, a los encargados de su aplicación y a las personas físicas a comprender y abordar los problemas asociados a la implantación de sistemas de garantía de la edad.</w:t>
      </w:r>
    </w:p>
    <w:p w14:paraId="33DF0820" w14:textId="77777777" w:rsidR="004852C2" w:rsidRPr="00B7311A" w:rsidRDefault="004852C2" w:rsidP="004852C2">
      <w:pPr>
        <w:rPr>
          <w:szCs w:val="24"/>
          <w:lang w:val="es-ES"/>
        </w:rPr>
      </w:pPr>
      <w:r w:rsidRPr="00B7311A">
        <w:rPr>
          <w:szCs w:val="24"/>
          <w:lang w:val="es-ES"/>
        </w:rPr>
        <w:t>Aunque la edad de una persona es un atributo de su identidad, no siempre es necesario establecer la identidad completa de esa persona en un contexto mundial para obtener garantías sobre su edad. Por consiguiente, el proceso de garantía de la edad puede, en algunos casos, estar vinculado a la verificación de la identidad, pero también puede llevarse a cabo por medios distintos de la verificación de la identidad.</w:t>
      </w:r>
    </w:p>
    <w:p w14:paraId="0E477C4F" w14:textId="77777777" w:rsidR="004852C2" w:rsidRPr="00B7311A" w:rsidRDefault="004852C2" w:rsidP="004852C2">
      <w:pPr>
        <w:rPr>
          <w:rFonts w:cstheme="minorHAnsi"/>
          <w:szCs w:val="24"/>
          <w:lang w:val="es-ES"/>
        </w:rPr>
      </w:pPr>
      <w:r w:rsidRPr="00B7311A">
        <w:rPr>
          <w:szCs w:val="24"/>
          <w:lang w:val="es-ES"/>
        </w:rPr>
        <w:t>El objetivo de este documento es permitir a los responsables políticos (ya sean gobiernos, reguladores o proveedores de bienes, contenidos, servicios, lugares o espacios restringidos por edad) especificar los tipos aplicables de sistemas de garantía de la edad y los indicadores de eficacia asociados en sus requisitos políticos.</w:t>
      </w:r>
    </w:p>
    <w:p w14:paraId="67789D84" w14:textId="77777777" w:rsidR="004852C2" w:rsidRPr="00B7311A" w:rsidRDefault="004852C2" w:rsidP="004852C2">
      <w:pPr>
        <w:rPr>
          <w:rFonts w:cstheme="minorHAnsi"/>
          <w:szCs w:val="24"/>
          <w:lang w:val="es-ES"/>
        </w:rPr>
      </w:pPr>
      <w:r w:rsidRPr="00B7311A">
        <w:rPr>
          <w:szCs w:val="24"/>
          <w:lang w:val="es-ES"/>
        </w:rPr>
        <w:t>Por ejemplo, un legislador puede determinar que, para autorizar la venta de alcohol o tabaco o algún otro producto restringido por edad, una parte dependiente que actúe como responsable de la toma de decisiones debe utilizar un tipo particular de sistema de garantía de edad que respalde características específicas para verificar que un individuo es un adulto.</w:t>
      </w:r>
    </w:p>
    <w:p w14:paraId="193FC159" w14:textId="77777777" w:rsidR="004852C2" w:rsidRPr="00B7311A" w:rsidRDefault="004852C2" w:rsidP="004852C2">
      <w:pPr>
        <w:rPr>
          <w:rFonts w:cstheme="minorHAnsi"/>
          <w:szCs w:val="24"/>
          <w:lang w:val="es-ES"/>
        </w:rPr>
      </w:pPr>
      <w:r w:rsidRPr="00B7311A">
        <w:rPr>
          <w:szCs w:val="24"/>
          <w:lang w:val="es-ES"/>
        </w:rPr>
        <w:t>El presente documento no:</w:t>
      </w:r>
    </w:p>
    <w:p w14:paraId="3DE9387E" w14:textId="396172B5" w:rsidR="004852C2" w:rsidRPr="00B7311A" w:rsidRDefault="00DB7FE1" w:rsidP="00DB7FE1">
      <w:pPr>
        <w:pStyle w:val="enumlev1"/>
        <w:rPr>
          <w:rFonts w:cstheme="minorHAnsi"/>
          <w:lang w:val="es-ES"/>
        </w:rPr>
      </w:pPr>
      <w:r w:rsidRPr="00DB7FE1">
        <w:rPr>
          <w:lang w:val="es-ES"/>
        </w:rPr>
        <w:t>–</w:t>
      </w:r>
      <w:r w:rsidR="004852C2" w:rsidRPr="00B7311A">
        <w:rPr>
          <w:lang w:val="es-ES"/>
        </w:rPr>
        <w:tab/>
        <w:t>determina qué tipo de sistema de aseguramiento de la edad ni qué tipo de método de aseguramiento de la edad es apropiado para cada tipo de decisión de elegibilidad relacionada con la edad, es un asunto que corresponde a los responsables políticos;</w:t>
      </w:r>
    </w:p>
    <w:p w14:paraId="3729065A" w14:textId="4FA341C4" w:rsidR="004852C2" w:rsidRPr="00B7311A" w:rsidRDefault="00DB7FE1" w:rsidP="00DB7FE1">
      <w:pPr>
        <w:pStyle w:val="enumlev1"/>
        <w:rPr>
          <w:rFonts w:cstheme="minorHAnsi"/>
          <w:lang w:val="es-ES"/>
        </w:rPr>
      </w:pPr>
      <w:r w:rsidRPr="00DB7FE1">
        <w:rPr>
          <w:lang w:val="es-ES"/>
        </w:rPr>
        <w:lastRenderedPageBreak/>
        <w:t>–</w:t>
      </w:r>
      <w:r w:rsidR="004852C2" w:rsidRPr="00B7311A">
        <w:rPr>
          <w:lang w:val="es-ES"/>
        </w:rPr>
        <w:tab/>
        <w:t>establece o recomienda umbrales de edad para los diferentes bienes, contenidos, servicios, lugares o espacios, asuntos que incumben a los responsables políticos;</w:t>
      </w:r>
    </w:p>
    <w:p w14:paraId="3BE57699" w14:textId="4A3FDE97" w:rsidR="004852C2" w:rsidRPr="00B7311A" w:rsidRDefault="00DB7FE1" w:rsidP="00DB7FE1">
      <w:pPr>
        <w:pStyle w:val="enumlev1"/>
        <w:rPr>
          <w:rFonts w:cstheme="minorHAnsi"/>
          <w:lang w:val="es-ES"/>
        </w:rPr>
      </w:pPr>
      <w:r w:rsidRPr="00DB7FE1">
        <w:rPr>
          <w:lang w:val="es-ES"/>
        </w:rPr>
        <w:t>–</w:t>
      </w:r>
      <w:r w:rsidR="004852C2" w:rsidRPr="00B7311A">
        <w:rPr>
          <w:lang w:val="es-ES"/>
        </w:rPr>
        <w:tab/>
        <w:t>trata los modelos financieros o comerciales para los sistemas de aseguramiento de la edad, que son asuntos que incumben a los operadores económicos en el proceso de aseguramiento de la edad;</w:t>
      </w:r>
    </w:p>
    <w:p w14:paraId="6D03A57E" w14:textId="527F63D3" w:rsidR="004852C2" w:rsidRPr="00B7311A" w:rsidRDefault="00DB7FE1" w:rsidP="00DB7FE1">
      <w:pPr>
        <w:pStyle w:val="enumlev1"/>
        <w:rPr>
          <w:rFonts w:cstheme="minorHAnsi"/>
          <w:lang w:val="es-ES"/>
        </w:rPr>
      </w:pPr>
      <w:r w:rsidRPr="00DB7FE1">
        <w:rPr>
          <w:lang w:val="es-ES"/>
        </w:rPr>
        <w:t>–</w:t>
      </w:r>
      <w:r w:rsidR="004852C2" w:rsidRPr="00B7311A">
        <w:rPr>
          <w:lang w:val="es-ES"/>
        </w:rPr>
        <w:tab/>
        <w:t>aborda los requisitos de protección de datos para los sistemas de garantía de edad, que son asuntos que incumben a los controladores de datos;</w:t>
      </w:r>
    </w:p>
    <w:p w14:paraId="3FF0D1C7" w14:textId="430228A5" w:rsidR="004852C2" w:rsidRPr="00B7311A" w:rsidRDefault="00DB7FE1" w:rsidP="00DB7FE1">
      <w:pPr>
        <w:pStyle w:val="enumlev1"/>
        <w:rPr>
          <w:rFonts w:cstheme="minorHAnsi"/>
          <w:lang w:val="es-ES"/>
        </w:rPr>
      </w:pPr>
      <w:r w:rsidRPr="00DB7FE1">
        <w:rPr>
          <w:lang w:val="es-ES"/>
        </w:rPr>
        <w:t>–</w:t>
      </w:r>
      <w:r w:rsidR="004852C2" w:rsidRPr="00B7311A">
        <w:rPr>
          <w:lang w:val="es-ES"/>
        </w:rPr>
        <w:tab/>
        <w:t>considera las decisiones de elegibilidad relacionadas con la edad basadas en los controles o el consentimiento parentales;</w:t>
      </w:r>
    </w:p>
    <w:p w14:paraId="14AC94A4" w14:textId="16CE657D" w:rsidR="004852C2" w:rsidRPr="00B7311A" w:rsidRDefault="00DB7FE1" w:rsidP="00DB7FE1">
      <w:pPr>
        <w:pStyle w:val="enumlev1"/>
        <w:rPr>
          <w:rFonts w:cstheme="minorHAnsi"/>
          <w:lang w:val="es-ES"/>
        </w:rPr>
      </w:pPr>
      <w:r w:rsidRPr="00DB7FE1">
        <w:rPr>
          <w:lang w:val="es-ES"/>
        </w:rPr>
        <w:t>–</w:t>
      </w:r>
      <w:r w:rsidR="004852C2" w:rsidRPr="00B7311A">
        <w:rPr>
          <w:lang w:val="es-ES"/>
        </w:rPr>
        <w:tab/>
        <w:t>considera las decisiones de elegibilidad relacionadas con la edad basadas en testimonios de un tercero de confianza o establecidas a través de un mecanismo de consentimiento (como un padre o tutor legal), ya que los documentos que deben presentarse varían ampliamente entre los diferentes países o incluso entre diferentes regiones dentro de un mismo país.</w:t>
      </w:r>
    </w:p>
    <w:p w14:paraId="3BCF06C9" w14:textId="77777777" w:rsidR="004852C2" w:rsidRPr="00B7311A" w:rsidRDefault="004852C2" w:rsidP="004852C2">
      <w:pPr>
        <w:rPr>
          <w:rFonts w:cstheme="minorHAnsi"/>
          <w:szCs w:val="24"/>
          <w:lang w:val="es-ES"/>
        </w:rPr>
      </w:pPr>
      <w:r w:rsidRPr="00B7311A">
        <w:rPr>
          <w:szCs w:val="24"/>
          <w:lang w:val="es-ES"/>
        </w:rPr>
        <w:t>No se ha preparado un documento justificativo de la Recomendación UIT-T A.5 para este proyecto de texto determinado.</w:t>
      </w:r>
    </w:p>
    <w:p w14:paraId="10441122" w14:textId="77777777" w:rsidR="004852C2" w:rsidRPr="00B7311A" w:rsidRDefault="004852C2" w:rsidP="004852C2">
      <w:pPr>
        <w:rPr>
          <w:szCs w:val="24"/>
          <w:lang w:val="es-ES"/>
        </w:rPr>
      </w:pPr>
      <w:r w:rsidRPr="00B7311A">
        <w:rPr>
          <w:szCs w:val="24"/>
          <w:lang w:val="es-ES"/>
        </w:rPr>
        <w:t xml:space="preserve">NOTA DE LA TSB – A la fecha de la presente Circular, la TSB no había recibido ninguna declaración de DPI en relación con este proyecto de texto. Para obtener información actualizada, se invita a los miembros a consultar la base de datos DPI en </w:t>
      </w:r>
      <w:hyperlink r:id="rId14" w:history="1">
        <w:r w:rsidRPr="00B7311A">
          <w:rPr>
            <w:rStyle w:val="Hyperlink"/>
            <w:szCs w:val="24"/>
            <w:lang w:val="es-ES"/>
          </w:rPr>
          <w:t>https://www.itu.int/es/ITU-T/ipr/Pages/default.aspx</w:t>
        </w:r>
      </w:hyperlink>
      <w:r w:rsidRPr="00B7311A">
        <w:rPr>
          <w:szCs w:val="24"/>
          <w:lang w:val="es-ES"/>
        </w:rPr>
        <w:t xml:space="preserve">. </w:t>
      </w:r>
    </w:p>
    <w:p w14:paraId="1E51FD1A" w14:textId="77777777" w:rsidR="004852C2" w:rsidRPr="00B7311A" w:rsidRDefault="004852C2" w:rsidP="004852C2">
      <w:pPr>
        <w:tabs>
          <w:tab w:val="clear" w:pos="794"/>
          <w:tab w:val="clear" w:pos="1191"/>
          <w:tab w:val="clear" w:pos="1588"/>
          <w:tab w:val="clear" w:pos="1985"/>
        </w:tabs>
        <w:overflowPunct/>
        <w:autoSpaceDE/>
        <w:autoSpaceDN/>
        <w:adjustRightInd/>
        <w:spacing w:before="0"/>
        <w:textAlignment w:val="auto"/>
        <w:rPr>
          <w:szCs w:val="24"/>
          <w:lang w:val="es-ES"/>
        </w:rPr>
      </w:pPr>
      <w:r w:rsidRPr="00B7311A">
        <w:rPr>
          <w:szCs w:val="24"/>
          <w:lang w:val="es-ES"/>
        </w:rPr>
        <w:br w:type="page"/>
      </w:r>
    </w:p>
    <w:p w14:paraId="4A678751" w14:textId="77777777" w:rsidR="004852C2" w:rsidRPr="00883A6B" w:rsidRDefault="004852C2" w:rsidP="004852C2">
      <w:pPr>
        <w:pStyle w:val="Annextitle0"/>
        <w:spacing w:before="120"/>
        <w:rPr>
          <w:rFonts w:asciiTheme="minorHAnsi" w:hAnsiTheme="minorHAnsi" w:cstheme="minorHAnsi"/>
          <w:szCs w:val="28"/>
          <w:lang w:val="es-ES"/>
        </w:rPr>
      </w:pPr>
      <w:r>
        <w:rPr>
          <w:bCs/>
          <w:lang w:val="es-ES"/>
        </w:rPr>
        <w:lastRenderedPageBreak/>
        <w:t>ANEXO 2</w:t>
      </w:r>
      <w:r>
        <w:rPr>
          <w:bCs/>
          <w:lang w:val="es-ES"/>
        </w:rPr>
        <w:br/>
        <w:t>Asunto: Respuesta de los Estados Miembros a la Circular TSB 100: Consulta sobre el proyecto de nueva Recomendación UIT-T X.1901 (antes X.aas) determinada|ISO/CEI 27566-1</w:t>
      </w:r>
    </w:p>
    <w:tbl>
      <w:tblPr>
        <w:tblW w:w="9957" w:type="dxa"/>
        <w:tblInd w:w="-176" w:type="dxa"/>
        <w:tblLayout w:type="fixed"/>
        <w:tblLook w:val="04A0" w:firstRow="1" w:lastRow="0" w:firstColumn="1" w:lastColumn="0" w:noHBand="0" w:noVBand="1"/>
      </w:tblPr>
      <w:tblGrid>
        <w:gridCol w:w="1169"/>
        <w:gridCol w:w="4536"/>
        <w:gridCol w:w="1275"/>
        <w:gridCol w:w="2977"/>
      </w:tblGrid>
      <w:tr w:rsidR="004852C2" w:rsidRPr="00E928B3" w14:paraId="3C8A3B41" w14:textId="77777777" w:rsidTr="00E928B3">
        <w:tc>
          <w:tcPr>
            <w:tcW w:w="1169" w:type="dxa"/>
          </w:tcPr>
          <w:p w14:paraId="00BF0319" w14:textId="77777777" w:rsidR="004852C2" w:rsidRPr="00E928B3" w:rsidRDefault="004852C2" w:rsidP="00D16E1A">
            <w:pPr>
              <w:spacing w:before="0"/>
              <w:jc w:val="right"/>
              <w:rPr>
                <w:szCs w:val="24"/>
                <w:lang w:val="es-ES"/>
              </w:rPr>
            </w:pPr>
            <w:r w:rsidRPr="00E928B3">
              <w:rPr>
                <w:b/>
                <w:bCs/>
                <w:szCs w:val="24"/>
                <w:lang w:val="es-ES"/>
              </w:rPr>
              <w:t>A</w:t>
            </w:r>
            <w:r w:rsidRPr="00E928B3">
              <w:rPr>
                <w:szCs w:val="24"/>
                <w:lang w:val="es-ES"/>
              </w:rPr>
              <w:t>:</w:t>
            </w:r>
          </w:p>
        </w:tc>
        <w:tc>
          <w:tcPr>
            <w:tcW w:w="4536" w:type="dxa"/>
            <w:tcBorders>
              <w:right w:val="single" w:sz="8" w:space="0" w:color="auto"/>
            </w:tcBorders>
          </w:tcPr>
          <w:p w14:paraId="3AE6934D" w14:textId="77777777" w:rsidR="004852C2" w:rsidRPr="00E928B3" w:rsidRDefault="004852C2" w:rsidP="00D16E1A">
            <w:pPr>
              <w:spacing w:before="0"/>
              <w:rPr>
                <w:rFonts w:cstheme="minorHAnsi"/>
                <w:szCs w:val="24"/>
                <w:lang w:val="es-ES"/>
              </w:rPr>
            </w:pPr>
            <w:r w:rsidRPr="00E928B3">
              <w:rPr>
                <w:rFonts w:cstheme="minorHAnsi"/>
                <w:szCs w:val="24"/>
                <w:lang w:val="es-ES"/>
              </w:rPr>
              <w:t>El Director de la</w:t>
            </w:r>
            <w:r w:rsidRPr="00E928B3">
              <w:rPr>
                <w:rFonts w:cstheme="minorHAnsi"/>
                <w:szCs w:val="24"/>
                <w:lang w:val="es-ES"/>
              </w:rPr>
              <w:br/>
              <w:t>Oficina de Normalización de las Telecomunicaciones,</w:t>
            </w:r>
            <w:r w:rsidRPr="00E928B3">
              <w:rPr>
                <w:rFonts w:cstheme="minorHAnsi"/>
                <w:szCs w:val="24"/>
                <w:lang w:val="es-ES"/>
              </w:rPr>
              <w:br/>
              <w:t>Unión Internacional de Telecomunicaciones</w:t>
            </w:r>
            <w:r w:rsidRPr="00E928B3">
              <w:rPr>
                <w:rFonts w:cstheme="minorHAnsi"/>
                <w:szCs w:val="24"/>
                <w:lang w:val="es-ES"/>
              </w:rPr>
              <w:br/>
              <w:t>Place des Nations</w:t>
            </w:r>
            <w:r w:rsidRPr="00E928B3">
              <w:rPr>
                <w:rFonts w:cstheme="minorHAnsi"/>
                <w:szCs w:val="24"/>
                <w:lang w:val="es-ES"/>
              </w:rPr>
              <w:br/>
              <w:t>CH 1211 Ginebra 20, Suiza</w:t>
            </w:r>
          </w:p>
        </w:tc>
        <w:tc>
          <w:tcPr>
            <w:tcW w:w="1275" w:type="dxa"/>
            <w:tcBorders>
              <w:left w:val="single" w:sz="8" w:space="0" w:color="auto"/>
            </w:tcBorders>
          </w:tcPr>
          <w:p w14:paraId="3AADB3CF" w14:textId="77777777" w:rsidR="004852C2" w:rsidRPr="00E928B3" w:rsidRDefault="004852C2" w:rsidP="00D16E1A">
            <w:pPr>
              <w:jc w:val="right"/>
              <w:rPr>
                <w:szCs w:val="24"/>
                <w:lang w:val="es-ES"/>
              </w:rPr>
            </w:pPr>
            <w:r w:rsidRPr="00E928B3">
              <w:rPr>
                <w:b/>
                <w:bCs/>
                <w:szCs w:val="24"/>
                <w:lang w:val="es-ES"/>
              </w:rPr>
              <w:t>De</w:t>
            </w:r>
            <w:r w:rsidRPr="00E928B3">
              <w:rPr>
                <w:szCs w:val="24"/>
                <w:lang w:val="es-ES"/>
              </w:rPr>
              <w:t>:</w:t>
            </w:r>
          </w:p>
        </w:tc>
        <w:tc>
          <w:tcPr>
            <w:tcW w:w="2977" w:type="dxa"/>
          </w:tcPr>
          <w:p w14:paraId="34D7F267" w14:textId="77777777" w:rsidR="004852C2" w:rsidRPr="00E928B3" w:rsidRDefault="004852C2" w:rsidP="00D16E1A">
            <w:pPr>
              <w:rPr>
                <w:szCs w:val="24"/>
                <w:highlight w:val="green"/>
                <w:lang w:val="es-ES"/>
              </w:rPr>
            </w:pPr>
            <w:r w:rsidRPr="00E928B3">
              <w:rPr>
                <w:szCs w:val="24"/>
                <w:highlight w:val="green"/>
                <w:lang w:val="es-ES"/>
              </w:rPr>
              <w:t>[Nombre]</w:t>
            </w:r>
          </w:p>
          <w:p w14:paraId="5B7B29F7" w14:textId="77777777" w:rsidR="004852C2" w:rsidRPr="00E928B3" w:rsidRDefault="004852C2" w:rsidP="00D16E1A">
            <w:pPr>
              <w:spacing w:before="0"/>
              <w:rPr>
                <w:szCs w:val="24"/>
                <w:highlight w:val="green"/>
                <w:lang w:val="es-ES"/>
              </w:rPr>
            </w:pPr>
            <w:r w:rsidRPr="00E928B3">
              <w:rPr>
                <w:szCs w:val="24"/>
                <w:highlight w:val="green"/>
                <w:lang w:val="es-ES"/>
              </w:rPr>
              <w:t>[Cargo oficial/título]</w:t>
            </w:r>
          </w:p>
          <w:p w14:paraId="1F05CCB0" w14:textId="77777777" w:rsidR="004852C2" w:rsidRPr="00E928B3" w:rsidRDefault="004852C2" w:rsidP="00D16E1A">
            <w:pPr>
              <w:spacing w:before="0"/>
              <w:rPr>
                <w:szCs w:val="24"/>
                <w:lang w:val="es-ES"/>
              </w:rPr>
            </w:pPr>
            <w:r w:rsidRPr="00E928B3">
              <w:rPr>
                <w:szCs w:val="24"/>
                <w:highlight w:val="green"/>
                <w:lang w:val="es-ES"/>
              </w:rPr>
              <w:t>[Dirección]</w:t>
            </w:r>
          </w:p>
        </w:tc>
      </w:tr>
      <w:tr w:rsidR="004852C2" w:rsidRPr="00E928B3" w14:paraId="3744FD5B" w14:textId="77777777" w:rsidTr="00E928B3">
        <w:tc>
          <w:tcPr>
            <w:tcW w:w="1169" w:type="dxa"/>
          </w:tcPr>
          <w:p w14:paraId="1E0FF2C0" w14:textId="77777777" w:rsidR="004852C2" w:rsidRPr="00E928B3" w:rsidRDefault="004852C2" w:rsidP="00D16E1A">
            <w:pPr>
              <w:spacing w:before="0"/>
              <w:jc w:val="right"/>
              <w:rPr>
                <w:szCs w:val="24"/>
                <w:lang w:val="es-ES"/>
              </w:rPr>
            </w:pPr>
            <w:r w:rsidRPr="00E928B3">
              <w:rPr>
                <w:b/>
                <w:bCs/>
                <w:szCs w:val="24"/>
                <w:lang w:val="es-ES"/>
              </w:rPr>
              <w:t>Fax</w:t>
            </w:r>
            <w:r w:rsidRPr="00E928B3">
              <w:rPr>
                <w:szCs w:val="24"/>
                <w:lang w:val="es-ES"/>
              </w:rPr>
              <w:t>:</w:t>
            </w:r>
          </w:p>
        </w:tc>
        <w:tc>
          <w:tcPr>
            <w:tcW w:w="4536" w:type="dxa"/>
            <w:tcBorders>
              <w:right w:val="single" w:sz="8" w:space="0" w:color="auto"/>
            </w:tcBorders>
          </w:tcPr>
          <w:p w14:paraId="64E063D3" w14:textId="77777777" w:rsidR="004852C2" w:rsidRPr="00E928B3" w:rsidRDefault="004852C2" w:rsidP="00D16E1A">
            <w:pPr>
              <w:spacing w:before="0"/>
              <w:rPr>
                <w:rFonts w:cstheme="minorHAnsi"/>
                <w:szCs w:val="24"/>
                <w:lang w:val="es-ES"/>
              </w:rPr>
            </w:pPr>
            <w:r w:rsidRPr="00E928B3">
              <w:rPr>
                <w:rFonts w:cstheme="minorHAnsi"/>
                <w:szCs w:val="24"/>
                <w:lang w:val="es-ES"/>
              </w:rPr>
              <w:t>+41-22-730-5853</w:t>
            </w:r>
          </w:p>
        </w:tc>
        <w:tc>
          <w:tcPr>
            <w:tcW w:w="1275" w:type="dxa"/>
            <w:tcBorders>
              <w:left w:val="single" w:sz="8" w:space="0" w:color="auto"/>
            </w:tcBorders>
          </w:tcPr>
          <w:p w14:paraId="0F6278B6" w14:textId="77777777" w:rsidR="004852C2" w:rsidRPr="00E928B3" w:rsidRDefault="004852C2" w:rsidP="00D16E1A">
            <w:pPr>
              <w:spacing w:before="0"/>
              <w:jc w:val="right"/>
              <w:rPr>
                <w:szCs w:val="24"/>
                <w:lang w:val="es-ES"/>
              </w:rPr>
            </w:pPr>
            <w:r w:rsidRPr="00E928B3">
              <w:rPr>
                <w:b/>
                <w:bCs/>
                <w:szCs w:val="24"/>
                <w:lang w:val="es-ES"/>
              </w:rPr>
              <w:t>Fax</w:t>
            </w:r>
            <w:r w:rsidRPr="00E928B3">
              <w:rPr>
                <w:szCs w:val="24"/>
                <w:lang w:val="es-ES"/>
              </w:rPr>
              <w:t>:</w:t>
            </w:r>
          </w:p>
        </w:tc>
        <w:tc>
          <w:tcPr>
            <w:tcW w:w="2977" w:type="dxa"/>
          </w:tcPr>
          <w:p w14:paraId="4FBD968A" w14:textId="77777777" w:rsidR="004852C2" w:rsidRPr="00E928B3" w:rsidRDefault="004852C2" w:rsidP="00D16E1A">
            <w:pPr>
              <w:spacing w:before="0"/>
              <w:rPr>
                <w:rFonts w:cstheme="minorHAnsi"/>
                <w:szCs w:val="24"/>
                <w:lang w:val="es-ES"/>
              </w:rPr>
            </w:pPr>
          </w:p>
        </w:tc>
      </w:tr>
      <w:tr w:rsidR="004852C2" w:rsidRPr="00E928B3" w14:paraId="5782FE02" w14:textId="77777777" w:rsidTr="00E928B3">
        <w:tc>
          <w:tcPr>
            <w:tcW w:w="1169" w:type="dxa"/>
          </w:tcPr>
          <w:p w14:paraId="6CB86200" w14:textId="77777777" w:rsidR="004852C2" w:rsidRPr="00E928B3" w:rsidRDefault="004852C2" w:rsidP="00D16E1A">
            <w:pPr>
              <w:spacing w:before="0"/>
              <w:jc w:val="right"/>
              <w:rPr>
                <w:b/>
                <w:bCs/>
                <w:szCs w:val="24"/>
                <w:lang w:val="es-ES"/>
              </w:rPr>
            </w:pPr>
            <w:r w:rsidRPr="00E928B3">
              <w:rPr>
                <w:b/>
                <w:bCs/>
                <w:szCs w:val="24"/>
                <w:lang w:val="es-ES"/>
              </w:rPr>
              <w:t>Correo-e</w:t>
            </w:r>
            <w:r w:rsidRPr="00E928B3">
              <w:rPr>
                <w:szCs w:val="24"/>
                <w:lang w:val="es-ES"/>
              </w:rPr>
              <w:t>:</w:t>
            </w:r>
          </w:p>
        </w:tc>
        <w:tc>
          <w:tcPr>
            <w:tcW w:w="4536" w:type="dxa"/>
            <w:tcBorders>
              <w:right w:val="single" w:sz="8" w:space="0" w:color="auto"/>
            </w:tcBorders>
          </w:tcPr>
          <w:p w14:paraId="789480F3" w14:textId="77777777" w:rsidR="004852C2" w:rsidRPr="00E928B3" w:rsidRDefault="004852C2" w:rsidP="00D16E1A">
            <w:pPr>
              <w:spacing w:before="0"/>
              <w:rPr>
                <w:rFonts w:cstheme="minorHAnsi"/>
                <w:szCs w:val="24"/>
                <w:lang w:val="es-ES"/>
              </w:rPr>
            </w:pPr>
            <w:hyperlink r:id="rId15" w:history="1">
              <w:r w:rsidRPr="00E928B3">
                <w:rPr>
                  <w:rStyle w:val="Hyperlink"/>
                  <w:szCs w:val="24"/>
                  <w:lang w:val="es-ES"/>
                </w:rPr>
                <w:t>tsbdir@itu.int</w:t>
              </w:r>
            </w:hyperlink>
          </w:p>
        </w:tc>
        <w:tc>
          <w:tcPr>
            <w:tcW w:w="1275" w:type="dxa"/>
            <w:tcBorders>
              <w:left w:val="single" w:sz="8" w:space="0" w:color="auto"/>
            </w:tcBorders>
          </w:tcPr>
          <w:p w14:paraId="7423DA4B" w14:textId="77777777" w:rsidR="004852C2" w:rsidRPr="00E928B3" w:rsidRDefault="004852C2" w:rsidP="00D16E1A">
            <w:pPr>
              <w:spacing w:before="0"/>
              <w:jc w:val="right"/>
              <w:rPr>
                <w:b/>
                <w:bCs/>
                <w:szCs w:val="24"/>
                <w:lang w:val="es-ES"/>
              </w:rPr>
            </w:pPr>
            <w:r w:rsidRPr="00E928B3">
              <w:rPr>
                <w:b/>
                <w:bCs/>
                <w:szCs w:val="24"/>
                <w:lang w:val="es-ES"/>
              </w:rPr>
              <w:t>Correo-e</w:t>
            </w:r>
            <w:r w:rsidRPr="00E928B3">
              <w:rPr>
                <w:szCs w:val="24"/>
                <w:lang w:val="es-ES"/>
              </w:rPr>
              <w:t>:</w:t>
            </w:r>
          </w:p>
        </w:tc>
        <w:tc>
          <w:tcPr>
            <w:tcW w:w="2977" w:type="dxa"/>
          </w:tcPr>
          <w:p w14:paraId="1E7A5E5E" w14:textId="77777777" w:rsidR="004852C2" w:rsidRPr="00E928B3" w:rsidRDefault="004852C2" w:rsidP="00D16E1A">
            <w:pPr>
              <w:spacing w:before="0"/>
              <w:rPr>
                <w:rFonts w:cstheme="minorHAnsi"/>
                <w:szCs w:val="24"/>
                <w:lang w:val="es-ES"/>
              </w:rPr>
            </w:pPr>
          </w:p>
        </w:tc>
      </w:tr>
      <w:tr w:rsidR="004852C2" w:rsidRPr="00E928B3" w14:paraId="54FF7A2A" w14:textId="77777777" w:rsidTr="00E928B3">
        <w:tc>
          <w:tcPr>
            <w:tcW w:w="1169" w:type="dxa"/>
          </w:tcPr>
          <w:p w14:paraId="575785F7" w14:textId="77777777" w:rsidR="004852C2" w:rsidRPr="00E928B3" w:rsidRDefault="004852C2" w:rsidP="00D16E1A">
            <w:pPr>
              <w:spacing w:before="0"/>
              <w:jc w:val="right"/>
              <w:rPr>
                <w:szCs w:val="24"/>
                <w:lang w:val="es-ES"/>
              </w:rPr>
            </w:pPr>
          </w:p>
        </w:tc>
        <w:tc>
          <w:tcPr>
            <w:tcW w:w="4536" w:type="dxa"/>
            <w:tcBorders>
              <w:right w:val="single" w:sz="8" w:space="0" w:color="auto"/>
            </w:tcBorders>
          </w:tcPr>
          <w:p w14:paraId="53BB3C81" w14:textId="77777777" w:rsidR="004852C2" w:rsidRPr="00E928B3" w:rsidRDefault="004852C2" w:rsidP="00D16E1A">
            <w:pPr>
              <w:spacing w:before="0"/>
              <w:rPr>
                <w:rFonts w:cstheme="minorHAnsi"/>
                <w:szCs w:val="24"/>
                <w:lang w:val="es-ES"/>
              </w:rPr>
            </w:pPr>
          </w:p>
        </w:tc>
        <w:tc>
          <w:tcPr>
            <w:tcW w:w="1275" w:type="dxa"/>
            <w:tcBorders>
              <w:left w:val="single" w:sz="8" w:space="0" w:color="auto"/>
            </w:tcBorders>
          </w:tcPr>
          <w:p w14:paraId="510D10A8" w14:textId="77777777" w:rsidR="004852C2" w:rsidRPr="00E928B3" w:rsidRDefault="004852C2" w:rsidP="00D16E1A">
            <w:pPr>
              <w:spacing w:before="0"/>
              <w:jc w:val="right"/>
              <w:rPr>
                <w:szCs w:val="24"/>
                <w:lang w:val="es-ES"/>
              </w:rPr>
            </w:pPr>
            <w:r w:rsidRPr="00E928B3">
              <w:rPr>
                <w:b/>
                <w:bCs/>
                <w:szCs w:val="24"/>
                <w:lang w:val="es-ES"/>
              </w:rPr>
              <w:t>Fecha</w:t>
            </w:r>
            <w:r w:rsidRPr="00E928B3">
              <w:rPr>
                <w:szCs w:val="24"/>
                <w:lang w:val="es-ES"/>
              </w:rPr>
              <w:t>:</w:t>
            </w:r>
          </w:p>
        </w:tc>
        <w:tc>
          <w:tcPr>
            <w:tcW w:w="2977" w:type="dxa"/>
          </w:tcPr>
          <w:p w14:paraId="7D44D72B" w14:textId="77777777" w:rsidR="004852C2" w:rsidRPr="00E928B3" w:rsidRDefault="004852C2" w:rsidP="00D16E1A">
            <w:pPr>
              <w:spacing w:before="0"/>
              <w:rPr>
                <w:szCs w:val="24"/>
                <w:lang w:val="es-ES"/>
              </w:rPr>
            </w:pPr>
            <w:r w:rsidRPr="00E928B3">
              <w:rPr>
                <w:szCs w:val="24"/>
                <w:highlight w:val="green"/>
                <w:lang w:val="es-ES"/>
              </w:rPr>
              <w:t>[Lugar,] [fecha]</w:t>
            </w:r>
          </w:p>
        </w:tc>
      </w:tr>
    </w:tbl>
    <w:p w14:paraId="67FE8CAD" w14:textId="77777777" w:rsidR="004852C2" w:rsidRPr="00E928B3" w:rsidRDefault="004852C2" w:rsidP="004852C2">
      <w:pPr>
        <w:pStyle w:val="Normalaftertitle"/>
        <w:rPr>
          <w:szCs w:val="24"/>
          <w:lang w:val="es-ES"/>
        </w:rPr>
      </w:pPr>
      <w:r w:rsidRPr="00E928B3">
        <w:rPr>
          <w:szCs w:val="24"/>
          <w:lang w:val="es-ES"/>
        </w:rPr>
        <w:t>Estimado Señor/Estimada Señora:</w:t>
      </w:r>
    </w:p>
    <w:p w14:paraId="2B67A682" w14:textId="77777777" w:rsidR="004852C2" w:rsidRPr="00E928B3" w:rsidRDefault="004852C2" w:rsidP="004852C2">
      <w:pPr>
        <w:spacing w:after="360"/>
        <w:rPr>
          <w:szCs w:val="24"/>
          <w:lang w:val="es-ES"/>
        </w:rPr>
      </w:pPr>
      <w:r w:rsidRPr="00E928B3">
        <w:rPr>
          <w:szCs w:val="24"/>
          <w:lang w:val="es-ES"/>
        </w:rPr>
        <w:t xml:space="preserve">En lo que respecta a la consulta a los Estados Miembros sobre los proyectos determinados que se enumeran en la </w:t>
      </w:r>
      <w:hyperlink r:id="rId16" w:history="1">
        <w:r w:rsidRPr="00E928B3">
          <w:rPr>
            <w:rStyle w:val="Hyperlink"/>
            <w:szCs w:val="24"/>
            <w:lang w:val="es-ES"/>
          </w:rPr>
          <w:t>Circular 100 de la TSB</w:t>
        </w:r>
      </w:hyperlink>
      <w:r w:rsidRPr="00E928B3">
        <w:rPr>
          <w:szCs w:val="24"/>
          <w:lang w:val="es-ES"/>
        </w:rPr>
        <w:t>, deseo informarle de la opinión de esta Administración, que se refleja en el siguiente cuadro:</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2"/>
      </w:tblGrid>
      <w:tr w:rsidR="004852C2" w:rsidRPr="00BB5AD2" w14:paraId="426FD834" w14:textId="77777777" w:rsidTr="00D16E1A">
        <w:trPr>
          <w:tblHeader/>
        </w:trPr>
        <w:tc>
          <w:tcPr>
            <w:tcW w:w="2547" w:type="dxa"/>
            <w:vAlign w:val="center"/>
          </w:tcPr>
          <w:p w14:paraId="36A6517C" w14:textId="77777777" w:rsidR="004852C2" w:rsidRPr="00BB5AD2" w:rsidRDefault="004852C2" w:rsidP="00D16E1A">
            <w:pPr>
              <w:spacing w:after="120"/>
              <w:jc w:val="center"/>
              <w:rPr>
                <w:rFonts w:cstheme="minorHAnsi"/>
                <w:b/>
                <w:bCs/>
                <w:sz w:val="22"/>
                <w:szCs w:val="22"/>
                <w:lang w:val="es-ES"/>
              </w:rPr>
            </w:pPr>
          </w:p>
        </w:tc>
        <w:tc>
          <w:tcPr>
            <w:tcW w:w="7082" w:type="dxa"/>
            <w:vAlign w:val="center"/>
          </w:tcPr>
          <w:p w14:paraId="2590E361" w14:textId="77777777" w:rsidR="004852C2" w:rsidRPr="00BB5AD2" w:rsidRDefault="004852C2" w:rsidP="00D16E1A">
            <w:pPr>
              <w:tabs>
                <w:tab w:val="clear" w:pos="794"/>
                <w:tab w:val="clear" w:pos="1191"/>
                <w:tab w:val="clear" w:pos="1588"/>
                <w:tab w:val="clear" w:pos="1985"/>
              </w:tabs>
              <w:spacing w:after="120"/>
              <w:ind w:left="939" w:hanging="459"/>
              <w:jc w:val="center"/>
              <w:rPr>
                <w:rFonts w:cstheme="minorHAnsi"/>
                <w:b/>
                <w:bCs/>
                <w:color w:val="000000"/>
                <w:sz w:val="22"/>
                <w:szCs w:val="22"/>
                <w:lang w:val="es-ES"/>
              </w:rPr>
            </w:pPr>
            <w:r w:rsidRPr="00BB5AD2">
              <w:rPr>
                <w:b/>
                <w:bCs/>
                <w:sz w:val="22"/>
                <w:szCs w:val="22"/>
                <w:lang w:val="es-ES"/>
              </w:rPr>
              <w:t>Seleccione una de las dos casillas</w:t>
            </w:r>
          </w:p>
        </w:tc>
      </w:tr>
      <w:tr w:rsidR="004852C2" w:rsidRPr="00BB5AD2" w14:paraId="3EAB00DC" w14:textId="77777777" w:rsidTr="00D16E1A">
        <w:trPr>
          <w:trHeight w:val="748"/>
        </w:trPr>
        <w:tc>
          <w:tcPr>
            <w:tcW w:w="2547" w:type="dxa"/>
            <w:vMerge w:val="restart"/>
            <w:vAlign w:val="center"/>
          </w:tcPr>
          <w:p w14:paraId="57C6262B" w14:textId="77777777" w:rsidR="004852C2" w:rsidRPr="00BB5AD2" w:rsidRDefault="004852C2" w:rsidP="00D16E1A">
            <w:pPr>
              <w:spacing w:before="60" w:after="60"/>
              <w:jc w:val="center"/>
              <w:rPr>
                <w:rFonts w:cstheme="minorHAnsi"/>
                <w:b/>
                <w:bCs/>
                <w:sz w:val="22"/>
                <w:szCs w:val="22"/>
                <w:lang w:val="es-ES"/>
              </w:rPr>
            </w:pPr>
            <w:r w:rsidRPr="00BB5AD2">
              <w:rPr>
                <w:rFonts w:cstheme="minorHAnsi"/>
                <w:b/>
                <w:bCs/>
                <w:color w:val="000000"/>
                <w:sz w:val="22"/>
                <w:szCs w:val="22"/>
                <w:lang w:val="es-ES"/>
              </w:rPr>
              <w:t>Proyecto de nueva</w:t>
            </w:r>
            <w:r w:rsidRPr="00BB5AD2">
              <w:rPr>
                <w:rFonts w:cstheme="minorHAnsi"/>
                <w:b/>
                <w:bCs/>
                <w:color w:val="000000"/>
                <w:sz w:val="22"/>
                <w:szCs w:val="22"/>
                <w:lang w:val="es-ES"/>
              </w:rPr>
              <w:br/>
              <w:t>Recomendación</w:t>
            </w:r>
            <w:r w:rsidRPr="00BB5AD2">
              <w:rPr>
                <w:rFonts w:cstheme="minorHAnsi"/>
                <w:b/>
                <w:color w:val="000000"/>
                <w:sz w:val="22"/>
                <w:szCs w:val="22"/>
                <w:lang w:val="es-ES"/>
              </w:rPr>
              <w:br/>
              <w:t>UIT-T X.1901 (antes. X.aas) |ISO/CEI 27566-1</w:t>
            </w:r>
          </w:p>
        </w:tc>
        <w:tc>
          <w:tcPr>
            <w:tcW w:w="7082" w:type="dxa"/>
          </w:tcPr>
          <w:p w14:paraId="67B3334F" w14:textId="77777777" w:rsidR="004852C2" w:rsidRPr="00BB5AD2" w:rsidRDefault="004852C2" w:rsidP="00D16E1A">
            <w:pPr>
              <w:pStyle w:val="Tabletext0"/>
              <w:tabs>
                <w:tab w:val="clear" w:pos="284"/>
                <w:tab w:val="clear" w:pos="567"/>
                <w:tab w:val="left" w:pos="480"/>
              </w:tabs>
              <w:ind w:left="480" w:hanging="480"/>
              <w:rPr>
                <w:szCs w:val="22"/>
                <w:lang w:val="es-ES"/>
              </w:rPr>
            </w:pPr>
            <w:r w:rsidRPr="00BB5AD2">
              <w:rPr>
                <w:szCs w:val="22"/>
                <w:lang w:val="es-ES"/>
              </w:rPr>
              <w:fldChar w:fldCharType="begin">
                <w:ffData>
                  <w:name w:val="Check1"/>
                  <w:enabled/>
                  <w:calcOnExit w:val="0"/>
                  <w:checkBox>
                    <w:sizeAuto/>
                    <w:default w:val="0"/>
                  </w:checkBox>
                </w:ffData>
              </w:fldChar>
            </w:r>
            <w:r w:rsidRPr="00BB5AD2">
              <w:rPr>
                <w:szCs w:val="22"/>
                <w:lang w:val="es-ES"/>
              </w:rPr>
              <w:instrText xml:space="preserve"> FORMCHECKBOX </w:instrText>
            </w:r>
            <w:r w:rsidRPr="00BB5AD2">
              <w:rPr>
                <w:szCs w:val="22"/>
                <w:lang w:val="es-ES"/>
              </w:rPr>
            </w:r>
            <w:r w:rsidRPr="00BB5AD2">
              <w:rPr>
                <w:szCs w:val="22"/>
                <w:lang w:val="es-ES"/>
              </w:rPr>
              <w:fldChar w:fldCharType="separate"/>
            </w:r>
            <w:r w:rsidRPr="00BB5AD2">
              <w:rPr>
                <w:szCs w:val="22"/>
                <w:lang w:val="es-ES"/>
              </w:rPr>
              <w:fldChar w:fldCharType="end"/>
            </w:r>
            <w:r w:rsidRPr="00BB5AD2">
              <w:rPr>
                <w:szCs w:val="22"/>
                <w:lang w:val="es-ES"/>
              </w:rPr>
              <w:tab/>
            </w:r>
            <w:r w:rsidRPr="00BB5AD2">
              <w:rPr>
                <w:b/>
                <w:bCs/>
                <w:szCs w:val="22"/>
                <w:lang w:val="es-ES"/>
              </w:rPr>
              <w:t>Otorga autoridad</w:t>
            </w:r>
            <w:r w:rsidRPr="00BB5AD2">
              <w:rPr>
                <w:szCs w:val="22"/>
                <w:lang w:val="es-ES"/>
              </w:rPr>
              <w:t xml:space="preserve"> a la Comisión de Estudio 17 para examinar este texto para aprobación (en cuyo caso, seleccione una de las dos opciones ⃝):</w:t>
            </w:r>
          </w:p>
          <w:p w14:paraId="60C448EC" w14:textId="77777777" w:rsidR="004852C2" w:rsidRPr="00BB5AD2" w:rsidRDefault="004852C2" w:rsidP="00D16E1A">
            <w:pPr>
              <w:tabs>
                <w:tab w:val="clear" w:pos="794"/>
                <w:tab w:val="clear" w:pos="1191"/>
                <w:tab w:val="clear" w:pos="1588"/>
                <w:tab w:val="clear" w:pos="1985"/>
              </w:tabs>
              <w:spacing w:before="60" w:after="60"/>
              <w:ind w:left="459" w:hanging="459"/>
              <w:rPr>
                <w:rFonts w:cstheme="minorHAnsi"/>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Sin comentarios o cambios sugeridos</w:t>
            </w:r>
          </w:p>
          <w:p w14:paraId="652E5CCD" w14:textId="77777777" w:rsidR="004852C2" w:rsidRPr="00BB5AD2" w:rsidRDefault="004852C2" w:rsidP="00D16E1A">
            <w:pPr>
              <w:tabs>
                <w:tab w:val="clear" w:pos="794"/>
                <w:tab w:val="clear" w:pos="1191"/>
                <w:tab w:val="clear" w:pos="1588"/>
                <w:tab w:val="clear" w:pos="1985"/>
              </w:tabs>
              <w:spacing w:before="60" w:after="60"/>
              <w:ind w:left="459" w:hanging="459"/>
              <w:rPr>
                <w:rFonts w:cstheme="minorHAnsi"/>
                <w:color w:val="000000"/>
                <w:sz w:val="22"/>
                <w:szCs w:val="22"/>
                <w:lang w:val="es-ES"/>
              </w:rPr>
            </w:pPr>
            <w:r w:rsidRPr="00BB5AD2">
              <w:rPr>
                <w:rFonts w:cstheme="minorHAnsi"/>
                <w:sz w:val="22"/>
                <w:szCs w:val="22"/>
              </w:rPr>
              <w:fldChar w:fldCharType="begin">
                <w:ffData>
                  <w:name w:val="Check1"/>
                  <w:enabled/>
                  <w:calcOnExit w:val="0"/>
                  <w:checkBox>
                    <w:sizeAuto/>
                    <w:default w:val="0"/>
                  </w:checkBox>
                </w:ffData>
              </w:fldChar>
            </w:r>
            <w:r w:rsidRPr="00BB5AD2">
              <w:rPr>
                <w:rFonts w:cstheme="minorHAnsi"/>
                <w:sz w:val="22"/>
                <w:szCs w:val="22"/>
                <w:lang w:val="es-ES"/>
              </w:rPr>
              <w:instrText xml:space="preserve"> FORMCHECKBOX </w:instrText>
            </w:r>
            <w:r w:rsidRPr="00BB5AD2">
              <w:rPr>
                <w:rFonts w:cstheme="minorHAnsi"/>
                <w:sz w:val="22"/>
                <w:szCs w:val="22"/>
              </w:rPr>
            </w:r>
            <w:r w:rsidRPr="00BB5AD2">
              <w:rPr>
                <w:rFonts w:cstheme="minorHAnsi"/>
                <w:sz w:val="22"/>
                <w:szCs w:val="22"/>
              </w:rPr>
              <w:fldChar w:fldCharType="separate"/>
            </w:r>
            <w:r w:rsidRPr="00BB5AD2">
              <w:rPr>
                <w:rFonts w:cstheme="minorHAnsi"/>
                <w:sz w:val="22"/>
                <w:szCs w:val="22"/>
              </w:rPr>
              <w:fldChar w:fldCharType="end"/>
            </w:r>
            <w:r w:rsidRPr="00BB5AD2">
              <w:rPr>
                <w:rFonts w:cstheme="minorHAnsi"/>
                <w:sz w:val="22"/>
                <w:szCs w:val="22"/>
                <w:lang w:val="es-ES"/>
              </w:rPr>
              <w:tab/>
              <w:t>Se adjuntan los comentarios o cambios sugeridos</w:t>
            </w:r>
          </w:p>
        </w:tc>
      </w:tr>
      <w:tr w:rsidR="004852C2" w:rsidRPr="00BB5AD2" w14:paraId="72455A0E" w14:textId="77777777" w:rsidTr="00D16E1A">
        <w:trPr>
          <w:trHeight w:val="747"/>
        </w:trPr>
        <w:tc>
          <w:tcPr>
            <w:tcW w:w="2547" w:type="dxa"/>
            <w:vMerge/>
            <w:vAlign w:val="center"/>
          </w:tcPr>
          <w:p w14:paraId="414CD056" w14:textId="77777777" w:rsidR="004852C2" w:rsidRPr="00BB5AD2" w:rsidRDefault="004852C2" w:rsidP="00D16E1A">
            <w:pPr>
              <w:spacing w:before="60" w:after="60"/>
              <w:jc w:val="center"/>
              <w:rPr>
                <w:rFonts w:cstheme="minorHAnsi"/>
                <w:b/>
                <w:bCs/>
                <w:sz w:val="22"/>
                <w:szCs w:val="22"/>
                <w:lang w:val="es-ES"/>
              </w:rPr>
            </w:pPr>
          </w:p>
        </w:tc>
        <w:tc>
          <w:tcPr>
            <w:tcW w:w="7082" w:type="dxa"/>
          </w:tcPr>
          <w:p w14:paraId="3AE159F8" w14:textId="77777777" w:rsidR="004852C2" w:rsidRPr="00BB5AD2" w:rsidRDefault="004852C2" w:rsidP="00D16E1A">
            <w:pPr>
              <w:tabs>
                <w:tab w:val="clear" w:pos="794"/>
                <w:tab w:val="clear" w:pos="1191"/>
                <w:tab w:val="clear" w:pos="1588"/>
                <w:tab w:val="clear" w:pos="1985"/>
                <w:tab w:val="left" w:pos="250"/>
              </w:tabs>
              <w:spacing w:before="60" w:after="60"/>
              <w:ind w:left="459" w:hanging="459"/>
              <w:rPr>
                <w:rFonts w:cstheme="minorHAnsi"/>
                <w:color w:val="000000"/>
                <w:sz w:val="22"/>
                <w:szCs w:val="22"/>
                <w:lang w:val="es-ES"/>
              </w:rPr>
            </w:pPr>
            <w:r w:rsidRPr="00BB5AD2">
              <w:rPr>
                <w:sz w:val="22"/>
                <w:szCs w:val="22"/>
                <w:lang w:val="es-ES"/>
              </w:rPr>
              <w:fldChar w:fldCharType="begin">
                <w:ffData>
                  <w:name w:val="Check1"/>
                  <w:enabled/>
                  <w:calcOnExit w:val="0"/>
                  <w:checkBox>
                    <w:sizeAuto/>
                    <w:default w:val="0"/>
                  </w:checkBox>
                </w:ffData>
              </w:fldChar>
            </w:r>
            <w:r w:rsidRPr="00BB5AD2">
              <w:rPr>
                <w:sz w:val="22"/>
                <w:szCs w:val="22"/>
                <w:lang w:val="es-ES"/>
              </w:rPr>
              <w:instrText xml:space="preserve"> FORMCHECKBOX </w:instrText>
            </w:r>
            <w:r w:rsidRPr="00BB5AD2">
              <w:rPr>
                <w:sz w:val="22"/>
                <w:szCs w:val="22"/>
                <w:lang w:val="es-ES"/>
              </w:rPr>
            </w:r>
            <w:r w:rsidRPr="00BB5AD2">
              <w:rPr>
                <w:sz w:val="22"/>
                <w:szCs w:val="22"/>
                <w:lang w:val="es-ES"/>
              </w:rPr>
              <w:fldChar w:fldCharType="separate"/>
            </w:r>
            <w:r w:rsidRPr="00BB5AD2">
              <w:rPr>
                <w:sz w:val="22"/>
                <w:szCs w:val="22"/>
                <w:lang w:val="es-ES"/>
              </w:rPr>
              <w:fldChar w:fldCharType="end"/>
            </w:r>
            <w:r w:rsidRPr="00BB5AD2">
              <w:rPr>
                <w:sz w:val="22"/>
                <w:szCs w:val="22"/>
                <w:lang w:val="es-ES"/>
              </w:rPr>
              <w:tab/>
            </w:r>
            <w:r w:rsidRPr="00BB5AD2">
              <w:rPr>
                <w:b/>
                <w:bCs/>
                <w:sz w:val="22"/>
                <w:szCs w:val="22"/>
                <w:lang w:val="es-ES"/>
              </w:rPr>
              <w:t xml:space="preserve">No otorga autoridad </w:t>
            </w:r>
            <w:r w:rsidRPr="00BB5AD2">
              <w:rPr>
                <w:sz w:val="22"/>
                <w:szCs w:val="22"/>
                <w:lang w:val="es-ES"/>
              </w:rPr>
              <w:t>a la Comisión de Estudio 17 a fin de examinar este texto para aprobación (se adjuntan los motivos de esta decisión y las posibles modificaciones que permitirían que prosiguieran los trabajos)</w:t>
            </w:r>
          </w:p>
        </w:tc>
      </w:tr>
    </w:tbl>
    <w:p w14:paraId="3C6107F6" w14:textId="77777777" w:rsidR="004852C2" w:rsidRPr="00E928B3" w:rsidRDefault="004852C2" w:rsidP="004852C2">
      <w:pPr>
        <w:spacing w:before="240" w:after="480"/>
        <w:rPr>
          <w:rFonts w:cstheme="minorHAnsi"/>
          <w:szCs w:val="24"/>
          <w:lang w:val="es-ES"/>
        </w:rPr>
      </w:pPr>
      <w:r w:rsidRPr="00E928B3">
        <w:rPr>
          <w:szCs w:val="24"/>
          <w:lang w:val="es-ES"/>
        </w:rPr>
        <w:t>Le saluda muy atentamente,</w:t>
      </w:r>
    </w:p>
    <w:p w14:paraId="20CD1B3F" w14:textId="77777777" w:rsidR="004852C2" w:rsidRPr="00E928B3" w:rsidRDefault="004852C2" w:rsidP="004852C2">
      <w:pPr>
        <w:widowControl w:val="0"/>
        <w:spacing w:before="240"/>
        <w:rPr>
          <w:szCs w:val="24"/>
          <w:highlight w:val="green"/>
          <w:lang w:val="es-ES"/>
        </w:rPr>
      </w:pPr>
      <w:r w:rsidRPr="00E928B3">
        <w:rPr>
          <w:szCs w:val="24"/>
          <w:highlight w:val="green"/>
          <w:lang w:val="es-ES"/>
        </w:rPr>
        <w:t>[Nombre]</w:t>
      </w:r>
    </w:p>
    <w:p w14:paraId="68AFAE5C" w14:textId="77777777" w:rsidR="004852C2" w:rsidRPr="00E928B3" w:rsidRDefault="004852C2" w:rsidP="004852C2">
      <w:pPr>
        <w:widowControl w:val="0"/>
        <w:rPr>
          <w:szCs w:val="24"/>
          <w:lang w:val="es-ES"/>
        </w:rPr>
      </w:pPr>
      <w:r w:rsidRPr="00E928B3">
        <w:rPr>
          <w:szCs w:val="24"/>
          <w:highlight w:val="green"/>
          <w:lang w:val="es-ES"/>
        </w:rPr>
        <w:t>[Cargo oficial/título]</w:t>
      </w:r>
    </w:p>
    <w:p w14:paraId="0BA3C606" w14:textId="36C0EC4B" w:rsidR="00401C20" w:rsidRPr="00E928B3" w:rsidRDefault="004852C2" w:rsidP="004852C2">
      <w:pPr>
        <w:widowControl w:val="0"/>
        <w:rPr>
          <w:szCs w:val="24"/>
          <w:lang w:val="es-ES"/>
        </w:rPr>
      </w:pPr>
      <w:r w:rsidRPr="00E928B3">
        <w:rPr>
          <w:szCs w:val="24"/>
          <w:lang w:val="es-ES"/>
        </w:rPr>
        <w:t xml:space="preserve">Administración de </w:t>
      </w:r>
      <w:r w:rsidRPr="00E928B3">
        <w:rPr>
          <w:szCs w:val="24"/>
          <w:highlight w:val="green"/>
          <w:lang w:val="es-ES"/>
        </w:rPr>
        <w:t>[Estado Miembro]</w:t>
      </w:r>
    </w:p>
    <w:p w14:paraId="057FA9B6" w14:textId="77777777" w:rsidR="004852C2" w:rsidRPr="00FE6271" w:rsidRDefault="004852C2" w:rsidP="00411C49">
      <w:pPr>
        <w:pStyle w:val="Reasons"/>
        <w:rPr>
          <w:lang w:val="es-ES"/>
        </w:rPr>
      </w:pPr>
    </w:p>
    <w:p w14:paraId="2235D02A" w14:textId="76467427" w:rsidR="004852C2" w:rsidRPr="004852C2" w:rsidRDefault="004852C2" w:rsidP="004852C2">
      <w:pPr>
        <w:jc w:val="center"/>
      </w:pPr>
      <w:r>
        <w:t>______________</w:t>
      </w:r>
    </w:p>
    <w:sectPr w:rsidR="004852C2" w:rsidRPr="004852C2" w:rsidSect="00B87E9E">
      <w:head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A9CC" w14:textId="77777777" w:rsidR="004852C2" w:rsidRDefault="004852C2">
      <w:r>
        <w:separator/>
      </w:r>
    </w:p>
  </w:endnote>
  <w:endnote w:type="continuationSeparator" w:id="0">
    <w:p w14:paraId="4C4AFED0" w14:textId="77777777" w:rsidR="004852C2" w:rsidRDefault="0048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DEFB"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EC98" w14:textId="77777777" w:rsidR="004852C2" w:rsidRDefault="004852C2">
      <w:r>
        <w:t>____________________</w:t>
      </w:r>
    </w:p>
  </w:footnote>
  <w:footnote w:type="continuationSeparator" w:id="0">
    <w:p w14:paraId="2226BC53" w14:textId="77777777" w:rsidR="004852C2" w:rsidRDefault="0048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2044" w14:textId="747F41B0"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5107E430" w14:textId="451D0BFA" w:rsidR="004852C2" w:rsidRPr="00303D62" w:rsidRDefault="004852C2">
    <w:pPr>
      <w:pStyle w:val="Header"/>
      <w:rPr>
        <w:sz w:val="18"/>
        <w:szCs w:val="18"/>
      </w:rPr>
    </w:pPr>
    <w:r>
      <w:rPr>
        <w:rStyle w:val="PageNumber"/>
        <w:sz w:val="18"/>
        <w:szCs w:val="18"/>
      </w:rPr>
      <w:t>Circular TSB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C2"/>
    <w:rsid w:val="00002529"/>
    <w:rsid w:val="00085662"/>
    <w:rsid w:val="000C382F"/>
    <w:rsid w:val="001173CC"/>
    <w:rsid w:val="001350B9"/>
    <w:rsid w:val="0014464D"/>
    <w:rsid w:val="001A54CC"/>
    <w:rsid w:val="00257FB4"/>
    <w:rsid w:val="002E496E"/>
    <w:rsid w:val="00303D62"/>
    <w:rsid w:val="00335367"/>
    <w:rsid w:val="0036295B"/>
    <w:rsid w:val="00370C2D"/>
    <w:rsid w:val="003D1E8D"/>
    <w:rsid w:val="003D673B"/>
    <w:rsid w:val="003F2855"/>
    <w:rsid w:val="00401C20"/>
    <w:rsid w:val="004852C2"/>
    <w:rsid w:val="004A7957"/>
    <w:rsid w:val="004C4144"/>
    <w:rsid w:val="0055719E"/>
    <w:rsid w:val="006969B4"/>
    <w:rsid w:val="006E4F7B"/>
    <w:rsid w:val="00781E2A"/>
    <w:rsid w:val="007933A2"/>
    <w:rsid w:val="007B6316"/>
    <w:rsid w:val="00814503"/>
    <w:rsid w:val="008258C2"/>
    <w:rsid w:val="008505BD"/>
    <w:rsid w:val="00850C78"/>
    <w:rsid w:val="00876165"/>
    <w:rsid w:val="00880A93"/>
    <w:rsid w:val="00884D12"/>
    <w:rsid w:val="008C17AD"/>
    <w:rsid w:val="008D02CD"/>
    <w:rsid w:val="0091370C"/>
    <w:rsid w:val="0095172A"/>
    <w:rsid w:val="009A0BA0"/>
    <w:rsid w:val="00A54E47"/>
    <w:rsid w:val="00AB6E3A"/>
    <w:rsid w:val="00AE7093"/>
    <w:rsid w:val="00B27489"/>
    <w:rsid w:val="00B422BC"/>
    <w:rsid w:val="00B43F77"/>
    <w:rsid w:val="00B55A3E"/>
    <w:rsid w:val="00B7311A"/>
    <w:rsid w:val="00B87E9E"/>
    <w:rsid w:val="00B95F0A"/>
    <w:rsid w:val="00B96180"/>
    <w:rsid w:val="00C116FE"/>
    <w:rsid w:val="00C17AC0"/>
    <w:rsid w:val="00C34772"/>
    <w:rsid w:val="00C5465A"/>
    <w:rsid w:val="00D54642"/>
    <w:rsid w:val="00D834E7"/>
    <w:rsid w:val="00DB7FE1"/>
    <w:rsid w:val="00DD77C9"/>
    <w:rsid w:val="00DF3538"/>
    <w:rsid w:val="00E839B0"/>
    <w:rsid w:val="00E928B3"/>
    <w:rsid w:val="00E92C09"/>
    <w:rsid w:val="00F14380"/>
    <w:rsid w:val="00F6461F"/>
    <w:rsid w:val="00FC416A"/>
    <w:rsid w:val="00FD2B2D"/>
    <w:rsid w:val="00FE62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78CB"/>
  <w15:docId w15:val="{1829ED4D-B14F-4CE1-B135-63160384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4852C2"/>
    <w:rPr>
      <w:color w:val="605E5C"/>
      <w:shd w:val="clear" w:color="auto" w:fill="E1DFDD"/>
    </w:rPr>
  </w:style>
  <w:style w:type="paragraph" w:customStyle="1" w:styleId="Annextitle0">
    <w:name w:val="Annex_title"/>
    <w:basedOn w:val="Normal"/>
    <w:next w:val="Normal"/>
    <w:rsid w:val="004852C2"/>
    <w:pPr>
      <w:keepNext/>
      <w:keepLines/>
      <w:spacing w:before="240" w:after="280"/>
      <w:jc w:val="center"/>
    </w:pPr>
    <w:rPr>
      <w:rFonts w:ascii="Calibri" w:hAnsi="Calibri"/>
      <w:b/>
      <w:sz w:val="28"/>
      <w:lang w:val="en-GB"/>
    </w:rPr>
  </w:style>
  <w:style w:type="paragraph" w:customStyle="1" w:styleId="Reasons">
    <w:name w:val="Reasons"/>
    <w:basedOn w:val="Normal"/>
    <w:qFormat/>
    <w:rsid w:val="004852C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meetingdoc.asp?lang=en&amp;parent=T25-SG17-R-002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25-SG17-R-0024/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T25-TSB-CIR-0100/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7/en"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T25-SG17-COL-0007/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es/ITU-T/ipr/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6</TotalTime>
  <Pages>5</Pages>
  <Words>1323</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8979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Maguire, Mairéad</cp:lastModifiedBy>
  <cp:revision>3</cp:revision>
  <cp:lastPrinted>2011-04-15T08:24:00Z</cp:lastPrinted>
  <dcterms:created xsi:type="dcterms:W3CDTF">2026-01-26T10:43:00Z</dcterms:created>
  <dcterms:modified xsi:type="dcterms:W3CDTF">2026-01-26T11:28:00Z</dcterms:modified>
</cp:coreProperties>
</file>