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A27839" w:rsidRPr="00E16092" w14:paraId="220B26CF" w14:textId="77777777" w:rsidTr="00F56AF2">
        <w:trPr>
          <w:trHeight w:val="897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7B415BE" w14:textId="02DCFE33" w:rsidR="00A27839" w:rsidRPr="00E16092" w:rsidRDefault="00C87BAA" w:rsidP="00DC16F2">
            <w:pPr>
              <w:pStyle w:val="Tabletext"/>
              <w:jc w:val="both"/>
              <w:rPr>
                <w:rFonts w:cs="Calibri"/>
                <w:sz w:val="22"/>
                <w:szCs w:val="22"/>
                <w:lang w:val="en-US"/>
              </w:rPr>
            </w:pPr>
            <w:bookmarkStart w:id="0" w:name="_Hlk220329317"/>
            <w:r w:rsidRPr="00E16092">
              <w:rPr>
                <w:rFonts w:cs="Calibri"/>
                <w:noProof/>
                <w:sz w:val="22"/>
                <w:szCs w:val="22"/>
                <w:lang w:val="en-US" w:eastAsia="fr-CH"/>
              </w:rPr>
              <w:drawing>
                <wp:inline distT="0" distB="0" distL="0" distR="0" wp14:anchorId="73109BE7" wp14:editId="5F39E1A8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tcMar>
              <w:left w:w="142" w:type="dxa"/>
            </w:tcMar>
            <w:vAlign w:val="center"/>
          </w:tcPr>
          <w:p w14:paraId="72B2D058" w14:textId="77777777" w:rsidR="00A27839" w:rsidRPr="00E16092" w:rsidRDefault="00A27839" w:rsidP="00DC16F2">
            <w:pPr>
              <w:spacing w:before="0"/>
              <w:jc w:val="both"/>
              <w:rPr>
                <w:rFonts w:cs="Calibri"/>
                <w:b/>
                <w:bCs/>
                <w:smallCaps/>
                <w:sz w:val="36"/>
                <w:szCs w:val="36"/>
                <w:lang w:val="en-US"/>
              </w:rPr>
            </w:pPr>
            <w:r w:rsidRPr="00E16092">
              <w:rPr>
                <w:rFonts w:cs="Calibri"/>
                <w:b/>
                <w:bCs/>
                <w:smallCaps/>
                <w:sz w:val="36"/>
                <w:szCs w:val="36"/>
                <w:lang w:val="en-US"/>
              </w:rPr>
              <w:t>International telecommunication union</w:t>
            </w:r>
          </w:p>
          <w:p w14:paraId="50EFB442" w14:textId="77777777" w:rsidR="00A27839" w:rsidRPr="00E16092" w:rsidRDefault="00A27839" w:rsidP="00DC16F2">
            <w:pPr>
              <w:spacing w:before="0"/>
              <w:jc w:val="both"/>
              <w:rPr>
                <w:rFonts w:cs="Calibri"/>
                <w:color w:val="FFFFFF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b/>
                <w:bCs/>
                <w:iCs/>
                <w:smallCaps/>
                <w:sz w:val="28"/>
                <w:szCs w:val="28"/>
                <w:lang w:val="en-US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16E31E39" w14:textId="77777777" w:rsidR="00A27839" w:rsidRPr="00E16092" w:rsidRDefault="00A27839" w:rsidP="00DC16F2">
            <w:pPr>
              <w:spacing w:before="0"/>
              <w:jc w:val="both"/>
              <w:rPr>
                <w:rFonts w:cs="Calibri"/>
                <w:color w:val="FFFFFF"/>
                <w:sz w:val="22"/>
                <w:szCs w:val="22"/>
                <w:lang w:val="en-US"/>
              </w:rPr>
            </w:pPr>
          </w:p>
        </w:tc>
      </w:tr>
      <w:tr w:rsidR="00A27839" w:rsidRPr="00E16092" w14:paraId="2ED59F9E" w14:textId="77777777" w:rsidTr="001F009E">
        <w:trPr>
          <w:cantSplit/>
          <w:trHeight w:val="717"/>
        </w:trPr>
        <w:tc>
          <w:tcPr>
            <w:tcW w:w="4820" w:type="dxa"/>
            <w:gridSpan w:val="2"/>
            <w:vAlign w:val="center"/>
          </w:tcPr>
          <w:p w14:paraId="20DC8C39" w14:textId="77777777" w:rsidR="00A27839" w:rsidRPr="001F009E" w:rsidRDefault="00A27839" w:rsidP="00F56AF2">
            <w:pPr>
              <w:pStyle w:val="Tabletext"/>
              <w:jc w:val="both"/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7FC22F3" w14:textId="7A347285" w:rsidR="00A27839" w:rsidRPr="001F009E" w:rsidRDefault="00A27839" w:rsidP="00D642FB">
            <w:pPr>
              <w:pStyle w:val="Tabletext"/>
              <w:spacing w:before="0" w:after="0"/>
              <w:ind w:left="-108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1F009E">
              <w:rPr>
                <w:rFonts w:cs="Calibri"/>
                <w:sz w:val="22"/>
                <w:szCs w:val="22"/>
                <w:lang w:val="en-US"/>
              </w:rPr>
              <w:t>Geneva,</w:t>
            </w:r>
            <w:r w:rsidR="00D331BA" w:rsidRPr="001F009E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4475C3" w:rsidRPr="001F009E">
              <w:rPr>
                <w:rFonts w:cs="Calibri"/>
                <w:sz w:val="22"/>
                <w:szCs w:val="22"/>
                <w:lang w:val="en-US"/>
              </w:rPr>
              <w:t>27 January</w:t>
            </w:r>
            <w:r w:rsidR="004974A2" w:rsidRPr="001F009E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B538F4" w:rsidRPr="001F009E">
              <w:rPr>
                <w:rFonts w:cs="Calibri"/>
                <w:sz w:val="22"/>
                <w:szCs w:val="22"/>
                <w:lang w:val="en-US"/>
              </w:rPr>
              <w:t>202</w:t>
            </w:r>
            <w:r w:rsidR="004475C3" w:rsidRPr="001F009E">
              <w:rPr>
                <w:rFonts w:cs="Calibri"/>
                <w:sz w:val="22"/>
                <w:szCs w:val="22"/>
                <w:lang w:val="en-US"/>
              </w:rPr>
              <w:t>6</w:t>
            </w:r>
          </w:p>
        </w:tc>
      </w:tr>
      <w:tr w:rsidR="009579C6" w:rsidRPr="00E16092" w14:paraId="7E094D2D" w14:textId="77777777" w:rsidTr="00D35BC0">
        <w:trPr>
          <w:cantSplit/>
          <w:trHeight w:val="552"/>
        </w:trPr>
        <w:tc>
          <w:tcPr>
            <w:tcW w:w="1276" w:type="dxa"/>
          </w:tcPr>
          <w:p w14:paraId="545933FC" w14:textId="3643ED28" w:rsidR="009579C6" w:rsidRPr="00E16092" w:rsidRDefault="009579C6" w:rsidP="00DC16F2">
            <w:pPr>
              <w:pStyle w:val="Tabletext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b/>
                <w:sz w:val="22"/>
                <w:szCs w:val="22"/>
                <w:lang w:val="en-US"/>
              </w:rPr>
              <w:t>Ref:</w:t>
            </w:r>
            <w:r w:rsidRPr="00E16092">
              <w:rPr>
                <w:rFonts w:cs="Calibri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3544" w:type="dxa"/>
          </w:tcPr>
          <w:p w14:paraId="7D2C1E3D" w14:textId="302C1908" w:rsidR="009579C6" w:rsidRPr="002C0550" w:rsidRDefault="002F6D28" w:rsidP="00DC16F2">
            <w:pPr>
              <w:pStyle w:val="Tabletext"/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2C0550">
              <w:rPr>
                <w:rFonts w:cs="Calibri"/>
                <w:b/>
                <w:bCs/>
                <w:sz w:val="22"/>
                <w:szCs w:val="22"/>
              </w:rPr>
              <w:t xml:space="preserve">Addendum 1 to </w:t>
            </w:r>
            <w:r w:rsidR="009579C6" w:rsidRPr="002C0550">
              <w:rPr>
                <w:rFonts w:cs="Calibri"/>
                <w:b/>
                <w:bCs/>
                <w:sz w:val="22"/>
                <w:szCs w:val="22"/>
              </w:rPr>
              <w:t xml:space="preserve">TSB Circular </w:t>
            </w:r>
            <w:r w:rsidR="004A2ED9" w:rsidRPr="002C0550">
              <w:rPr>
                <w:rFonts w:cs="Calibri"/>
                <w:b/>
                <w:bCs/>
                <w:sz w:val="22"/>
                <w:szCs w:val="22"/>
              </w:rPr>
              <w:t>0</w:t>
            </w:r>
            <w:r w:rsidR="004974A2" w:rsidRPr="002C0550">
              <w:rPr>
                <w:rFonts w:cs="Calibri"/>
                <w:b/>
                <w:bCs/>
                <w:sz w:val="22"/>
                <w:szCs w:val="22"/>
              </w:rPr>
              <w:t>99</w:t>
            </w:r>
            <w:r w:rsidR="009579C6" w:rsidRPr="002C0550">
              <w:br/>
            </w:r>
            <w:r w:rsidR="009579C6" w:rsidRPr="002C0550">
              <w:rPr>
                <w:rFonts w:cs="Calibri"/>
                <w:b/>
                <w:bCs/>
                <w:sz w:val="22"/>
                <w:szCs w:val="22"/>
              </w:rPr>
              <w:t>Reyna Ubeda</w:t>
            </w:r>
          </w:p>
        </w:tc>
        <w:tc>
          <w:tcPr>
            <w:tcW w:w="5103" w:type="dxa"/>
            <w:gridSpan w:val="2"/>
            <w:vMerge w:val="restart"/>
          </w:tcPr>
          <w:p w14:paraId="2091063E" w14:textId="77777777" w:rsidR="009579C6" w:rsidRPr="00E16092" w:rsidRDefault="009579C6" w:rsidP="00F56AF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 w:after="40"/>
              <w:ind w:left="274" w:hanging="389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b/>
                <w:sz w:val="22"/>
                <w:szCs w:val="22"/>
                <w:lang w:val="en-US"/>
              </w:rPr>
              <w:t>To:</w:t>
            </w:r>
          </w:p>
          <w:p w14:paraId="76A94A91" w14:textId="28E52637" w:rsidR="009579C6" w:rsidRPr="00103D04" w:rsidRDefault="009579C6" w:rsidP="00F56A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-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ab/>
              <w:t xml:space="preserve">Administrations of Member States of the </w:t>
            </w:r>
            <w:r w:rsidR="00103D04" w:rsidRPr="00E16092">
              <w:rPr>
                <w:rFonts w:cs="Calibri"/>
                <w:sz w:val="22"/>
                <w:szCs w:val="22"/>
                <w:lang w:val="en-US"/>
              </w:rPr>
              <w:t>Union</w:t>
            </w:r>
            <w:r w:rsidR="00103D04" w:rsidRPr="00103D04">
              <w:rPr>
                <w:rFonts w:cs="Calibri"/>
                <w:sz w:val="22"/>
                <w:szCs w:val="22"/>
              </w:rPr>
              <w:t>;</w:t>
            </w:r>
          </w:p>
          <w:p w14:paraId="3A9E9B99" w14:textId="2262AF48" w:rsidR="00C7256E" w:rsidRPr="00103D04" w:rsidRDefault="00C7256E" w:rsidP="00F56A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-</w:t>
            </w:r>
            <w:r w:rsidR="00103D04">
              <w:rPr>
                <w:rFonts w:cs="Calibri"/>
                <w:sz w:val="22"/>
                <w:szCs w:val="22"/>
                <w:lang w:val="en-US"/>
              </w:rPr>
              <w:tab/>
            </w:r>
            <w:r w:rsidRPr="000B2A49">
              <w:rPr>
                <w:color w:val="000000"/>
                <w:sz w:val="22"/>
                <w:szCs w:val="22"/>
              </w:rPr>
              <w:t>The State of</w:t>
            </w:r>
            <w:r w:rsidRPr="000B2A49">
              <w:rPr>
                <w:sz w:val="22"/>
                <w:szCs w:val="22"/>
              </w:rPr>
              <w:t xml:space="preserve"> Palestine (Res. 99 (Rev. Dubai, 2018</w:t>
            </w:r>
            <w:r w:rsidR="00FF083B">
              <w:rPr>
                <w:sz w:val="22"/>
                <w:szCs w:val="22"/>
              </w:rPr>
              <w:t>)</w:t>
            </w:r>
            <w:r w:rsidR="00103D04">
              <w:rPr>
                <w:sz w:val="22"/>
                <w:szCs w:val="22"/>
              </w:rPr>
              <w:t>)</w:t>
            </w:r>
            <w:r w:rsidR="00103D04" w:rsidRPr="00103D04">
              <w:rPr>
                <w:rFonts w:cs="Calibri"/>
                <w:sz w:val="22"/>
                <w:szCs w:val="22"/>
              </w:rPr>
              <w:t>;</w:t>
            </w:r>
          </w:p>
          <w:p w14:paraId="579E98E8" w14:textId="3E4E15D2" w:rsidR="009579C6" w:rsidRPr="00103D04" w:rsidRDefault="009579C6" w:rsidP="00F56A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  <w:lang w:val="fr-CH"/>
              </w:rPr>
            </w:pPr>
            <w:r w:rsidRPr="00103D04">
              <w:rPr>
                <w:rFonts w:cs="Calibri"/>
                <w:sz w:val="22"/>
                <w:szCs w:val="22"/>
                <w:lang w:val="fr-CH"/>
              </w:rPr>
              <w:t>-</w:t>
            </w:r>
            <w:r w:rsidRPr="00103D04">
              <w:rPr>
                <w:rFonts w:cs="Calibri"/>
                <w:sz w:val="22"/>
                <w:szCs w:val="22"/>
                <w:lang w:val="fr-CH"/>
              </w:rPr>
              <w:tab/>
              <w:t>ITU-T Sector Member</w:t>
            </w:r>
            <w:r w:rsidR="00103D04">
              <w:rPr>
                <w:rFonts w:cs="Calibri"/>
                <w:sz w:val="22"/>
                <w:szCs w:val="22"/>
                <w:lang w:val="fr-CH"/>
              </w:rPr>
              <w:t>s;</w:t>
            </w:r>
          </w:p>
          <w:p w14:paraId="7A5CDC69" w14:textId="73EBF620" w:rsidR="009579C6" w:rsidRPr="009579C6" w:rsidRDefault="009579C6" w:rsidP="00F56AF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  <w:lang w:val="fr-CH"/>
              </w:rPr>
            </w:pPr>
            <w:r w:rsidRPr="009579C6">
              <w:rPr>
                <w:rFonts w:cs="Calibri"/>
                <w:sz w:val="22"/>
                <w:szCs w:val="22"/>
                <w:lang w:val="fr-CH"/>
              </w:rPr>
              <w:t>-</w:t>
            </w:r>
            <w:r w:rsidRPr="009579C6">
              <w:rPr>
                <w:rFonts w:cs="Calibri"/>
                <w:sz w:val="22"/>
                <w:szCs w:val="22"/>
                <w:lang w:val="fr-CH"/>
              </w:rPr>
              <w:tab/>
              <w:t>ITU-T Associates</w:t>
            </w:r>
            <w:r w:rsidR="00103D04">
              <w:rPr>
                <w:rFonts w:cs="Calibri"/>
                <w:sz w:val="22"/>
                <w:szCs w:val="22"/>
                <w:lang w:val="fr-CH"/>
              </w:rPr>
              <w:t>;</w:t>
            </w:r>
          </w:p>
          <w:p w14:paraId="6F2B632E" w14:textId="1FD2AE88" w:rsidR="009579C6" w:rsidRPr="00E16092" w:rsidRDefault="009579C6" w:rsidP="00F56A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74" w:hanging="389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-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ab/>
              <w:t>ITU Academia</w:t>
            </w:r>
          </w:p>
          <w:p w14:paraId="6E88D82A" w14:textId="77777777" w:rsidR="009579C6" w:rsidRPr="00E16092" w:rsidRDefault="009579C6" w:rsidP="00F56AF2">
            <w:pPr>
              <w:pStyle w:val="Tabletext"/>
              <w:spacing w:before="0"/>
              <w:ind w:left="274" w:hanging="389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b/>
                <w:sz w:val="22"/>
                <w:szCs w:val="22"/>
                <w:lang w:val="en-US"/>
              </w:rPr>
              <w:t>Copy to:</w:t>
            </w:r>
          </w:p>
          <w:p w14:paraId="12D9B839" w14:textId="7BF7611D" w:rsidR="009579C6" w:rsidRPr="00103D04" w:rsidRDefault="009579C6" w:rsidP="00F56AF2">
            <w:pPr>
              <w:pStyle w:val="Tabletext"/>
              <w:tabs>
                <w:tab w:val="clear" w:pos="284"/>
              </w:tabs>
              <w:spacing w:before="0"/>
              <w:ind w:left="274" w:hanging="389"/>
              <w:rPr>
                <w:rFonts w:cs="Calibri"/>
                <w:sz w:val="22"/>
                <w:szCs w:val="22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-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ab/>
              <w:t xml:space="preserve">The Chairs and Vice-Chairs of Study </w:t>
            </w:r>
            <w:r w:rsidR="00103D04" w:rsidRPr="00E16092">
              <w:rPr>
                <w:rFonts w:cs="Calibri"/>
                <w:sz w:val="22"/>
                <w:szCs w:val="22"/>
                <w:lang w:val="en-US"/>
              </w:rPr>
              <w:t>Groups</w:t>
            </w:r>
            <w:r w:rsidR="00103D04" w:rsidRPr="00103D04">
              <w:rPr>
                <w:rFonts w:cs="Calibri"/>
                <w:sz w:val="22"/>
                <w:szCs w:val="22"/>
              </w:rPr>
              <w:t>;</w:t>
            </w:r>
          </w:p>
          <w:p w14:paraId="457D2B03" w14:textId="50194153" w:rsidR="009579C6" w:rsidRPr="00103D04" w:rsidRDefault="009579C6" w:rsidP="00F56AF2">
            <w:pPr>
              <w:pStyle w:val="Tabletext"/>
              <w:tabs>
                <w:tab w:val="clear" w:pos="284"/>
              </w:tabs>
              <w:spacing w:before="0"/>
              <w:ind w:left="274" w:hanging="389"/>
              <w:rPr>
                <w:rFonts w:cs="Calibri"/>
                <w:sz w:val="22"/>
                <w:szCs w:val="22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-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ab/>
              <w:t xml:space="preserve">The Director of the Telecommunication Development </w:t>
            </w:r>
            <w:r w:rsidR="00103D04" w:rsidRPr="00E16092">
              <w:rPr>
                <w:rFonts w:cs="Calibri"/>
                <w:sz w:val="22"/>
                <w:szCs w:val="22"/>
                <w:lang w:val="en-US"/>
              </w:rPr>
              <w:t>Bureau</w:t>
            </w:r>
            <w:r w:rsidR="00103D04" w:rsidRPr="00103D04">
              <w:rPr>
                <w:rFonts w:cs="Calibri"/>
                <w:sz w:val="22"/>
                <w:szCs w:val="22"/>
              </w:rPr>
              <w:t>;</w:t>
            </w:r>
          </w:p>
          <w:p w14:paraId="047BA567" w14:textId="7ED720E6" w:rsidR="009579C6" w:rsidRDefault="009579C6" w:rsidP="00F56AF2">
            <w:pPr>
              <w:pStyle w:val="Tabletext"/>
              <w:spacing w:before="0"/>
              <w:ind w:left="274" w:hanging="389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-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ab/>
              <w:t>The Director of the Radiocommunication Bureau</w:t>
            </w:r>
            <w:r w:rsidR="001F009E">
              <w:rPr>
                <w:rFonts w:cs="Calibri"/>
                <w:sz w:val="22"/>
                <w:szCs w:val="22"/>
                <w:lang w:val="en-US"/>
              </w:rPr>
              <w:t>;</w:t>
            </w:r>
          </w:p>
          <w:p w14:paraId="17A53F2B" w14:textId="77777777" w:rsidR="00CC10CF" w:rsidRPr="00CC10CF" w:rsidRDefault="00CC10CF" w:rsidP="00F56AF2">
            <w:pPr>
              <w:pStyle w:val="Tabletext"/>
              <w:spacing w:before="0"/>
              <w:ind w:left="274" w:hanging="389"/>
              <w:rPr>
                <w:rFonts w:cs="Calibri"/>
                <w:sz w:val="22"/>
                <w:szCs w:val="22"/>
                <w:lang w:val="en-US"/>
              </w:rPr>
            </w:pPr>
            <w:r w:rsidRPr="00CC10CF">
              <w:rPr>
                <w:rFonts w:cs="Calibri"/>
                <w:sz w:val="22"/>
                <w:szCs w:val="22"/>
                <w:lang w:val="en-US"/>
              </w:rPr>
              <w:t>-</w:t>
            </w:r>
            <w:r w:rsidRPr="00CC10CF">
              <w:rPr>
                <w:rFonts w:cs="Calibri"/>
                <w:sz w:val="22"/>
                <w:szCs w:val="22"/>
                <w:lang w:val="en-US"/>
              </w:rPr>
              <w:tab/>
              <w:t>To the ITU Regional Office for Africa, Addis Ababa, Ethiopia;</w:t>
            </w:r>
          </w:p>
          <w:p w14:paraId="5780AA12" w14:textId="78263001" w:rsidR="00FD6A3D" w:rsidRPr="00E16092" w:rsidRDefault="00CC10CF" w:rsidP="00F56AF2">
            <w:pPr>
              <w:pStyle w:val="Tabletext"/>
              <w:spacing w:before="0"/>
              <w:ind w:left="274" w:hanging="389"/>
              <w:rPr>
                <w:rFonts w:cs="Calibri"/>
                <w:sz w:val="22"/>
                <w:szCs w:val="22"/>
                <w:lang w:val="en-US"/>
              </w:rPr>
            </w:pPr>
            <w:r w:rsidRPr="00CC10CF">
              <w:rPr>
                <w:rFonts w:cs="Calibri"/>
                <w:sz w:val="22"/>
                <w:szCs w:val="22"/>
                <w:lang w:val="en-US"/>
              </w:rPr>
              <w:t>-</w:t>
            </w:r>
            <w:r w:rsidRPr="00CC10CF">
              <w:rPr>
                <w:rFonts w:cs="Calibri"/>
                <w:sz w:val="22"/>
                <w:szCs w:val="22"/>
                <w:lang w:val="en-US"/>
              </w:rPr>
              <w:tab/>
            </w:r>
            <w:r w:rsidR="00F56AF2">
              <w:rPr>
                <w:rFonts w:cs="Calibri"/>
                <w:sz w:val="22"/>
                <w:szCs w:val="22"/>
                <w:lang w:val="en-US"/>
              </w:rPr>
              <w:t>T</w:t>
            </w:r>
            <w:r w:rsidRPr="00CC10CF">
              <w:rPr>
                <w:rFonts w:cs="Calibri"/>
                <w:sz w:val="22"/>
                <w:szCs w:val="22"/>
                <w:lang w:val="en-US"/>
              </w:rPr>
              <w:t>he ITU Area Office for Central Africa and Madagascar, Yaoundé, Cameroon</w:t>
            </w:r>
          </w:p>
        </w:tc>
      </w:tr>
      <w:tr w:rsidR="009579C6" w:rsidRPr="00E16092" w14:paraId="4B95B0C4" w14:textId="77777777" w:rsidTr="70A615D0">
        <w:trPr>
          <w:cantSplit/>
          <w:trHeight w:val="221"/>
        </w:trPr>
        <w:tc>
          <w:tcPr>
            <w:tcW w:w="1276" w:type="dxa"/>
          </w:tcPr>
          <w:p w14:paraId="45E2B2FB" w14:textId="77777777" w:rsidR="009579C6" w:rsidRPr="00103D04" w:rsidRDefault="009579C6" w:rsidP="00DC16F2">
            <w:pPr>
              <w:pStyle w:val="Tabletext"/>
              <w:jc w:val="both"/>
              <w:rPr>
                <w:rFonts w:cs="Calibri"/>
                <w:bCs/>
                <w:sz w:val="22"/>
                <w:szCs w:val="22"/>
                <w:lang w:val="en-US"/>
              </w:rPr>
            </w:pPr>
            <w:r w:rsidRPr="00103D04">
              <w:rPr>
                <w:rFonts w:cs="Calibri"/>
                <w:bCs/>
                <w:sz w:val="22"/>
                <w:szCs w:val="22"/>
                <w:lang w:val="en-US"/>
              </w:rPr>
              <w:t>Tel:</w:t>
            </w:r>
          </w:p>
        </w:tc>
        <w:tc>
          <w:tcPr>
            <w:tcW w:w="3544" w:type="dxa"/>
          </w:tcPr>
          <w:p w14:paraId="24F915EF" w14:textId="77777777" w:rsidR="009579C6" w:rsidRPr="00E16092" w:rsidRDefault="009579C6" w:rsidP="00DC16F2">
            <w:pPr>
              <w:pStyle w:val="Tabletext"/>
              <w:jc w:val="both"/>
              <w:rPr>
                <w:rFonts w:cs="Calibri"/>
                <w:b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+41 22 730 5356</w:t>
            </w:r>
          </w:p>
        </w:tc>
        <w:tc>
          <w:tcPr>
            <w:tcW w:w="5103" w:type="dxa"/>
            <w:gridSpan w:val="2"/>
            <w:vMerge/>
          </w:tcPr>
          <w:p w14:paraId="02CB47FF" w14:textId="36CCF04C" w:rsidR="009579C6" w:rsidRPr="00E16092" w:rsidRDefault="009579C6" w:rsidP="006B3173">
            <w:pPr>
              <w:pStyle w:val="Tabletext"/>
              <w:spacing w:before="0" w:after="0"/>
              <w:ind w:left="283" w:hanging="391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9579C6" w:rsidRPr="00E16092" w14:paraId="398C077B" w14:textId="77777777" w:rsidTr="70A615D0">
        <w:trPr>
          <w:cantSplit/>
          <w:trHeight w:val="206"/>
        </w:trPr>
        <w:tc>
          <w:tcPr>
            <w:tcW w:w="1276" w:type="dxa"/>
          </w:tcPr>
          <w:p w14:paraId="48AB32B6" w14:textId="77777777" w:rsidR="009579C6" w:rsidRPr="00103D04" w:rsidRDefault="009579C6" w:rsidP="00DC16F2">
            <w:pPr>
              <w:pStyle w:val="Tabletext"/>
              <w:jc w:val="both"/>
              <w:rPr>
                <w:rFonts w:cs="Calibri"/>
                <w:bCs/>
                <w:sz w:val="22"/>
                <w:szCs w:val="22"/>
                <w:lang w:val="en-US"/>
              </w:rPr>
            </w:pPr>
            <w:r w:rsidRPr="00103D04">
              <w:rPr>
                <w:rFonts w:cs="Calibri"/>
                <w:bCs/>
                <w:sz w:val="22"/>
                <w:szCs w:val="22"/>
                <w:lang w:val="en-US"/>
              </w:rPr>
              <w:t>Fax:</w:t>
            </w:r>
          </w:p>
        </w:tc>
        <w:tc>
          <w:tcPr>
            <w:tcW w:w="3544" w:type="dxa"/>
          </w:tcPr>
          <w:p w14:paraId="6AC542FC" w14:textId="77777777" w:rsidR="009579C6" w:rsidRPr="00E16092" w:rsidRDefault="009579C6" w:rsidP="00DC16F2">
            <w:pPr>
              <w:pStyle w:val="Tabletext"/>
              <w:jc w:val="both"/>
              <w:rPr>
                <w:rFonts w:cs="Calibri"/>
                <w:b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2CA7B9B4" w14:textId="6A4B6D67" w:rsidR="009579C6" w:rsidRPr="00E16092" w:rsidRDefault="009579C6" w:rsidP="006B3173">
            <w:pPr>
              <w:pStyle w:val="Tabletext"/>
              <w:spacing w:before="0" w:after="0"/>
              <w:ind w:left="283" w:hanging="391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9579C6" w:rsidRPr="00E16092" w14:paraId="53EFBF8D" w14:textId="77777777" w:rsidTr="00D35BC0">
        <w:trPr>
          <w:cantSplit/>
          <w:trHeight w:val="1789"/>
        </w:trPr>
        <w:tc>
          <w:tcPr>
            <w:tcW w:w="1276" w:type="dxa"/>
          </w:tcPr>
          <w:p w14:paraId="4C07D266" w14:textId="77777777" w:rsidR="009579C6" w:rsidRPr="00103D04" w:rsidRDefault="009579C6" w:rsidP="00DC16F2">
            <w:pPr>
              <w:pStyle w:val="Tabletext"/>
              <w:jc w:val="both"/>
              <w:rPr>
                <w:rFonts w:cs="Calibri"/>
                <w:bCs/>
                <w:sz w:val="22"/>
                <w:szCs w:val="22"/>
                <w:lang w:val="en-US"/>
              </w:rPr>
            </w:pPr>
            <w:r w:rsidRPr="00103D04">
              <w:rPr>
                <w:rFonts w:cs="Calibri"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544" w:type="dxa"/>
          </w:tcPr>
          <w:p w14:paraId="631F6F4A" w14:textId="77777777" w:rsidR="009579C6" w:rsidRPr="00E16092" w:rsidRDefault="009579C6" w:rsidP="00DC16F2">
            <w:pPr>
              <w:pStyle w:val="Tabletext"/>
              <w:jc w:val="both"/>
              <w:rPr>
                <w:rFonts w:cs="Calibri"/>
                <w:sz w:val="22"/>
                <w:szCs w:val="22"/>
                <w:lang w:val="en-US"/>
              </w:rPr>
            </w:pPr>
            <w:hyperlink r:id="rId11" w:history="1">
              <w:r w:rsidRPr="00E16092">
                <w:rPr>
                  <w:rStyle w:val="Hyperlink"/>
                  <w:rFonts w:cs="Calibri"/>
                  <w:sz w:val="22"/>
                  <w:szCs w:val="22"/>
                  <w:lang w:val="en-US"/>
                </w:rPr>
                <w:t>tsbevents@itu.int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6ADA4E03" w14:textId="6741AC1B" w:rsidR="009579C6" w:rsidRPr="00E16092" w:rsidRDefault="009579C6" w:rsidP="009579C6">
            <w:pPr>
              <w:pStyle w:val="Tabletext"/>
              <w:tabs>
                <w:tab w:val="clear" w:pos="284"/>
              </w:tabs>
              <w:spacing w:before="0" w:after="0"/>
              <w:ind w:left="283" w:hanging="391"/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A27839" w:rsidRPr="00E16092" w14:paraId="7D757198" w14:textId="77777777" w:rsidTr="001F009E">
        <w:trPr>
          <w:cantSplit/>
          <w:trHeight w:val="1068"/>
        </w:trPr>
        <w:tc>
          <w:tcPr>
            <w:tcW w:w="1276" w:type="dxa"/>
          </w:tcPr>
          <w:p w14:paraId="2F9464CE" w14:textId="77777777" w:rsidR="00A27839" w:rsidRPr="00E16092" w:rsidRDefault="00A27839" w:rsidP="001F009E">
            <w:pPr>
              <w:pStyle w:val="Tabletext"/>
              <w:spacing w:before="120" w:after="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b/>
                <w:sz w:val="22"/>
                <w:szCs w:val="22"/>
                <w:lang w:val="en-US"/>
              </w:rPr>
              <w:t>Subject:</w:t>
            </w:r>
          </w:p>
        </w:tc>
        <w:tc>
          <w:tcPr>
            <w:tcW w:w="8647" w:type="dxa"/>
            <w:gridSpan w:val="3"/>
          </w:tcPr>
          <w:p w14:paraId="6AEC11D8" w14:textId="2DE1B723" w:rsidR="00A27839" w:rsidRPr="00E16092" w:rsidRDefault="004475C3" w:rsidP="001F009E">
            <w:pPr>
              <w:pStyle w:val="Tabletext"/>
              <w:spacing w:before="120" w:after="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2F6D28"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Postponement</w:t>
            </w:r>
            <w:r w:rsidRPr="002F6D28"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of the </w:t>
            </w:r>
            <w:r w:rsidR="001A540B" w:rsidRP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>16th Symposium on ICTs, Environment, Climate Change and Circular Economy,</w:t>
            </w:r>
            <w:r w:rsidR="004A2ED9">
              <w:rPr>
                <w:rFonts w:cs="Calibri"/>
                <w:b/>
                <w:bCs/>
                <w:sz w:val="22"/>
                <w:szCs w:val="22"/>
                <w:lang w:val="en-US"/>
              </w:rPr>
              <w:br/>
            </w:r>
            <w:r w:rsidR="00A27839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>(</w:t>
            </w:r>
            <w:r w:rsidR="001A540B" w:rsidRP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>Malabo, Republic of Equatorial Guinea</w:t>
            </w:r>
            <w:r w:rsid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270C03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>1</w:t>
            </w:r>
            <w:r w:rsid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>0</w:t>
            </w:r>
            <w:r w:rsidR="00E16092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>-</w:t>
            </w:r>
            <w:r w:rsidR="00270C03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>1</w:t>
            </w:r>
            <w:r w:rsidR="00DE4F88">
              <w:rPr>
                <w:rFonts w:cs="Calibri"/>
                <w:b/>
                <w:bCs/>
                <w:sz w:val="22"/>
                <w:szCs w:val="22"/>
                <w:lang w:val="en-US"/>
              </w:rPr>
              <w:t>3</w:t>
            </w:r>
            <w:r w:rsidR="00B538F4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>February</w:t>
            </w:r>
            <w:r w:rsidR="00B538F4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 xml:space="preserve"> 202</w:t>
            </w:r>
            <w:r w:rsidR="001A540B">
              <w:rPr>
                <w:rFonts w:cs="Calibri"/>
                <w:b/>
                <w:bCs/>
                <w:sz w:val="22"/>
                <w:szCs w:val="22"/>
                <w:lang w:val="en-US"/>
              </w:rPr>
              <w:t>6</w:t>
            </w:r>
            <w:r w:rsidR="00A27839" w:rsidRPr="00E16092">
              <w:rPr>
                <w:rFonts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  <w:tr w:rsidR="00120B1E" w:rsidRPr="00E16092" w14:paraId="1A62C69C" w14:textId="77777777" w:rsidTr="001F009E">
        <w:trPr>
          <w:cantSplit/>
          <w:trHeight w:val="5307"/>
        </w:trPr>
        <w:tc>
          <w:tcPr>
            <w:tcW w:w="9923" w:type="dxa"/>
            <w:gridSpan w:val="4"/>
          </w:tcPr>
          <w:p w14:paraId="0EC82895" w14:textId="1CE4E10E" w:rsidR="00120B1E" w:rsidRPr="00F56AF2" w:rsidRDefault="00120B1E" w:rsidP="00F56AF2">
            <w:pPr>
              <w:spacing w:before="0" w:after="12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Dear Sir or Madam,</w:t>
            </w:r>
          </w:p>
          <w:p w14:paraId="222EBD3A" w14:textId="0494F129" w:rsidR="001F009E" w:rsidRDefault="00120B1E" w:rsidP="004475C3">
            <w:pPr>
              <w:spacing w:before="0" w:after="12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F56AF2">
              <w:rPr>
                <w:rFonts w:cs="Calibri"/>
                <w:sz w:val="22"/>
                <w:szCs w:val="22"/>
                <w:lang w:val="en-US"/>
              </w:rPr>
              <w:t>1</w:t>
            </w:r>
            <w:r w:rsidRPr="00F56AF2">
              <w:rPr>
                <w:sz w:val="22"/>
                <w:szCs w:val="22"/>
                <w:lang w:val="en-US"/>
              </w:rPr>
              <w:tab/>
            </w:r>
            <w:r w:rsidR="004475C3" w:rsidRPr="004475C3">
              <w:rPr>
                <w:rFonts w:cs="Calibri"/>
                <w:sz w:val="22"/>
                <w:szCs w:val="22"/>
                <w:lang w:val="en-US"/>
              </w:rPr>
              <w:t>F</w:t>
            </w:r>
            <w:r w:rsidR="004475C3">
              <w:rPr>
                <w:rFonts w:cs="Calibri"/>
                <w:sz w:val="22"/>
                <w:szCs w:val="22"/>
                <w:lang w:val="en-US"/>
              </w:rPr>
              <w:t xml:space="preserve">ollowing up on </w:t>
            </w:r>
            <w:r w:rsidR="004475C3" w:rsidRPr="004475C3">
              <w:rPr>
                <w:rFonts w:cs="Calibri"/>
                <w:sz w:val="22"/>
                <w:szCs w:val="22"/>
                <w:lang w:val="en-US"/>
              </w:rPr>
              <w:t xml:space="preserve">our previous communication </w:t>
            </w:r>
            <w:r w:rsidR="004475C3">
              <w:rPr>
                <w:rFonts w:cs="Calibri"/>
                <w:sz w:val="22"/>
                <w:szCs w:val="22"/>
                <w:lang w:val="en-US"/>
              </w:rPr>
              <w:t xml:space="preserve">in </w:t>
            </w:r>
            <w:hyperlink r:id="rId12" w:history="1">
              <w:r w:rsidR="004475C3" w:rsidRPr="004475C3">
                <w:rPr>
                  <w:rStyle w:val="Hyperlink"/>
                  <w:rFonts w:cs="Calibri"/>
                  <w:sz w:val="22"/>
                  <w:szCs w:val="22"/>
                  <w:lang w:val="en-US"/>
                </w:rPr>
                <w:t>TSB Circular 099</w:t>
              </w:r>
            </w:hyperlink>
            <w:r w:rsidR="004475C3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 w:rsidR="004475C3" w:rsidRPr="004475C3">
              <w:rPr>
                <w:rFonts w:cs="Calibri"/>
                <w:sz w:val="22"/>
                <w:szCs w:val="22"/>
                <w:lang w:val="en-US"/>
              </w:rPr>
              <w:t xml:space="preserve">regarding the 16th Symposium on ICTs, Environment, Climate Change and Circular Economy, originally scheduled to take place from 10 to 13 February 2026 in Malabo, Republic of Equatorial Guinea, we </w:t>
            </w:r>
            <w:r w:rsidR="004475C3">
              <w:rPr>
                <w:rFonts w:cs="Calibri"/>
                <w:sz w:val="22"/>
                <w:szCs w:val="22"/>
                <w:lang w:val="en-US"/>
              </w:rPr>
              <w:t>regret</w:t>
            </w:r>
            <w:r w:rsidR="004475C3" w:rsidRPr="004475C3">
              <w:rPr>
                <w:rFonts w:cs="Calibri"/>
                <w:sz w:val="22"/>
                <w:szCs w:val="22"/>
                <w:lang w:val="en-US"/>
              </w:rPr>
              <w:t xml:space="preserve"> to inform you that the event </w:t>
            </w:r>
            <w:r w:rsidR="004475C3" w:rsidRPr="004475C3">
              <w:rPr>
                <w:rFonts w:cs="Calibri"/>
                <w:b/>
                <w:bCs/>
                <w:color w:val="FF0000"/>
                <w:sz w:val="22"/>
                <w:szCs w:val="22"/>
                <w:lang w:val="en-US"/>
              </w:rPr>
              <w:t>has been postponed</w:t>
            </w:r>
            <w:r w:rsidR="002F6D28">
              <w:rPr>
                <w:rFonts w:cs="Calibri"/>
                <w:b/>
                <w:bCs/>
                <w:color w:val="FF0000"/>
                <w:sz w:val="22"/>
                <w:szCs w:val="22"/>
                <w:lang w:val="en-US"/>
              </w:rPr>
              <w:t>.</w:t>
            </w:r>
            <w:r w:rsidR="002C0550">
              <w:t xml:space="preserve"> </w:t>
            </w:r>
            <w:r w:rsidR="002C0550" w:rsidRPr="002C0550">
              <w:rPr>
                <w:rFonts w:cs="Calibri"/>
                <w:sz w:val="22"/>
                <w:szCs w:val="22"/>
                <w:lang w:val="en-US"/>
              </w:rPr>
              <w:t xml:space="preserve">The </w:t>
            </w:r>
            <w:r w:rsidR="002C0550">
              <w:rPr>
                <w:rFonts w:cs="Calibri"/>
                <w:sz w:val="22"/>
                <w:szCs w:val="22"/>
                <w:lang w:val="en-US"/>
              </w:rPr>
              <w:t>Symposium</w:t>
            </w:r>
            <w:r w:rsidR="002C0550" w:rsidRPr="002C0550">
              <w:rPr>
                <w:rFonts w:cs="Calibri"/>
                <w:sz w:val="22"/>
                <w:szCs w:val="22"/>
                <w:lang w:val="en-US"/>
              </w:rPr>
              <w:t xml:space="preserve"> will now be held from 19 to 22 May 2026</w:t>
            </w:r>
            <w:r w:rsidR="002C0550">
              <w:rPr>
                <w:rFonts w:cs="Calibri"/>
                <w:sz w:val="22"/>
                <w:szCs w:val="22"/>
                <w:lang w:val="en-US"/>
              </w:rPr>
              <w:t>.</w:t>
            </w:r>
          </w:p>
          <w:p w14:paraId="6E08ADE2" w14:textId="77777777" w:rsidR="001F009E" w:rsidRDefault="002F6D28" w:rsidP="004475C3">
            <w:pPr>
              <w:spacing w:before="0" w:after="120"/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You are kindly encouraged to</w:t>
            </w:r>
            <w:r w:rsidRPr="002F6D28">
              <w:rPr>
                <w:rFonts w:cs="Calibri"/>
                <w:sz w:val="22"/>
                <w:szCs w:val="22"/>
                <w:lang w:val="en-US"/>
              </w:rPr>
              <w:t xml:space="preserve"> check the</w:t>
            </w:r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hyperlink r:id="rId13" w:history="1">
              <w:r w:rsidRPr="002F6D28">
                <w:rPr>
                  <w:rStyle w:val="Hyperlink"/>
                  <w:rFonts w:cs="Calibri"/>
                  <w:sz w:val="22"/>
                  <w:szCs w:val="22"/>
                  <w:lang w:val="en-US"/>
                </w:rPr>
                <w:t>event webpage</w:t>
              </w:r>
            </w:hyperlink>
            <w:r w:rsidRPr="002F6D28"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cs="Calibri"/>
                <w:sz w:val="22"/>
                <w:szCs w:val="22"/>
                <w:lang w:val="en-US"/>
              </w:rPr>
              <w:t xml:space="preserve">periodically, </w:t>
            </w:r>
            <w:r w:rsidRPr="002F6D28">
              <w:rPr>
                <w:rFonts w:cs="Calibri"/>
                <w:sz w:val="22"/>
                <w:szCs w:val="22"/>
                <w:lang w:val="en-US"/>
              </w:rPr>
              <w:t>as it will be updated when further information becomes available.</w:t>
            </w:r>
          </w:p>
          <w:p w14:paraId="4899DE14" w14:textId="112E01CF" w:rsidR="001F009E" w:rsidRPr="001F009E" w:rsidRDefault="004475C3" w:rsidP="001F009E">
            <w:pPr>
              <w:spacing w:before="0" w:after="120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4475C3">
              <w:rPr>
                <w:rFonts w:cs="Calibri"/>
                <w:sz w:val="22"/>
                <w:szCs w:val="22"/>
                <w:lang w:val="en-US"/>
              </w:rPr>
              <w:t xml:space="preserve">We </w:t>
            </w:r>
            <w:r w:rsidRPr="001F009E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>apologize for any inconvenience this change may cause and appreciate your understanding.</w:t>
            </w:r>
          </w:p>
          <w:p w14:paraId="24093FBE" w14:textId="1A9C7F0B" w:rsidR="00F56AF2" w:rsidRPr="001F009E" w:rsidRDefault="002F6D28" w:rsidP="001F009E">
            <w:pPr>
              <w:spacing w:before="0" w:after="120"/>
              <w:jc w:val="both"/>
              <w:rPr>
                <w:rFonts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F009E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>We thank</w:t>
            </w:r>
            <w:r w:rsidR="004475C3" w:rsidRPr="001F009E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 xml:space="preserve"> you for your continued interest in the symposium.</w:t>
            </w:r>
          </w:p>
          <w:p w14:paraId="5ADEB4B5" w14:textId="3A77BEDA" w:rsidR="00120B1E" w:rsidRPr="001F009E" w:rsidRDefault="00120B1E" w:rsidP="00120B1E">
            <w:pPr>
              <w:spacing w:before="0" w:after="120"/>
              <w:jc w:val="both"/>
              <w:rPr>
                <w:rFonts w:cs="Calibri"/>
                <w:color w:val="000000" w:themeColor="text1"/>
                <w:sz w:val="22"/>
                <w:szCs w:val="22"/>
                <w:lang w:val="en-US"/>
              </w:rPr>
            </w:pPr>
            <w:r w:rsidRPr="001F009E">
              <w:rPr>
                <w:rFonts w:cs="Calibri"/>
                <w:noProof/>
                <w:color w:val="000000" w:themeColor="text1"/>
                <w:sz w:val="22"/>
                <w:szCs w:val="22"/>
                <w:shd w:val="clear" w:color="auto" w:fill="E6E6E6"/>
                <w:lang w:val="en-US" w:eastAsia="fr-CH"/>
              </w:rPr>
              <w:drawing>
                <wp:anchor distT="0" distB="0" distL="114300" distR="114300" simplePos="0" relativeHeight="251659264" behindDoc="1" locked="0" layoutInCell="1" allowOverlap="1" wp14:anchorId="7B2FB5EB" wp14:editId="1EE18724">
                  <wp:simplePos x="0" y="0"/>
                  <wp:positionH relativeFrom="margin">
                    <wp:align>left</wp:align>
                  </wp:positionH>
                  <wp:positionV relativeFrom="paragraph">
                    <wp:posOffset>231140</wp:posOffset>
                  </wp:positionV>
                  <wp:extent cx="715010" cy="302260"/>
                  <wp:effectExtent l="0" t="0" r="889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009E">
              <w:rPr>
                <w:rFonts w:cs="Calibri"/>
                <w:color w:val="000000" w:themeColor="text1"/>
                <w:sz w:val="22"/>
                <w:szCs w:val="22"/>
                <w:lang w:val="en-US"/>
              </w:rPr>
              <w:t>Yours faithfully,</w:t>
            </w:r>
          </w:p>
          <w:p w14:paraId="2225ACCC" w14:textId="209D81DC" w:rsidR="00120B1E" w:rsidRPr="001C0BAE" w:rsidRDefault="00120B1E" w:rsidP="001C0BAE">
            <w:pPr>
              <w:spacing w:before="72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E16092">
              <w:rPr>
                <w:rFonts w:cs="Calibri"/>
                <w:sz w:val="22"/>
                <w:szCs w:val="22"/>
                <w:lang w:val="en-US"/>
              </w:rPr>
              <w:t>Seizo Onoe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br/>
              <w:t>Director of the Telecommunication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br/>
            </w:r>
            <w:r w:rsidR="001F009E" w:rsidRPr="00E16092">
              <w:rPr>
                <w:rFonts w:cs="Calibri"/>
                <w:sz w:val="22"/>
                <w:szCs w:val="22"/>
                <w:lang w:val="en-US"/>
              </w:rPr>
              <w:t>Standardization</w:t>
            </w:r>
            <w:r w:rsidRPr="00E16092">
              <w:rPr>
                <w:rFonts w:cs="Calibri"/>
                <w:sz w:val="22"/>
                <w:szCs w:val="22"/>
                <w:lang w:val="en-US"/>
              </w:rPr>
              <w:t xml:space="preserve"> Bureau</w:t>
            </w:r>
          </w:p>
        </w:tc>
      </w:tr>
      <w:bookmarkEnd w:id="0"/>
    </w:tbl>
    <w:p w14:paraId="04B2F906" w14:textId="2187A2BD" w:rsidR="006377FC" w:rsidRPr="004475C3" w:rsidRDefault="006377FC" w:rsidP="009C2368">
      <w:pPr>
        <w:spacing w:after="120"/>
        <w:jc w:val="both"/>
        <w:rPr>
          <w:rFonts w:cs="Calibri"/>
          <w:sz w:val="22"/>
          <w:szCs w:val="22"/>
        </w:rPr>
      </w:pPr>
    </w:p>
    <w:sectPr w:rsidR="006377FC" w:rsidRPr="004475C3" w:rsidSect="00F56AF2">
      <w:footerReference w:type="first" r:id="rId15"/>
      <w:pgSz w:w="11907" w:h="16834" w:code="9"/>
      <w:pgMar w:top="567" w:right="1089" w:bottom="720" w:left="1089" w:header="567" w:footer="432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08BBB" w14:textId="77777777" w:rsidR="00DC65BC" w:rsidRDefault="00DC65BC">
      <w:pPr>
        <w:spacing w:before="0"/>
      </w:pPr>
      <w:r>
        <w:separator/>
      </w:r>
    </w:p>
  </w:endnote>
  <w:endnote w:type="continuationSeparator" w:id="0">
    <w:p w14:paraId="0025EC16" w14:textId="77777777" w:rsidR="00DC65BC" w:rsidRDefault="00DC65BC">
      <w:pPr>
        <w:spacing w:before="0"/>
      </w:pPr>
      <w:r>
        <w:continuationSeparator/>
      </w:r>
    </w:p>
  </w:endnote>
  <w:endnote w:type="continuationNotice" w:id="1">
    <w:p w14:paraId="7E8EB600" w14:textId="77777777" w:rsidR="00DC65BC" w:rsidRDefault="00DC65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3444" w14:textId="77777777" w:rsidR="0016752A" w:rsidRPr="00854BCC" w:rsidRDefault="00CE3398" w:rsidP="00304390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F763C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F763C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F763C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br/>
    </w:r>
    <w:r w:rsidRPr="00F763C8">
      <w:rPr>
        <w:rFonts w:cs="Calibri"/>
        <w:noProof/>
        <w:color w:val="0070C0"/>
        <w:sz w:val="18"/>
        <w:szCs w:val="18"/>
        <w:lang w:val="fr-CH"/>
      </w:rPr>
      <w:t>Tel: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F763C8">
      <w:rPr>
        <w:rFonts w:cs="Calibri"/>
        <w:noProof/>
        <w:color w:val="0070C0"/>
        <w:sz w:val="18"/>
        <w:szCs w:val="18"/>
        <w:lang w:val="fr-CH"/>
      </w:rPr>
      <w:t>Fax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F763C8">
      <w:rPr>
        <w:rFonts w:cs="Calibri"/>
        <w:noProof/>
        <w:color w:val="0070C0"/>
        <w:sz w:val="18"/>
        <w:szCs w:val="18"/>
        <w:lang w:val="fr-CH"/>
      </w:rPr>
      <w:t>mail</w:t>
    </w:r>
    <w:r w:rsidRPr="00F763C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F763C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F763C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589D" w14:textId="77777777" w:rsidR="00DC65BC" w:rsidRDefault="00DC65BC">
      <w:pPr>
        <w:spacing w:before="0"/>
      </w:pPr>
      <w:r>
        <w:separator/>
      </w:r>
    </w:p>
  </w:footnote>
  <w:footnote w:type="continuationSeparator" w:id="0">
    <w:p w14:paraId="479E623C" w14:textId="77777777" w:rsidR="00DC65BC" w:rsidRDefault="00DC65BC">
      <w:pPr>
        <w:spacing w:before="0"/>
      </w:pPr>
      <w:r>
        <w:continuationSeparator/>
      </w:r>
    </w:p>
  </w:footnote>
  <w:footnote w:type="continuationNotice" w:id="1">
    <w:p w14:paraId="750A0A89" w14:textId="77777777" w:rsidR="00DC65BC" w:rsidRDefault="00DC65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0F8"/>
    <w:multiLevelType w:val="multilevel"/>
    <w:tmpl w:val="1F58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E1192"/>
    <w:multiLevelType w:val="multilevel"/>
    <w:tmpl w:val="8EF6D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51C7F"/>
    <w:multiLevelType w:val="multilevel"/>
    <w:tmpl w:val="E22EA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12EC9"/>
    <w:multiLevelType w:val="hybridMultilevel"/>
    <w:tmpl w:val="06FC4FB8"/>
    <w:lvl w:ilvl="0" w:tplc="D3029182">
      <w:numFmt w:val="bullet"/>
      <w:lvlText w:val="-"/>
      <w:lvlJc w:val="left"/>
      <w:pPr>
        <w:ind w:left="115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460"/>
    <w:multiLevelType w:val="hybridMultilevel"/>
    <w:tmpl w:val="8E526A3A"/>
    <w:lvl w:ilvl="0" w:tplc="D3029182">
      <w:numFmt w:val="bullet"/>
      <w:lvlText w:val="-"/>
      <w:lvlJc w:val="left"/>
      <w:pPr>
        <w:ind w:left="1154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" w15:restartNumberingAfterBreak="0">
    <w:nsid w:val="1D9C2643"/>
    <w:multiLevelType w:val="multilevel"/>
    <w:tmpl w:val="00E6C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63874"/>
    <w:multiLevelType w:val="hybridMultilevel"/>
    <w:tmpl w:val="587AB054"/>
    <w:lvl w:ilvl="0" w:tplc="1A92BF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4710"/>
    <w:multiLevelType w:val="hybridMultilevel"/>
    <w:tmpl w:val="C4EE8CAC"/>
    <w:lvl w:ilvl="0" w:tplc="10ECA86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176850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90707E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AECBD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8C9A6C4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E81ABDA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9F059C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A12A40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21F2B0D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9A47BA"/>
    <w:multiLevelType w:val="multilevel"/>
    <w:tmpl w:val="F6248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117C5"/>
    <w:multiLevelType w:val="multilevel"/>
    <w:tmpl w:val="4F7CD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B4032B"/>
    <w:multiLevelType w:val="hybridMultilevel"/>
    <w:tmpl w:val="638208AC"/>
    <w:lvl w:ilvl="0" w:tplc="10ECA86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94931F8"/>
    <w:multiLevelType w:val="multilevel"/>
    <w:tmpl w:val="4A4CA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D10E9"/>
    <w:multiLevelType w:val="hybridMultilevel"/>
    <w:tmpl w:val="26BC82CA"/>
    <w:lvl w:ilvl="0" w:tplc="3F3EB4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167E"/>
    <w:multiLevelType w:val="hybridMultilevel"/>
    <w:tmpl w:val="ECBA4B80"/>
    <w:lvl w:ilvl="0" w:tplc="85F0D74A">
      <w:start w:val="1"/>
      <w:numFmt w:val="decimal"/>
      <w:lvlText w:val="%1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8B56E1"/>
    <w:multiLevelType w:val="multilevel"/>
    <w:tmpl w:val="76CAB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AE0998"/>
    <w:multiLevelType w:val="multilevel"/>
    <w:tmpl w:val="6262C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F61BD"/>
    <w:multiLevelType w:val="hybridMultilevel"/>
    <w:tmpl w:val="CFC66934"/>
    <w:lvl w:ilvl="0" w:tplc="10ECA86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AF7D436"/>
    <w:multiLevelType w:val="hybridMultilevel"/>
    <w:tmpl w:val="9354A3C2"/>
    <w:lvl w:ilvl="0" w:tplc="DBDAC4B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B884398E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886ABCAC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B5249CEA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8F0E96E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BD40F4A4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E102B70C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D0AEFA2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D93A0680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6D5F2900"/>
    <w:multiLevelType w:val="hybridMultilevel"/>
    <w:tmpl w:val="50AA1F6E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9" w15:restartNumberingAfterBreak="0">
    <w:nsid w:val="749B3A13"/>
    <w:multiLevelType w:val="multilevel"/>
    <w:tmpl w:val="52805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69106"/>
    <w:multiLevelType w:val="hybridMultilevel"/>
    <w:tmpl w:val="48C4ECDE"/>
    <w:lvl w:ilvl="0" w:tplc="90BE5D66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8B7A717C">
      <w:start w:val="1"/>
      <w:numFmt w:val="bullet"/>
      <w:lvlText w:val="o"/>
      <w:lvlJc w:val="left"/>
      <w:pPr>
        <w:ind w:left="2209" w:hanging="360"/>
      </w:pPr>
      <w:rPr>
        <w:rFonts w:ascii="Courier New" w:hAnsi="Courier New" w:hint="default"/>
      </w:rPr>
    </w:lvl>
    <w:lvl w:ilvl="2" w:tplc="0FCA2616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5F50F846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19263604">
      <w:start w:val="1"/>
      <w:numFmt w:val="bullet"/>
      <w:lvlText w:val="o"/>
      <w:lvlJc w:val="left"/>
      <w:pPr>
        <w:ind w:left="4369" w:hanging="360"/>
      </w:pPr>
      <w:rPr>
        <w:rFonts w:ascii="Courier New" w:hAnsi="Courier New" w:hint="default"/>
      </w:rPr>
    </w:lvl>
    <w:lvl w:ilvl="5" w:tplc="8F4832CE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739A5890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E4844B9C">
      <w:start w:val="1"/>
      <w:numFmt w:val="bullet"/>
      <w:lvlText w:val="o"/>
      <w:lvlJc w:val="left"/>
      <w:pPr>
        <w:ind w:left="6529" w:hanging="360"/>
      </w:pPr>
      <w:rPr>
        <w:rFonts w:ascii="Courier New" w:hAnsi="Courier New" w:hint="default"/>
      </w:rPr>
    </w:lvl>
    <w:lvl w:ilvl="8" w:tplc="25160B7A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num w:numId="1" w16cid:durableId="1473717390">
    <w:abstractNumId w:val="7"/>
  </w:num>
  <w:num w:numId="2" w16cid:durableId="1575506586">
    <w:abstractNumId w:val="17"/>
  </w:num>
  <w:num w:numId="3" w16cid:durableId="335572220">
    <w:abstractNumId w:val="20"/>
  </w:num>
  <w:num w:numId="4" w16cid:durableId="1841773048">
    <w:abstractNumId w:val="13"/>
  </w:num>
  <w:num w:numId="5" w16cid:durableId="1382513583">
    <w:abstractNumId w:val="16"/>
  </w:num>
  <w:num w:numId="6" w16cid:durableId="1894272713">
    <w:abstractNumId w:val="6"/>
  </w:num>
  <w:num w:numId="7" w16cid:durableId="933517247">
    <w:abstractNumId w:val="10"/>
  </w:num>
  <w:num w:numId="8" w16cid:durableId="1261377884">
    <w:abstractNumId w:val="12"/>
  </w:num>
  <w:num w:numId="9" w16cid:durableId="906376534">
    <w:abstractNumId w:val="9"/>
  </w:num>
  <w:num w:numId="10" w16cid:durableId="1669627511">
    <w:abstractNumId w:val="8"/>
  </w:num>
  <w:num w:numId="11" w16cid:durableId="1758744402">
    <w:abstractNumId w:val="14"/>
  </w:num>
  <w:num w:numId="12" w16cid:durableId="861818653">
    <w:abstractNumId w:val="5"/>
  </w:num>
  <w:num w:numId="13" w16cid:durableId="1205869303">
    <w:abstractNumId w:val="11"/>
  </w:num>
  <w:num w:numId="14" w16cid:durableId="1058163321">
    <w:abstractNumId w:val="15"/>
  </w:num>
  <w:num w:numId="15" w16cid:durableId="1343164253">
    <w:abstractNumId w:val="19"/>
  </w:num>
  <w:num w:numId="16" w16cid:durableId="128521321">
    <w:abstractNumId w:val="1"/>
  </w:num>
  <w:num w:numId="17" w16cid:durableId="1033115891">
    <w:abstractNumId w:val="2"/>
  </w:num>
  <w:num w:numId="18" w16cid:durableId="2080249182">
    <w:abstractNumId w:val="18"/>
  </w:num>
  <w:num w:numId="19" w16cid:durableId="1475679465">
    <w:abstractNumId w:val="4"/>
  </w:num>
  <w:num w:numId="20" w16cid:durableId="795755724">
    <w:abstractNumId w:val="3"/>
  </w:num>
  <w:num w:numId="21" w16cid:durableId="130635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zQwNjS0MDA2NrNQ0lEKTi0uzszPAykwrAUA6sWOwSwAAAA="/>
  </w:docVars>
  <w:rsids>
    <w:rsidRoot w:val="00A27839"/>
    <w:rsid w:val="0000382D"/>
    <w:rsid w:val="000268DB"/>
    <w:rsid w:val="00053E01"/>
    <w:rsid w:val="000605B6"/>
    <w:rsid w:val="000717CD"/>
    <w:rsid w:val="00074FDB"/>
    <w:rsid w:val="000767EB"/>
    <w:rsid w:val="00092867"/>
    <w:rsid w:val="000A7B88"/>
    <w:rsid w:val="000B22AE"/>
    <w:rsid w:val="000B2B5A"/>
    <w:rsid w:val="000E581E"/>
    <w:rsid w:val="000F00ED"/>
    <w:rsid w:val="000F04CF"/>
    <w:rsid w:val="00103D04"/>
    <w:rsid w:val="00110A5B"/>
    <w:rsid w:val="001161B8"/>
    <w:rsid w:val="00117A4C"/>
    <w:rsid w:val="00120B1E"/>
    <w:rsid w:val="00132DC9"/>
    <w:rsid w:val="00136E73"/>
    <w:rsid w:val="001469C9"/>
    <w:rsid w:val="001474F5"/>
    <w:rsid w:val="00161BA8"/>
    <w:rsid w:val="0016261A"/>
    <w:rsid w:val="001664BC"/>
    <w:rsid w:val="0016752A"/>
    <w:rsid w:val="00183D40"/>
    <w:rsid w:val="00196677"/>
    <w:rsid w:val="001A0FE6"/>
    <w:rsid w:val="001A540B"/>
    <w:rsid w:val="001C0BAE"/>
    <w:rsid w:val="001C2283"/>
    <w:rsid w:val="001C3F45"/>
    <w:rsid w:val="001C49B5"/>
    <w:rsid w:val="001C6BB4"/>
    <w:rsid w:val="001D084D"/>
    <w:rsid w:val="001D49DA"/>
    <w:rsid w:val="001E655B"/>
    <w:rsid w:val="001F009E"/>
    <w:rsid w:val="00203F3C"/>
    <w:rsid w:val="00205C92"/>
    <w:rsid w:val="002310CD"/>
    <w:rsid w:val="00237300"/>
    <w:rsid w:val="00240A24"/>
    <w:rsid w:val="002527F0"/>
    <w:rsid w:val="002569A8"/>
    <w:rsid w:val="00262CE0"/>
    <w:rsid w:val="00267039"/>
    <w:rsid w:val="00270C03"/>
    <w:rsid w:val="00274D54"/>
    <w:rsid w:val="0029121E"/>
    <w:rsid w:val="002A076D"/>
    <w:rsid w:val="002A410D"/>
    <w:rsid w:val="002C0550"/>
    <w:rsid w:val="002E38B8"/>
    <w:rsid w:val="002E3DF7"/>
    <w:rsid w:val="002F15B2"/>
    <w:rsid w:val="002F6D28"/>
    <w:rsid w:val="003026BD"/>
    <w:rsid w:val="00304390"/>
    <w:rsid w:val="003109A5"/>
    <w:rsid w:val="00313C3A"/>
    <w:rsid w:val="003312CC"/>
    <w:rsid w:val="003322A5"/>
    <w:rsid w:val="003369AB"/>
    <w:rsid w:val="00347597"/>
    <w:rsid w:val="00365B89"/>
    <w:rsid w:val="0037749C"/>
    <w:rsid w:val="003924AE"/>
    <w:rsid w:val="003A20E9"/>
    <w:rsid w:val="003D0AC6"/>
    <w:rsid w:val="003D2490"/>
    <w:rsid w:val="003E6A6F"/>
    <w:rsid w:val="003F16DE"/>
    <w:rsid w:val="004003B2"/>
    <w:rsid w:val="00402EAF"/>
    <w:rsid w:val="004102C5"/>
    <w:rsid w:val="00420DCF"/>
    <w:rsid w:val="00422D7E"/>
    <w:rsid w:val="00426031"/>
    <w:rsid w:val="004261E2"/>
    <w:rsid w:val="00432197"/>
    <w:rsid w:val="004368F2"/>
    <w:rsid w:val="00442E8E"/>
    <w:rsid w:val="004459AB"/>
    <w:rsid w:val="004475C3"/>
    <w:rsid w:val="004528F2"/>
    <w:rsid w:val="00465EBA"/>
    <w:rsid w:val="004722E3"/>
    <w:rsid w:val="00482A12"/>
    <w:rsid w:val="00492AFC"/>
    <w:rsid w:val="004974A2"/>
    <w:rsid w:val="004A1CC9"/>
    <w:rsid w:val="004A2ED9"/>
    <w:rsid w:val="004B131D"/>
    <w:rsid w:val="004C3C0B"/>
    <w:rsid w:val="004D3A70"/>
    <w:rsid w:val="0051199F"/>
    <w:rsid w:val="0051606A"/>
    <w:rsid w:val="00537799"/>
    <w:rsid w:val="00567C95"/>
    <w:rsid w:val="005850D9"/>
    <w:rsid w:val="005B05D5"/>
    <w:rsid w:val="005C3E38"/>
    <w:rsid w:val="005E05BF"/>
    <w:rsid w:val="005E5317"/>
    <w:rsid w:val="00611889"/>
    <w:rsid w:val="0062248A"/>
    <w:rsid w:val="006247A3"/>
    <w:rsid w:val="006377FC"/>
    <w:rsid w:val="00646CB8"/>
    <w:rsid w:val="006474DE"/>
    <w:rsid w:val="00653B41"/>
    <w:rsid w:val="0065418E"/>
    <w:rsid w:val="00654577"/>
    <w:rsid w:val="006A55D8"/>
    <w:rsid w:val="006A5B0B"/>
    <w:rsid w:val="006C25AB"/>
    <w:rsid w:val="006C5C45"/>
    <w:rsid w:val="006E41E3"/>
    <w:rsid w:val="006E4624"/>
    <w:rsid w:val="006F4D41"/>
    <w:rsid w:val="00702A50"/>
    <w:rsid w:val="007073CD"/>
    <w:rsid w:val="0071466F"/>
    <w:rsid w:val="0072073D"/>
    <w:rsid w:val="00721794"/>
    <w:rsid w:val="007307DC"/>
    <w:rsid w:val="007311F0"/>
    <w:rsid w:val="00733971"/>
    <w:rsid w:val="007555AD"/>
    <w:rsid w:val="00764458"/>
    <w:rsid w:val="00793F26"/>
    <w:rsid w:val="007C23D0"/>
    <w:rsid w:val="007D61C0"/>
    <w:rsid w:val="007E3B4E"/>
    <w:rsid w:val="007E79C7"/>
    <w:rsid w:val="007F3846"/>
    <w:rsid w:val="007F3EC4"/>
    <w:rsid w:val="007F4503"/>
    <w:rsid w:val="0080223D"/>
    <w:rsid w:val="0080490E"/>
    <w:rsid w:val="0081325A"/>
    <w:rsid w:val="00822242"/>
    <w:rsid w:val="00826359"/>
    <w:rsid w:val="00826BCA"/>
    <w:rsid w:val="00827E73"/>
    <w:rsid w:val="00844F68"/>
    <w:rsid w:val="00855DD2"/>
    <w:rsid w:val="00861C07"/>
    <w:rsid w:val="00866206"/>
    <w:rsid w:val="0087296D"/>
    <w:rsid w:val="00876D99"/>
    <w:rsid w:val="00885D15"/>
    <w:rsid w:val="008A6F4D"/>
    <w:rsid w:val="008B5E31"/>
    <w:rsid w:val="008D005D"/>
    <w:rsid w:val="008D6561"/>
    <w:rsid w:val="008E6356"/>
    <w:rsid w:val="008F5E20"/>
    <w:rsid w:val="00904356"/>
    <w:rsid w:val="00910786"/>
    <w:rsid w:val="00911B05"/>
    <w:rsid w:val="00916950"/>
    <w:rsid w:val="00916AF2"/>
    <w:rsid w:val="00931325"/>
    <w:rsid w:val="009579C6"/>
    <w:rsid w:val="009725F4"/>
    <w:rsid w:val="00982881"/>
    <w:rsid w:val="00986206"/>
    <w:rsid w:val="00991C6A"/>
    <w:rsid w:val="009C10F2"/>
    <w:rsid w:val="009C2368"/>
    <w:rsid w:val="009F5103"/>
    <w:rsid w:val="00A12943"/>
    <w:rsid w:val="00A2119E"/>
    <w:rsid w:val="00A27839"/>
    <w:rsid w:val="00A33BD6"/>
    <w:rsid w:val="00A43928"/>
    <w:rsid w:val="00A605A8"/>
    <w:rsid w:val="00A66DF9"/>
    <w:rsid w:val="00A67C1C"/>
    <w:rsid w:val="00A74117"/>
    <w:rsid w:val="00A832C4"/>
    <w:rsid w:val="00A83E73"/>
    <w:rsid w:val="00A91610"/>
    <w:rsid w:val="00AB1922"/>
    <w:rsid w:val="00AB22EF"/>
    <w:rsid w:val="00AB5B55"/>
    <w:rsid w:val="00AB65CD"/>
    <w:rsid w:val="00AC3490"/>
    <w:rsid w:val="00AC590E"/>
    <w:rsid w:val="00AC5E8D"/>
    <w:rsid w:val="00AF3756"/>
    <w:rsid w:val="00B05439"/>
    <w:rsid w:val="00B06CF2"/>
    <w:rsid w:val="00B11E56"/>
    <w:rsid w:val="00B15B5F"/>
    <w:rsid w:val="00B17B2A"/>
    <w:rsid w:val="00B211D0"/>
    <w:rsid w:val="00B23A24"/>
    <w:rsid w:val="00B341C1"/>
    <w:rsid w:val="00B35316"/>
    <w:rsid w:val="00B35435"/>
    <w:rsid w:val="00B402B8"/>
    <w:rsid w:val="00B410CF"/>
    <w:rsid w:val="00B44098"/>
    <w:rsid w:val="00B4584C"/>
    <w:rsid w:val="00B46153"/>
    <w:rsid w:val="00B5091D"/>
    <w:rsid w:val="00B538F4"/>
    <w:rsid w:val="00B53973"/>
    <w:rsid w:val="00B56974"/>
    <w:rsid w:val="00B765DA"/>
    <w:rsid w:val="00B863EE"/>
    <w:rsid w:val="00BA442C"/>
    <w:rsid w:val="00BE082D"/>
    <w:rsid w:val="00C01553"/>
    <w:rsid w:val="00C06ED9"/>
    <w:rsid w:val="00C26855"/>
    <w:rsid w:val="00C35FC8"/>
    <w:rsid w:val="00C43EB2"/>
    <w:rsid w:val="00C47590"/>
    <w:rsid w:val="00C5446A"/>
    <w:rsid w:val="00C6362E"/>
    <w:rsid w:val="00C679AF"/>
    <w:rsid w:val="00C7256E"/>
    <w:rsid w:val="00C77DD2"/>
    <w:rsid w:val="00C84F4C"/>
    <w:rsid w:val="00C87BAA"/>
    <w:rsid w:val="00CB0D94"/>
    <w:rsid w:val="00CB7C2E"/>
    <w:rsid w:val="00CC10CF"/>
    <w:rsid w:val="00CD4444"/>
    <w:rsid w:val="00CE3398"/>
    <w:rsid w:val="00D05640"/>
    <w:rsid w:val="00D300A3"/>
    <w:rsid w:val="00D3069C"/>
    <w:rsid w:val="00D331BA"/>
    <w:rsid w:val="00D35BC0"/>
    <w:rsid w:val="00D37B8E"/>
    <w:rsid w:val="00D44F2F"/>
    <w:rsid w:val="00D51ED9"/>
    <w:rsid w:val="00D542B9"/>
    <w:rsid w:val="00D60AA0"/>
    <w:rsid w:val="00D642FB"/>
    <w:rsid w:val="00D7735A"/>
    <w:rsid w:val="00D92602"/>
    <w:rsid w:val="00D9411D"/>
    <w:rsid w:val="00DA08AC"/>
    <w:rsid w:val="00DC16F2"/>
    <w:rsid w:val="00DC65BC"/>
    <w:rsid w:val="00DD386E"/>
    <w:rsid w:val="00DD57E2"/>
    <w:rsid w:val="00DE2A91"/>
    <w:rsid w:val="00DE4F88"/>
    <w:rsid w:val="00DE5C11"/>
    <w:rsid w:val="00E00FC9"/>
    <w:rsid w:val="00E02C7A"/>
    <w:rsid w:val="00E135C8"/>
    <w:rsid w:val="00E16092"/>
    <w:rsid w:val="00E52D79"/>
    <w:rsid w:val="00E53FB0"/>
    <w:rsid w:val="00E5792C"/>
    <w:rsid w:val="00E65B48"/>
    <w:rsid w:val="00E730E0"/>
    <w:rsid w:val="00E758E3"/>
    <w:rsid w:val="00E84D6F"/>
    <w:rsid w:val="00E868DF"/>
    <w:rsid w:val="00EB0408"/>
    <w:rsid w:val="00EB6869"/>
    <w:rsid w:val="00EE098B"/>
    <w:rsid w:val="00EE2BF6"/>
    <w:rsid w:val="00EF1104"/>
    <w:rsid w:val="00EF1E7C"/>
    <w:rsid w:val="00F068CF"/>
    <w:rsid w:val="00F32C84"/>
    <w:rsid w:val="00F346E9"/>
    <w:rsid w:val="00F45FF2"/>
    <w:rsid w:val="00F56AF2"/>
    <w:rsid w:val="00FA516B"/>
    <w:rsid w:val="00FC47AB"/>
    <w:rsid w:val="00FC61DC"/>
    <w:rsid w:val="00FD6A3D"/>
    <w:rsid w:val="00FE3D19"/>
    <w:rsid w:val="00FE4709"/>
    <w:rsid w:val="00FF083B"/>
    <w:rsid w:val="00FF10DC"/>
    <w:rsid w:val="00FF5C74"/>
    <w:rsid w:val="0246BDF0"/>
    <w:rsid w:val="03A864AA"/>
    <w:rsid w:val="03D68CC8"/>
    <w:rsid w:val="076B8384"/>
    <w:rsid w:val="0B0A5C1A"/>
    <w:rsid w:val="0BF056CE"/>
    <w:rsid w:val="0F4639E7"/>
    <w:rsid w:val="10838DEB"/>
    <w:rsid w:val="14468756"/>
    <w:rsid w:val="14673C14"/>
    <w:rsid w:val="165A560D"/>
    <w:rsid w:val="1737418C"/>
    <w:rsid w:val="1AB1B8AB"/>
    <w:rsid w:val="1B21352D"/>
    <w:rsid w:val="1BAF439A"/>
    <w:rsid w:val="1C3C86C8"/>
    <w:rsid w:val="1C63A7E4"/>
    <w:rsid w:val="20931E7F"/>
    <w:rsid w:val="24E8A18F"/>
    <w:rsid w:val="25772CE7"/>
    <w:rsid w:val="25B4A5E2"/>
    <w:rsid w:val="26C52F75"/>
    <w:rsid w:val="2A5C9F58"/>
    <w:rsid w:val="2C017F41"/>
    <w:rsid w:val="2C623DEE"/>
    <w:rsid w:val="2D9CF008"/>
    <w:rsid w:val="2DC57643"/>
    <w:rsid w:val="2E3A5017"/>
    <w:rsid w:val="324254D0"/>
    <w:rsid w:val="39D0C613"/>
    <w:rsid w:val="3BD5ECBB"/>
    <w:rsid w:val="3F219E4B"/>
    <w:rsid w:val="431E8D2A"/>
    <w:rsid w:val="445CD9E5"/>
    <w:rsid w:val="4A0E4346"/>
    <w:rsid w:val="4CB8219A"/>
    <w:rsid w:val="545176D1"/>
    <w:rsid w:val="560B3205"/>
    <w:rsid w:val="5848F2AE"/>
    <w:rsid w:val="58D6B8A1"/>
    <w:rsid w:val="5E651D76"/>
    <w:rsid w:val="5F228D0C"/>
    <w:rsid w:val="608ECAD5"/>
    <w:rsid w:val="6253AB48"/>
    <w:rsid w:val="65C22A55"/>
    <w:rsid w:val="662DE2F7"/>
    <w:rsid w:val="678F486F"/>
    <w:rsid w:val="68A4C1D6"/>
    <w:rsid w:val="68F5298F"/>
    <w:rsid w:val="69587FFC"/>
    <w:rsid w:val="69A66C0C"/>
    <w:rsid w:val="6B210FBF"/>
    <w:rsid w:val="6BB1F5AC"/>
    <w:rsid w:val="6C80341D"/>
    <w:rsid w:val="6CA2E6EE"/>
    <w:rsid w:val="6D58B813"/>
    <w:rsid w:val="6EE7568B"/>
    <w:rsid w:val="6F113FE9"/>
    <w:rsid w:val="6F4C83C9"/>
    <w:rsid w:val="70A615D0"/>
    <w:rsid w:val="73F343DA"/>
    <w:rsid w:val="75C2D10A"/>
    <w:rsid w:val="7BA85AA9"/>
    <w:rsid w:val="7C143AFF"/>
    <w:rsid w:val="7C94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E34C8"/>
  <w15:docId w15:val="{19C9A4ED-7A86-496F-AF07-858E0C25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8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 w:cs="Times New Roman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_text"/>
    <w:basedOn w:val="Normal"/>
    <w:rsid w:val="00A27839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styleId="Footer">
    <w:name w:val="footer"/>
    <w:basedOn w:val="Normal"/>
    <w:link w:val="FooterChar"/>
    <w:rsid w:val="00A2783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A27839"/>
    <w:rPr>
      <w:rFonts w:ascii="Calibri" w:hAnsi="Calibri" w:cs="Times New Roman"/>
      <w:caps/>
      <w:noProof/>
      <w:kern w:val="0"/>
      <w:sz w:val="16"/>
      <w:szCs w:val="20"/>
      <w:lang w:val="en-GB" w:eastAsia="en-US"/>
    </w:rPr>
  </w:style>
  <w:style w:type="paragraph" w:styleId="Header">
    <w:name w:val="header"/>
    <w:basedOn w:val="Normal"/>
    <w:link w:val="HeaderChar"/>
    <w:rsid w:val="00A2783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A27839"/>
    <w:rPr>
      <w:rFonts w:ascii="Calibri" w:hAnsi="Calibri" w:cs="Times New Roman"/>
      <w:kern w:val="0"/>
      <w:sz w:val="18"/>
      <w:szCs w:val="20"/>
      <w:lang w:val="en-GB" w:eastAsia="en-US"/>
    </w:rPr>
  </w:style>
  <w:style w:type="character" w:styleId="Hyperlink">
    <w:name w:val="Hyperlink"/>
    <w:rsid w:val="00A278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0408"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3E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E7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346E9"/>
    <w:rPr>
      <w:rFonts w:ascii="Calibri" w:hAnsi="Calibri" w:cs="Times New Roman"/>
      <w:kern w:val="0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2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35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359"/>
    <w:rPr>
      <w:rFonts w:ascii="Calibri" w:hAnsi="Calibri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359"/>
    <w:rPr>
      <w:rFonts w:ascii="Calibri" w:hAnsi="Calibri" w:cs="Times New Roman"/>
      <w:b/>
      <w:bCs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C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CC"/>
    <w:rPr>
      <w:rFonts w:ascii="Tahoma" w:hAnsi="Tahoma" w:cs="Tahoma"/>
      <w:kern w:val="0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75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58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7311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7311F0"/>
  </w:style>
  <w:style w:type="character" w:customStyle="1" w:styleId="eop">
    <w:name w:val="eop"/>
    <w:basedOn w:val="DefaultParagraphFont"/>
    <w:rsid w:val="007311F0"/>
  </w:style>
  <w:style w:type="character" w:customStyle="1" w:styleId="tabchar">
    <w:name w:val="tabchar"/>
    <w:basedOn w:val="DefaultParagraphFont"/>
    <w:rsid w:val="0073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climatechange/symposia/202602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T25-TSB-CIR-0099/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events@itu.i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1FDF27BDA054CA9FD016C0698D36A" ma:contentTypeVersion="4" ma:contentTypeDescription="Create a new document." ma:contentTypeScope="" ma:versionID="510660398dda861a9144a4700dc92c88">
  <xsd:schema xmlns:xsd="http://www.w3.org/2001/XMLSchema" xmlns:xs="http://www.w3.org/2001/XMLSchema" xmlns:p="http://schemas.microsoft.com/office/2006/metadata/properties" xmlns:ns2="bd2c78d3-f7ae-4334-ac0f-7b7e4ff5818b" targetNamespace="http://schemas.microsoft.com/office/2006/metadata/properties" ma:root="true" ma:fieldsID="c64c050511c71239a16278547c253fa7" ns2:_="">
    <xsd:import namespace="bd2c78d3-f7ae-4334-ac0f-7b7e4ff5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c78d3-f7ae-4334-ac0f-7b7e4ff58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3944BF-4897-4C43-AA15-482917895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E710A-3737-472C-A57F-BA09CF854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83DDCD-EC43-4716-8820-04D2FC806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c78d3-f7ae-4334-ac0f-7b7e4ff58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Links>
    <vt:vector size="36" baseType="variant">
      <vt:variant>
        <vt:i4>4915221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https://www.itu.int/net4/CRM/xreg/web/Registration.aspx?Event=C-00014355</vt:lpwstr>
      </vt:variant>
      <vt:variant>
        <vt:lpwstr/>
      </vt:variant>
      <vt:variant>
        <vt:i4>5898315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https://www.itu.int/en/ITU-T/Workshops-and-Seminars/2024/1211/Pages/default.aspx</vt:lpwstr>
      </vt:variant>
      <vt:variant>
        <vt:lpwstr/>
      </vt:variant>
      <vt:variant>
        <vt:i4>5898315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https://www.itu.int/en/ITU-T/Workshops-and-Seminars/2024/1211/Pages/default.aspx</vt:lpwstr>
      </vt:variant>
      <vt:variant>
        <vt:lpwstr/>
      </vt:variant>
      <vt:variant>
        <vt:i4>1966137</vt:i4>
      </vt:variant>
      <vt:variant>
        <vt:i4>0</vt:i4>
      </vt:variant>
      <vt:variant>
        <vt:i4>0</vt:i4>
      </vt:variant>
      <vt:variant>
        <vt:i4>5</vt:i4>
      </vt:variant>
      <vt:variant>
        <vt:lpwstr>mailto:tsbevents@itu.int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Zihao Qi</dc:creator>
  <cp:keywords/>
  <cp:lastModifiedBy>Braud, Olivia</cp:lastModifiedBy>
  <cp:revision>5</cp:revision>
  <cp:lastPrinted>2026-01-27T14:33:00Z</cp:lastPrinted>
  <dcterms:created xsi:type="dcterms:W3CDTF">2026-01-27T14:21:00Z</dcterms:created>
  <dcterms:modified xsi:type="dcterms:W3CDTF">2026-01-27T14:34:00Z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0x010100B4D1FDF27BDA054CA9FD016C0698D36A</vt:lpwstr>
  </property>
  <property fmtid="{D5CDD505-2E9C-101B-9397-08002B2CF9AE}" pid="3" name="MediaServiceImageTags">
    <vt:lpwstr/>
  </property>
</Properties>
</file>