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615"/>
        <w:tblW w:w="0" w:type="auto"/>
        <w:tblCellMar>
          <w:left w:w="0" w:type="dxa"/>
          <w:right w:w="0" w:type="dxa"/>
        </w:tblCellMar>
        <w:tblLook w:val="0000" w:firstRow="0" w:lastRow="0" w:firstColumn="0" w:lastColumn="0" w:noHBand="0" w:noVBand="0"/>
      </w:tblPr>
      <w:tblGrid>
        <w:gridCol w:w="1350"/>
        <w:gridCol w:w="3350"/>
        <w:gridCol w:w="5029"/>
      </w:tblGrid>
      <w:tr w:rsidR="00EF6A23" w:rsidRPr="004D602A" w14:paraId="3FDAE1F3" w14:textId="77777777" w:rsidTr="005D492A">
        <w:trPr>
          <w:cantSplit/>
        </w:trPr>
        <w:tc>
          <w:tcPr>
            <w:tcW w:w="1350" w:type="dxa"/>
            <w:vAlign w:val="center"/>
          </w:tcPr>
          <w:p w14:paraId="3DE42CAA" w14:textId="77777777" w:rsidR="00EF6A23" w:rsidRPr="004D602A" w:rsidRDefault="00EF6A23" w:rsidP="005D492A">
            <w:pPr>
              <w:tabs>
                <w:tab w:val="right" w:pos="8732"/>
              </w:tabs>
              <w:spacing w:before="0"/>
              <w:rPr>
                <w:b/>
                <w:bCs/>
                <w:iCs/>
                <w:color w:val="FFFFFF"/>
                <w:sz w:val="30"/>
                <w:szCs w:val="30"/>
              </w:rPr>
            </w:pPr>
            <w:r w:rsidRPr="004D602A">
              <w:rPr>
                <w:noProof/>
                <w:lang w:eastAsia="zh-CN"/>
              </w:rPr>
              <w:drawing>
                <wp:inline distT="0" distB="0" distL="0" distR="0" wp14:anchorId="05764050" wp14:editId="4E5C6B60">
                  <wp:extent cx="800100" cy="80010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c>
        <w:tc>
          <w:tcPr>
            <w:tcW w:w="8379" w:type="dxa"/>
            <w:gridSpan w:val="2"/>
            <w:vAlign w:val="center"/>
          </w:tcPr>
          <w:p w14:paraId="75924CEF" w14:textId="77777777" w:rsidR="00EF6A23" w:rsidRPr="004D602A" w:rsidRDefault="00EF6A23" w:rsidP="005D492A">
            <w:pPr>
              <w:spacing w:before="0"/>
              <w:rPr>
                <w:rFonts w:cs="Times New Roman Bold"/>
                <w:b/>
                <w:bCs/>
                <w:iCs/>
                <w:smallCaps/>
                <w:sz w:val="34"/>
                <w:szCs w:val="34"/>
              </w:rPr>
            </w:pPr>
            <w:r w:rsidRPr="004D602A">
              <w:rPr>
                <w:rFonts w:cs="Times New Roman Bold"/>
                <w:b/>
                <w:bCs/>
                <w:iCs/>
                <w:smallCaps/>
                <w:sz w:val="34"/>
                <w:szCs w:val="34"/>
              </w:rPr>
              <w:t>Union internationale des télécommunications</w:t>
            </w:r>
          </w:p>
          <w:p w14:paraId="089E66D0" w14:textId="77777777" w:rsidR="00EF6A23" w:rsidRPr="004D602A" w:rsidRDefault="00EF6A23" w:rsidP="005D492A">
            <w:pPr>
              <w:spacing w:before="0"/>
              <w:rPr>
                <w:color w:val="FFFFFF"/>
                <w:sz w:val="26"/>
                <w:szCs w:val="26"/>
              </w:rPr>
            </w:pPr>
            <w:r w:rsidRPr="004D602A">
              <w:rPr>
                <w:rFonts w:cs="Times New Roman Bold"/>
                <w:b/>
                <w:bCs/>
                <w:iCs/>
                <w:smallCaps/>
                <w:sz w:val="28"/>
                <w:szCs w:val="28"/>
              </w:rPr>
              <w:t>B</w:t>
            </w:r>
            <w:r w:rsidRPr="004D602A">
              <w:rPr>
                <w:b/>
                <w:bCs/>
                <w:iCs/>
                <w:smallCaps/>
                <w:sz w:val="28"/>
                <w:szCs w:val="28"/>
              </w:rPr>
              <w:t>ureau de la Normalisation des Télécommunications</w:t>
            </w:r>
          </w:p>
        </w:tc>
      </w:tr>
      <w:tr w:rsidR="00036F4F" w:rsidRPr="004D602A" w14:paraId="18B25741" w14:textId="77777777" w:rsidTr="005D492A">
        <w:trPr>
          <w:cantSplit/>
          <w:trHeight w:val="447"/>
        </w:trPr>
        <w:tc>
          <w:tcPr>
            <w:tcW w:w="1350" w:type="dxa"/>
          </w:tcPr>
          <w:p w14:paraId="4B1AFD72" w14:textId="77777777" w:rsidR="00036F4F" w:rsidRPr="005D492A" w:rsidRDefault="00036F4F" w:rsidP="005D492A">
            <w:pPr>
              <w:tabs>
                <w:tab w:val="left" w:pos="4111"/>
              </w:tabs>
              <w:spacing w:before="10"/>
              <w:ind w:left="57"/>
              <w:rPr>
                <w:sz w:val="22"/>
                <w:szCs w:val="18"/>
              </w:rPr>
            </w:pPr>
          </w:p>
        </w:tc>
        <w:tc>
          <w:tcPr>
            <w:tcW w:w="3350" w:type="dxa"/>
          </w:tcPr>
          <w:p w14:paraId="6579D3E8" w14:textId="77777777" w:rsidR="00036F4F" w:rsidRPr="005D492A" w:rsidRDefault="00036F4F" w:rsidP="005D492A">
            <w:pPr>
              <w:tabs>
                <w:tab w:val="left" w:pos="4111"/>
              </w:tabs>
              <w:spacing w:before="10"/>
              <w:ind w:left="57"/>
              <w:rPr>
                <w:b/>
                <w:sz w:val="22"/>
                <w:szCs w:val="18"/>
              </w:rPr>
            </w:pPr>
          </w:p>
        </w:tc>
        <w:tc>
          <w:tcPr>
            <w:tcW w:w="5029" w:type="dxa"/>
          </w:tcPr>
          <w:p w14:paraId="0DC34ECA" w14:textId="6E5513CF" w:rsidR="00036F4F" w:rsidRPr="004D602A" w:rsidRDefault="00036F4F" w:rsidP="005D492A">
            <w:pPr>
              <w:tabs>
                <w:tab w:val="clear" w:pos="794"/>
                <w:tab w:val="clear" w:pos="1191"/>
                <w:tab w:val="clear" w:pos="1588"/>
                <w:tab w:val="clear" w:pos="1985"/>
                <w:tab w:val="left" w:pos="284"/>
              </w:tabs>
              <w:spacing w:before="0" w:after="120"/>
              <w:ind w:left="288" w:hanging="230"/>
            </w:pPr>
            <w:r w:rsidRPr="005D492A">
              <w:rPr>
                <w:sz w:val="22"/>
                <w:szCs w:val="18"/>
              </w:rPr>
              <w:t>Genève, le</w:t>
            </w:r>
            <w:r w:rsidR="004419E9" w:rsidRPr="005D492A">
              <w:rPr>
                <w:sz w:val="22"/>
                <w:szCs w:val="18"/>
              </w:rPr>
              <w:t xml:space="preserve"> </w:t>
            </w:r>
            <w:r w:rsidR="00284004" w:rsidRPr="005D492A">
              <w:rPr>
                <w:sz w:val="22"/>
                <w:szCs w:val="18"/>
              </w:rPr>
              <w:t>19 décembre 2025</w:t>
            </w:r>
          </w:p>
        </w:tc>
      </w:tr>
      <w:tr w:rsidR="005D492A" w:rsidRPr="005D492A" w14:paraId="16CDDFEF" w14:textId="77777777" w:rsidTr="005D492A">
        <w:trPr>
          <w:cantSplit/>
          <w:trHeight w:val="438"/>
        </w:trPr>
        <w:tc>
          <w:tcPr>
            <w:tcW w:w="1350" w:type="dxa"/>
          </w:tcPr>
          <w:p w14:paraId="3EFF375D" w14:textId="58556577" w:rsidR="005D492A" w:rsidRPr="005D492A" w:rsidRDefault="005D492A" w:rsidP="005D492A">
            <w:pPr>
              <w:tabs>
                <w:tab w:val="left" w:pos="4111"/>
              </w:tabs>
              <w:spacing w:before="10"/>
              <w:rPr>
                <w:rFonts w:cstheme="minorHAnsi"/>
                <w:b/>
                <w:bCs/>
                <w:sz w:val="22"/>
                <w:szCs w:val="22"/>
              </w:rPr>
            </w:pPr>
            <w:proofErr w:type="gramStart"/>
            <w:r w:rsidRPr="005D492A">
              <w:rPr>
                <w:rFonts w:cstheme="minorHAnsi"/>
                <w:b/>
                <w:bCs/>
                <w:sz w:val="22"/>
                <w:szCs w:val="22"/>
              </w:rPr>
              <w:t>Réf.:</w:t>
            </w:r>
            <w:proofErr w:type="gramEnd"/>
          </w:p>
        </w:tc>
        <w:tc>
          <w:tcPr>
            <w:tcW w:w="3350" w:type="dxa"/>
          </w:tcPr>
          <w:p w14:paraId="577F6DA2" w14:textId="3BA35E24" w:rsidR="005D492A" w:rsidRPr="005D492A" w:rsidRDefault="005D492A" w:rsidP="005D492A">
            <w:pPr>
              <w:tabs>
                <w:tab w:val="left" w:pos="4111"/>
              </w:tabs>
              <w:spacing w:before="10"/>
              <w:ind w:left="57"/>
              <w:rPr>
                <w:rFonts w:cstheme="minorHAnsi"/>
                <w:b/>
                <w:sz w:val="22"/>
                <w:szCs w:val="22"/>
              </w:rPr>
            </w:pPr>
            <w:r w:rsidRPr="005D492A">
              <w:rPr>
                <w:rFonts w:cstheme="minorHAnsi"/>
                <w:b/>
                <w:sz w:val="22"/>
                <w:szCs w:val="22"/>
              </w:rPr>
              <w:t>Circulaire TSB 099</w:t>
            </w:r>
          </w:p>
        </w:tc>
        <w:tc>
          <w:tcPr>
            <w:tcW w:w="5029" w:type="dxa"/>
            <w:vMerge w:val="restart"/>
          </w:tcPr>
          <w:p w14:paraId="35271D8E" w14:textId="28878EA8" w:rsidR="005D492A" w:rsidRPr="005D492A" w:rsidRDefault="005D492A" w:rsidP="005D492A">
            <w:pPr>
              <w:tabs>
                <w:tab w:val="left" w:pos="4111"/>
              </w:tabs>
              <w:spacing w:before="0" w:after="10"/>
              <w:ind w:left="426" w:hanging="426"/>
              <w:rPr>
                <w:rFonts w:cstheme="minorHAnsi"/>
                <w:sz w:val="22"/>
                <w:szCs w:val="22"/>
              </w:rPr>
            </w:pPr>
            <w:bookmarkStart w:id="0" w:name="Addressee_F"/>
            <w:bookmarkEnd w:id="0"/>
            <w:r w:rsidRPr="005D492A">
              <w:rPr>
                <w:rFonts w:cstheme="minorHAnsi"/>
                <w:sz w:val="22"/>
                <w:szCs w:val="22"/>
              </w:rPr>
              <w:t>–</w:t>
            </w:r>
            <w:r w:rsidRPr="005D492A">
              <w:rPr>
                <w:rFonts w:cstheme="minorHAnsi"/>
                <w:sz w:val="22"/>
                <w:szCs w:val="22"/>
              </w:rPr>
              <w:tab/>
              <w:t xml:space="preserve">Aux Administrations des États Membres de </w:t>
            </w:r>
            <w:proofErr w:type="gramStart"/>
            <w:r w:rsidRPr="005D492A">
              <w:rPr>
                <w:rFonts w:cstheme="minorHAnsi"/>
                <w:sz w:val="22"/>
                <w:szCs w:val="22"/>
              </w:rPr>
              <w:t>l'Union;</w:t>
            </w:r>
            <w:proofErr w:type="gramEnd"/>
          </w:p>
          <w:p w14:paraId="428E2233" w14:textId="1A1109A7" w:rsidR="005D492A" w:rsidRPr="005D492A" w:rsidRDefault="005D492A" w:rsidP="005D492A">
            <w:pPr>
              <w:tabs>
                <w:tab w:val="left" w:pos="4111"/>
              </w:tabs>
              <w:spacing w:before="0" w:after="10"/>
              <w:ind w:left="426" w:hanging="426"/>
              <w:rPr>
                <w:rFonts w:cstheme="minorHAnsi"/>
                <w:sz w:val="22"/>
                <w:szCs w:val="22"/>
              </w:rPr>
            </w:pPr>
            <w:r w:rsidRPr="005D492A">
              <w:rPr>
                <w:rFonts w:cstheme="minorHAnsi"/>
                <w:sz w:val="22"/>
                <w:szCs w:val="22"/>
              </w:rPr>
              <w:t>–</w:t>
            </w:r>
            <w:r w:rsidRPr="005D492A">
              <w:rPr>
                <w:rFonts w:cstheme="minorHAnsi"/>
                <w:sz w:val="22"/>
                <w:szCs w:val="22"/>
              </w:rPr>
              <w:tab/>
              <w:t>À l'État de Palestine (Rés. 99 (Rév. Dubaï, 2018)</w:t>
            </w:r>
            <w:proofErr w:type="gramStart"/>
            <w:r w:rsidRPr="005D492A">
              <w:rPr>
                <w:rFonts w:cstheme="minorHAnsi"/>
                <w:sz w:val="22"/>
                <w:szCs w:val="22"/>
              </w:rPr>
              <w:t>);</w:t>
            </w:r>
            <w:proofErr w:type="gramEnd"/>
          </w:p>
          <w:p w14:paraId="38A5A6AE" w14:textId="42751874" w:rsidR="005D492A" w:rsidRPr="005D492A" w:rsidRDefault="005D492A" w:rsidP="005D492A">
            <w:pPr>
              <w:tabs>
                <w:tab w:val="left" w:pos="4111"/>
              </w:tabs>
              <w:spacing w:before="0" w:after="10"/>
              <w:ind w:left="426" w:hanging="426"/>
              <w:rPr>
                <w:rFonts w:cstheme="minorHAnsi"/>
                <w:sz w:val="22"/>
                <w:szCs w:val="22"/>
              </w:rPr>
            </w:pPr>
            <w:r w:rsidRPr="005D492A">
              <w:rPr>
                <w:rFonts w:cstheme="minorHAnsi"/>
                <w:sz w:val="22"/>
                <w:szCs w:val="22"/>
              </w:rPr>
              <w:t>–</w:t>
            </w:r>
            <w:r w:rsidRPr="005D492A">
              <w:rPr>
                <w:rFonts w:cstheme="minorHAnsi"/>
                <w:sz w:val="22"/>
                <w:szCs w:val="22"/>
              </w:rPr>
              <w:tab/>
              <w:t>Aux Membres du Secteur de l'UIT-</w:t>
            </w:r>
            <w:proofErr w:type="gramStart"/>
            <w:r w:rsidRPr="005D492A">
              <w:rPr>
                <w:rFonts w:cstheme="minorHAnsi"/>
                <w:sz w:val="22"/>
                <w:szCs w:val="22"/>
              </w:rPr>
              <w:t>T;</w:t>
            </w:r>
            <w:proofErr w:type="gramEnd"/>
          </w:p>
          <w:p w14:paraId="45F82FBC" w14:textId="442752A8" w:rsidR="005D492A" w:rsidRPr="005D492A" w:rsidRDefault="005D492A" w:rsidP="005D492A">
            <w:pPr>
              <w:tabs>
                <w:tab w:val="left" w:pos="4111"/>
              </w:tabs>
              <w:spacing w:before="0" w:after="10"/>
              <w:ind w:left="426" w:hanging="426"/>
              <w:rPr>
                <w:rFonts w:cstheme="minorHAnsi"/>
                <w:sz w:val="22"/>
                <w:szCs w:val="22"/>
              </w:rPr>
            </w:pPr>
            <w:r w:rsidRPr="005D492A">
              <w:rPr>
                <w:rFonts w:cstheme="minorHAnsi"/>
                <w:sz w:val="22"/>
                <w:szCs w:val="22"/>
              </w:rPr>
              <w:t>–</w:t>
            </w:r>
            <w:r w:rsidRPr="005D492A">
              <w:rPr>
                <w:rFonts w:cstheme="minorHAnsi"/>
                <w:sz w:val="22"/>
                <w:szCs w:val="22"/>
              </w:rPr>
              <w:tab/>
              <w:t>Aux Associés de l'UIT-</w:t>
            </w:r>
            <w:proofErr w:type="gramStart"/>
            <w:r w:rsidRPr="005D492A">
              <w:rPr>
                <w:rFonts w:cstheme="minorHAnsi"/>
                <w:sz w:val="22"/>
                <w:szCs w:val="22"/>
              </w:rPr>
              <w:t>T;</w:t>
            </w:r>
            <w:proofErr w:type="gramEnd"/>
          </w:p>
          <w:p w14:paraId="1EE7EF37" w14:textId="77777777" w:rsidR="005D492A" w:rsidRPr="005D492A" w:rsidRDefault="005D492A" w:rsidP="005D492A">
            <w:pPr>
              <w:tabs>
                <w:tab w:val="left" w:pos="4111"/>
              </w:tabs>
              <w:spacing w:before="0" w:after="10"/>
              <w:ind w:left="426" w:hanging="426"/>
              <w:rPr>
                <w:rFonts w:cstheme="minorHAnsi"/>
                <w:sz w:val="22"/>
                <w:szCs w:val="22"/>
              </w:rPr>
            </w:pPr>
            <w:r w:rsidRPr="005D492A">
              <w:rPr>
                <w:rFonts w:cstheme="minorHAnsi"/>
                <w:sz w:val="22"/>
                <w:szCs w:val="22"/>
              </w:rPr>
              <w:t>–</w:t>
            </w:r>
            <w:r w:rsidRPr="005D492A">
              <w:rPr>
                <w:rFonts w:cstheme="minorHAnsi"/>
                <w:sz w:val="22"/>
                <w:szCs w:val="22"/>
              </w:rPr>
              <w:tab/>
              <w:t>Aux établissements universitaires participant aux travaux de l'UIT</w:t>
            </w:r>
          </w:p>
          <w:p w14:paraId="42D0DE88" w14:textId="77777777" w:rsidR="005D492A" w:rsidRPr="005D492A" w:rsidRDefault="005D492A" w:rsidP="005D492A">
            <w:pPr>
              <w:tabs>
                <w:tab w:val="clear" w:pos="794"/>
                <w:tab w:val="left" w:pos="226"/>
                <w:tab w:val="left" w:pos="4111"/>
              </w:tabs>
              <w:spacing w:before="0" w:after="10"/>
              <w:ind w:left="226" w:hanging="226"/>
              <w:rPr>
                <w:rFonts w:cstheme="minorHAnsi"/>
                <w:b/>
                <w:bCs/>
                <w:sz w:val="22"/>
                <w:szCs w:val="22"/>
              </w:rPr>
            </w:pPr>
            <w:proofErr w:type="gramStart"/>
            <w:r w:rsidRPr="005D492A">
              <w:rPr>
                <w:rFonts w:cstheme="minorHAnsi"/>
                <w:b/>
                <w:bCs/>
                <w:sz w:val="22"/>
                <w:szCs w:val="22"/>
              </w:rPr>
              <w:t>Copie:</w:t>
            </w:r>
            <w:proofErr w:type="gramEnd"/>
          </w:p>
          <w:p w14:paraId="61F5E12B" w14:textId="77777777" w:rsidR="005D492A" w:rsidRPr="005D492A" w:rsidRDefault="005D492A" w:rsidP="005D492A">
            <w:pPr>
              <w:tabs>
                <w:tab w:val="clear" w:pos="794"/>
                <w:tab w:val="left" w:pos="4111"/>
              </w:tabs>
              <w:spacing w:before="0" w:after="10"/>
              <w:ind w:left="426" w:hanging="426"/>
              <w:rPr>
                <w:rFonts w:cstheme="minorHAnsi"/>
                <w:sz w:val="22"/>
                <w:szCs w:val="22"/>
              </w:rPr>
            </w:pPr>
            <w:r w:rsidRPr="005D492A">
              <w:rPr>
                <w:rFonts w:cstheme="minorHAnsi"/>
                <w:sz w:val="22"/>
                <w:szCs w:val="22"/>
              </w:rPr>
              <w:t>–</w:t>
            </w:r>
            <w:r w:rsidRPr="005D492A">
              <w:rPr>
                <w:rFonts w:cstheme="minorHAnsi"/>
                <w:sz w:val="22"/>
                <w:szCs w:val="22"/>
              </w:rPr>
              <w:tab/>
              <w:t xml:space="preserve">Aux Présidents et Vice-Présidents des Commissions </w:t>
            </w:r>
            <w:proofErr w:type="gramStart"/>
            <w:r w:rsidRPr="005D492A">
              <w:rPr>
                <w:rFonts w:cstheme="minorHAnsi"/>
                <w:sz w:val="22"/>
                <w:szCs w:val="22"/>
              </w:rPr>
              <w:t>d'études;</w:t>
            </w:r>
            <w:proofErr w:type="gramEnd"/>
          </w:p>
          <w:p w14:paraId="30CC1FB0" w14:textId="77777777" w:rsidR="005D492A" w:rsidRPr="005D492A" w:rsidRDefault="005D492A" w:rsidP="005D492A">
            <w:pPr>
              <w:tabs>
                <w:tab w:val="clear" w:pos="794"/>
                <w:tab w:val="left" w:pos="4111"/>
              </w:tabs>
              <w:spacing w:before="0" w:after="10"/>
              <w:ind w:left="426" w:hanging="426"/>
              <w:rPr>
                <w:rFonts w:cstheme="minorHAnsi"/>
                <w:sz w:val="22"/>
                <w:szCs w:val="22"/>
              </w:rPr>
            </w:pPr>
            <w:r w:rsidRPr="005D492A">
              <w:rPr>
                <w:rFonts w:cstheme="minorHAnsi"/>
                <w:sz w:val="22"/>
                <w:szCs w:val="22"/>
              </w:rPr>
              <w:t>–</w:t>
            </w:r>
            <w:r w:rsidRPr="005D492A">
              <w:rPr>
                <w:rFonts w:cstheme="minorHAnsi"/>
                <w:sz w:val="22"/>
                <w:szCs w:val="22"/>
              </w:rPr>
              <w:tab/>
              <w:t xml:space="preserve">Au Directeur du Bureau de développement des </w:t>
            </w:r>
            <w:proofErr w:type="gramStart"/>
            <w:r w:rsidRPr="005D492A">
              <w:rPr>
                <w:rFonts w:cstheme="minorHAnsi"/>
                <w:sz w:val="22"/>
                <w:szCs w:val="22"/>
              </w:rPr>
              <w:t>télécommunications;</w:t>
            </w:r>
            <w:proofErr w:type="gramEnd"/>
          </w:p>
          <w:p w14:paraId="21E88073" w14:textId="77777777" w:rsidR="005D492A" w:rsidRPr="005D492A" w:rsidRDefault="005D492A" w:rsidP="005D492A">
            <w:pPr>
              <w:tabs>
                <w:tab w:val="clear" w:pos="794"/>
                <w:tab w:val="left" w:pos="4111"/>
              </w:tabs>
              <w:spacing w:before="0" w:after="10"/>
              <w:ind w:left="426" w:hanging="426"/>
              <w:rPr>
                <w:rFonts w:cstheme="minorHAnsi"/>
                <w:sz w:val="22"/>
                <w:szCs w:val="22"/>
              </w:rPr>
            </w:pPr>
            <w:r w:rsidRPr="005D492A">
              <w:rPr>
                <w:rFonts w:cstheme="minorHAnsi"/>
                <w:sz w:val="22"/>
                <w:szCs w:val="22"/>
              </w:rPr>
              <w:t>–</w:t>
            </w:r>
            <w:r w:rsidRPr="005D492A">
              <w:rPr>
                <w:rFonts w:cstheme="minorHAnsi"/>
                <w:sz w:val="22"/>
                <w:szCs w:val="22"/>
              </w:rPr>
              <w:tab/>
              <w:t>Au Directeur du Bureau des radiocommunications</w:t>
            </w:r>
          </w:p>
          <w:p w14:paraId="6F9489A0" w14:textId="77777777" w:rsidR="005D492A" w:rsidRPr="005D492A" w:rsidRDefault="005D492A" w:rsidP="005D492A">
            <w:pPr>
              <w:tabs>
                <w:tab w:val="clear" w:pos="794"/>
                <w:tab w:val="left" w:pos="4111"/>
              </w:tabs>
              <w:spacing w:before="0" w:after="10"/>
              <w:ind w:left="426" w:hanging="426"/>
              <w:rPr>
                <w:rFonts w:cstheme="minorHAnsi"/>
                <w:sz w:val="22"/>
                <w:szCs w:val="22"/>
              </w:rPr>
            </w:pPr>
            <w:r w:rsidRPr="005D492A">
              <w:rPr>
                <w:rFonts w:cstheme="minorHAnsi"/>
                <w:sz w:val="22"/>
                <w:szCs w:val="22"/>
              </w:rPr>
              <w:t>–</w:t>
            </w:r>
            <w:r w:rsidRPr="005D492A">
              <w:rPr>
                <w:rFonts w:cstheme="minorHAnsi"/>
                <w:sz w:val="22"/>
                <w:szCs w:val="22"/>
              </w:rPr>
              <w:tab/>
              <w:t>Au Bureau régional de l'UIT pour l'Afrique, Addis-Abeba (Éthiopie</w:t>
            </w:r>
            <w:proofErr w:type="gramStart"/>
            <w:r w:rsidRPr="005D492A">
              <w:rPr>
                <w:rFonts w:cstheme="minorHAnsi"/>
                <w:sz w:val="22"/>
                <w:szCs w:val="22"/>
              </w:rPr>
              <w:t>);</w:t>
            </w:r>
            <w:proofErr w:type="gramEnd"/>
          </w:p>
          <w:p w14:paraId="461460AE" w14:textId="3070B4C4" w:rsidR="005D492A" w:rsidRPr="005D492A" w:rsidRDefault="005D492A" w:rsidP="005D492A">
            <w:pPr>
              <w:tabs>
                <w:tab w:val="left" w:pos="4111"/>
              </w:tabs>
              <w:spacing w:before="0" w:after="10"/>
              <w:ind w:left="426" w:hanging="426"/>
              <w:rPr>
                <w:rFonts w:cstheme="minorHAnsi"/>
                <w:sz w:val="22"/>
                <w:szCs w:val="22"/>
              </w:rPr>
            </w:pPr>
            <w:r w:rsidRPr="005D492A">
              <w:rPr>
                <w:rFonts w:cstheme="minorHAnsi"/>
                <w:sz w:val="22"/>
                <w:szCs w:val="22"/>
              </w:rPr>
              <w:t>–</w:t>
            </w:r>
            <w:r w:rsidRPr="005D492A">
              <w:rPr>
                <w:rFonts w:cstheme="minorHAnsi"/>
                <w:sz w:val="22"/>
                <w:szCs w:val="22"/>
              </w:rPr>
              <w:tab/>
              <w:t>Au Bureau de zone de l'UIT pour l'Afrique centrale et Madagascar, Yaoundé (Cameroun)</w:t>
            </w:r>
          </w:p>
        </w:tc>
      </w:tr>
      <w:tr w:rsidR="005D492A" w:rsidRPr="005D492A" w14:paraId="06A3F0E7" w14:textId="77777777" w:rsidTr="005D492A">
        <w:trPr>
          <w:cantSplit/>
          <w:trHeight w:val="340"/>
        </w:trPr>
        <w:tc>
          <w:tcPr>
            <w:tcW w:w="1350" w:type="dxa"/>
          </w:tcPr>
          <w:p w14:paraId="5CF43A7B" w14:textId="3933CF6D" w:rsidR="005D492A" w:rsidRPr="005D492A" w:rsidRDefault="005D492A" w:rsidP="005D492A">
            <w:pPr>
              <w:tabs>
                <w:tab w:val="left" w:pos="4111"/>
              </w:tabs>
              <w:spacing w:before="10"/>
              <w:rPr>
                <w:rFonts w:cstheme="minorHAnsi"/>
                <w:sz w:val="22"/>
                <w:szCs w:val="22"/>
              </w:rPr>
            </w:pPr>
            <w:proofErr w:type="gramStart"/>
            <w:r w:rsidRPr="005D492A">
              <w:rPr>
                <w:rFonts w:cstheme="minorHAnsi"/>
                <w:sz w:val="22"/>
                <w:szCs w:val="22"/>
              </w:rPr>
              <w:t>Contact:</w:t>
            </w:r>
            <w:proofErr w:type="gramEnd"/>
          </w:p>
        </w:tc>
        <w:tc>
          <w:tcPr>
            <w:tcW w:w="3350" w:type="dxa"/>
          </w:tcPr>
          <w:p w14:paraId="2074781F" w14:textId="1D48C6DE" w:rsidR="005D492A" w:rsidRPr="005D492A" w:rsidRDefault="005D492A" w:rsidP="005D492A">
            <w:pPr>
              <w:tabs>
                <w:tab w:val="left" w:pos="4111"/>
              </w:tabs>
              <w:spacing w:before="10"/>
              <w:ind w:left="57"/>
              <w:rPr>
                <w:rFonts w:cstheme="minorHAnsi"/>
                <w:b/>
                <w:sz w:val="22"/>
                <w:szCs w:val="22"/>
              </w:rPr>
            </w:pPr>
            <w:r w:rsidRPr="005D492A">
              <w:rPr>
                <w:rFonts w:cstheme="minorHAnsi"/>
                <w:b/>
                <w:sz w:val="22"/>
                <w:szCs w:val="22"/>
              </w:rPr>
              <w:t>Reyna Ubeda</w:t>
            </w:r>
          </w:p>
        </w:tc>
        <w:tc>
          <w:tcPr>
            <w:tcW w:w="5029" w:type="dxa"/>
            <w:vMerge/>
          </w:tcPr>
          <w:p w14:paraId="2F310545" w14:textId="2D7C9189" w:rsidR="005D492A" w:rsidRPr="005D492A" w:rsidRDefault="005D492A" w:rsidP="00BF17A3">
            <w:pPr>
              <w:tabs>
                <w:tab w:val="left" w:pos="4111"/>
              </w:tabs>
              <w:spacing w:before="0"/>
              <w:ind w:left="426" w:hanging="426"/>
              <w:rPr>
                <w:rFonts w:cstheme="minorHAnsi"/>
                <w:sz w:val="22"/>
                <w:szCs w:val="22"/>
              </w:rPr>
            </w:pPr>
          </w:p>
        </w:tc>
      </w:tr>
      <w:tr w:rsidR="005D492A" w:rsidRPr="005D492A" w14:paraId="724FD23E" w14:textId="77777777" w:rsidTr="005D492A">
        <w:trPr>
          <w:cantSplit/>
        </w:trPr>
        <w:tc>
          <w:tcPr>
            <w:tcW w:w="1350" w:type="dxa"/>
          </w:tcPr>
          <w:p w14:paraId="73149CCD" w14:textId="77777777" w:rsidR="005D492A" w:rsidRPr="005D492A" w:rsidRDefault="005D492A" w:rsidP="005D492A">
            <w:pPr>
              <w:tabs>
                <w:tab w:val="left" w:pos="4111"/>
              </w:tabs>
              <w:spacing w:before="10"/>
              <w:rPr>
                <w:rFonts w:cstheme="minorHAnsi"/>
                <w:sz w:val="22"/>
                <w:szCs w:val="22"/>
              </w:rPr>
            </w:pPr>
            <w:proofErr w:type="gramStart"/>
            <w:r w:rsidRPr="005D492A">
              <w:rPr>
                <w:rFonts w:cstheme="minorHAnsi"/>
                <w:sz w:val="22"/>
                <w:szCs w:val="22"/>
              </w:rPr>
              <w:t>Tél.:</w:t>
            </w:r>
            <w:proofErr w:type="gramEnd"/>
          </w:p>
        </w:tc>
        <w:tc>
          <w:tcPr>
            <w:tcW w:w="3350" w:type="dxa"/>
          </w:tcPr>
          <w:p w14:paraId="78D06186" w14:textId="07D91997" w:rsidR="005D492A" w:rsidRPr="005D492A" w:rsidRDefault="005D492A" w:rsidP="005D492A">
            <w:pPr>
              <w:tabs>
                <w:tab w:val="left" w:pos="4111"/>
              </w:tabs>
              <w:spacing w:before="0"/>
              <w:ind w:left="57"/>
              <w:rPr>
                <w:rFonts w:cstheme="minorHAnsi"/>
                <w:sz w:val="22"/>
                <w:szCs w:val="22"/>
              </w:rPr>
            </w:pPr>
            <w:r w:rsidRPr="005D492A">
              <w:rPr>
                <w:rFonts w:cstheme="minorHAnsi"/>
                <w:sz w:val="22"/>
                <w:szCs w:val="22"/>
              </w:rPr>
              <w:t>+41 22 730 5356</w:t>
            </w:r>
          </w:p>
        </w:tc>
        <w:tc>
          <w:tcPr>
            <w:tcW w:w="5029" w:type="dxa"/>
            <w:vMerge/>
          </w:tcPr>
          <w:p w14:paraId="6D3A5806" w14:textId="72EA704C" w:rsidR="005D492A" w:rsidRPr="005D492A" w:rsidRDefault="005D492A" w:rsidP="00BF17A3">
            <w:pPr>
              <w:tabs>
                <w:tab w:val="left" w:pos="4111"/>
              </w:tabs>
              <w:spacing w:before="0"/>
              <w:ind w:left="426" w:hanging="426"/>
              <w:rPr>
                <w:rFonts w:cstheme="minorHAnsi"/>
                <w:b/>
                <w:sz w:val="22"/>
                <w:szCs w:val="22"/>
              </w:rPr>
            </w:pPr>
          </w:p>
        </w:tc>
      </w:tr>
      <w:tr w:rsidR="005D492A" w:rsidRPr="005D492A" w14:paraId="030F9AE5" w14:textId="77777777" w:rsidTr="005D492A">
        <w:trPr>
          <w:cantSplit/>
          <w:trHeight w:val="357"/>
        </w:trPr>
        <w:tc>
          <w:tcPr>
            <w:tcW w:w="1350" w:type="dxa"/>
          </w:tcPr>
          <w:p w14:paraId="7B417C4C" w14:textId="77777777" w:rsidR="005D492A" w:rsidRPr="005D492A" w:rsidRDefault="005D492A" w:rsidP="005D492A">
            <w:pPr>
              <w:tabs>
                <w:tab w:val="left" w:pos="4111"/>
              </w:tabs>
              <w:spacing w:before="10"/>
              <w:rPr>
                <w:rFonts w:cstheme="minorHAnsi"/>
                <w:sz w:val="22"/>
                <w:szCs w:val="22"/>
              </w:rPr>
            </w:pPr>
            <w:proofErr w:type="gramStart"/>
            <w:r w:rsidRPr="005D492A">
              <w:rPr>
                <w:rFonts w:cstheme="minorHAnsi"/>
                <w:sz w:val="22"/>
                <w:szCs w:val="22"/>
              </w:rPr>
              <w:t>Télécopie:</w:t>
            </w:r>
            <w:proofErr w:type="gramEnd"/>
          </w:p>
        </w:tc>
        <w:tc>
          <w:tcPr>
            <w:tcW w:w="3350" w:type="dxa"/>
          </w:tcPr>
          <w:p w14:paraId="1A4A5F7B" w14:textId="77777777" w:rsidR="005D492A" w:rsidRPr="005D492A" w:rsidRDefault="005D492A" w:rsidP="005D492A">
            <w:pPr>
              <w:tabs>
                <w:tab w:val="left" w:pos="4111"/>
              </w:tabs>
              <w:spacing w:before="0"/>
              <w:ind w:left="57"/>
              <w:rPr>
                <w:rFonts w:cstheme="minorHAnsi"/>
                <w:sz w:val="22"/>
                <w:szCs w:val="22"/>
              </w:rPr>
            </w:pPr>
            <w:r w:rsidRPr="005D492A">
              <w:rPr>
                <w:rFonts w:cstheme="minorHAnsi"/>
                <w:sz w:val="22"/>
                <w:szCs w:val="22"/>
              </w:rPr>
              <w:t>+41 22 730 5853</w:t>
            </w:r>
          </w:p>
        </w:tc>
        <w:tc>
          <w:tcPr>
            <w:tcW w:w="5029" w:type="dxa"/>
            <w:vMerge/>
          </w:tcPr>
          <w:p w14:paraId="323DAC81" w14:textId="458C9A36" w:rsidR="005D492A" w:rsidRPr="005D492A" w:rsidRDefault="005D492A" w:rsidP="00BF17A3">
            <w:pPr>
              <w:tabs>
                <w:tab w:val="left" w:pos="4111"/>
              </w:tabs>
              <w:spacing w:before="0"/>
              <w:ind w:left="426" w:hanging="426"/>
              <w:rPr>
                <w:rFonts w:cstheme="minorHAnsi"/>
                <w:b/>
                <w:sz w:val="22"/>
                <w:szCs w:val="22"/>
              </w:rPr>
            </w:pPr>
          </w:p>
        </w:tc>
      </w:tr>
      <w:tr w:rsidR="005D492A" w:rsidRPr="005D492A" w14:paraId="640FB6B9" w14:textId="77777777" w:rsidTr="005D492A">
        <w:trPr>
          <w:cantSplit/>
        </w:trPr>
        <w:tc>
          <w:tcPr>
            <w:tcW w:w="1350" w:type="dxa"/>
          </w:tcPr>
          <w:p w14:paraId="15527369" w14:textId="0865F49A" w:rsidR="005D492A" w:rsidRPr="005D492A" w:rsidRDefault="005D492A" w:rsidP="005D492A">
            <w:pPr>
              <w:tabs>
                <w:tab w:val="left" w:pos="4111"/>
              </w:tabs>
              <w:spacing w:before="10"/>
              <w:rPr>
                <w:rFonts w:cstheme="minorHAnsi"/>
                <w:sz w:val="22"/>
                <w:szCs w:val="22"/>
              </w:rPr>
            </w:pPr>
            <w:proofErr w:type="gramStart"/>
            <w:r w:rsidRPr="005D492A">
              <w:rPr>
                <w:rFonts w:cstheme="minorHAnsi"/>
                <w:sz w:val="22"/>
                <w:szCs w:val="22"/>
              </w:rPr>
              <w:t>Courriel:</w:t>
            </w:r>
            <w:proofErr w:type="gramEnd"/>
          </w:p>
        </w:tc>
        <w:tc>
          <w:tcPr>
            <w:tcW w:w="3350" w:type="dxa"/>
          </w:tcPr>
          <w:p w14:paraId="172249CE" w14:textId="5B7D6AB9" w:rsidR="005D492A" w:rsidRPr="005D492A" w:rsidRDefault="005D492A" w:rsidP="005D492A">
            <w:pPr>
              <w:tabs>
                <w:tab w:val="left" w:pos="4111"/>
              </w:tabs>
              <w:spacing w:before="0"/>
              <w:ind w:left="57"/>
              <w:rPr>
                <w:rFonts w:cstheme="minorHAnsi"/>
                <w:sz w:val="22"/>
                <w:szCs w:val="22"/>
              </w:rPr>
            </w:pPr>
            <w:hyperlink r:id="rId9" w:history="1">
              <w:r w:rsidRPr="005D492A">
                <w:rPr>
                  <w:rStyle w:val="Hyperlink"/>
                  <w:rFonts w:cstheme="minorHAnsi"/>
                  <w:sz w:val="22"/>
                  <w:szCs w:val="22"/>
                </w:rPr>
                <w:t>tsbevents@itu.int</w:t>
              </w:r>
            </w:hyperlink>
          </w:p>
        </w:tc>
        <w:tc>
          <w:tcPr>
            <w:tcW w:w="5029" w:type="dxa"/>
            <w:vMerge/>
          </w:tcPr>
          <w:p w14:paraId="19762254" w14:textId="4A6F63C4" w:rsidR="005D492A" w:rsidRPr="005D492A" w:rsidRDefault="005D492A" w:rsidP="005D492A">
            <w:pPr>
              <w:tabs>
                <w:tab w:val="clear" w:pos="794"/>
                <w:tab w:val="left" w:pos="4111"/>
              </w:tabs>
              <w:spacing w:before="0"/>
              <w:ind w:left="426" w:hanging="426"/>
              <w:rPr>
                <w:rFonts w:cstheme="minorHAnsi"/>
                <w:sz w:val="22"/>
                <w:szCs w:val="22"/>
              </w:rPr>
            </w:pPr>
          </w:p>
        </w:tc>
      </w:tr>
      <w:tr w:rsidR="00517A03" w:rsidRPr="005D492A" w14:paraId="5435C04A" w14:textId="77777777" w:rsidTr="005D492A">
        <w:trPr>
          <w:cantSplit/>
          <w:trHeight w:val="397"/>
        </w:trPr>
        <w:tc>
          <w:tcPr>
            <w:tcW w:w="1350" w:type="dxa"/>
          </w:tcPr>
          <w:p w14:paraId="2A0B9B4F" w14:textId="3D5ED036" w:rsidR="00517A03" w:rsidRPr="005D492A" w:rsidRDefault="00517A03" w:rsidP="005D492A">
            <w:pPr>
              <w:tabs>
                <w:tab w:val="left" w:pos="4111"/>
              </w:tabs>
              <w:rPr>
                <w:rFonts w:cstheme="minorHAnsi"/>
                <w:b/>
                <w:bCs/>
                <w:sz w:val="22"/>
                <w:szCs w:val="22"/>
              </w:rPr>
            </w:pPr>
            <w:proofErr w:type="gramStart"/>
            <w:r w:rsidRPr="005D492A">
              <w:rPr>
                <w:rFonts w:cstheme="minorHAnsi"/>
                <w:b/>
                <w:bCs/>
                <w:sz w:val="22"/>
                <w:szCs w:val="22"/>
              </w:rPr>
              <w:t>Objet:</w:t>
            </w:r>
            <w:proofErr w:type="gramEnd"/>
          </w:p>
        </w:tc>
        <w:tc>
          <w:tcPr>
            <w:tcW w:w="8379" w:type="dxa"/>
            <w:gridSpan w:val="2"/>
          </w:tcPr>
          <w:p w14:paraId="1A51EE75" w14:textId="4D7EDFAA" w:rsidR="00517A03" w:rsidRPr="005D492A" w:rsidRDefault="00284004" w:rsidP="005D492A">
            <w:pPr>
              <w:tabs>
                <w:tab w:val="left" w:pos="4111"/>
              </w:tabs>
              <w:spacing w:after="120"/>
              <w:ind w:left="57"/>
              <w:rPr>
                <w:rFonts w:cstheme="minorHAnsi"/>
                <w:b/>
                <w:bCs/>
                <w:sz w:val="22"/>
                <w:szCs w:val="22"/>
              </w:rPr>
            </w:pPr>
            <w:r w:rsidRPr="005D492A">
              <w:rPr>
                <w:rFonts w:cstheme="minorHAnsi"/>
                <w:b/>
                <w:bCs/>
                <w:sz w:val="22"/>
                <w:szCs w:val="22"/>
              </w:rPr>
              <w:t>16ème Colloque sur les TIC, l'environnement, les changements climatiques et l'économie circulaire (Malabo, République de Guinée équatoriale, 10</w:t>
            </w:r>
            <w:r w:rsidRPr="005D492A">
              <w:rPr>
                <w:rFonts w:cstheme="minorHAnsi"/>
                <w:b/>
                <w:bCs/>
                <w:sz w:val="22"/>
                <w:szCs w:val="22"/>
              </w:rPr>
              <w:noBreakHyphen/>
              <w:t>13 février 2026)</w:t>
            </w:r>
          </w:p>
        </w:tc>
      </w:tr>
    </w:tbl>
    <w:p w14:paraId="2D1EC328" w14:textId="77777777" w:rsidR="00517A03" w:rsidRPr="005D492A" w:rsidRDefault="00517A03" w:rsidP="005D492A">
      <w:pPr>
        <w:spacing w:before="0"/>
        <w:rPr>
          <w:rFonts w:cstheme="minorHAnsi"/>
          <w:sz w:val="22"/>
          <w:szCs w:val="22"/>
        </w:rPr>
      </w:pPr>
      <w:bookmarkStart w:id="1" w:name="StartTyping_F"/>
      <w:bookmarkEnd w:id="1"/>
      <w:r w:rsidRPr="005D492A">
        <w:rPr>
          <w:rFonts w:cstheme="minorHAnsi"/>
          <w:sz w:val="22"/>
          <w:szCs w:val="22"/>
        </w:rPr>
        <w:t>Madame, Monsieur,</w:t>
      </w:r>
    </w:p>
    <w:p w14:paraId="6B8F23F3" w14:textId="43E4FD96" w:rsidR="00284004" w:rsidRPr="005D492A" w:rsidRDefault="00284004" w:rsidP="00284004">
      <w:pPr>
        <w:rPr>
          <w:rFonts w:cstheme="minorHAnsi"/>
          <w:b/>
          <w:bCs/>
          <w:sz w:val="22"/>
          <w:szCs w:val="22"/>
        </w:rPr>
      </w:pPr>
      <w:r w:rsidRPr="005D492A">
        <w:rPr>
          <w:rFonts w:cstheme="minorHAnsi"/>
          <w:bCs/>
          <w:sz w:val="22"/>
          <w:szCs w:val="22"/>
        </w:rPr>
        <w:t>1</w:t>
      </w:r>
      <w:r w:rsidRPr="005D492A">
        <w:rPr>
          <w:rFonts w:cstheme="minorHAnsi"/>
          <w:bCs/>
          <w:sz w:val="22"/>
          <w:szCs w:val="22"/>
        </w:rPr>
        <w:tab/>
        <w:t xml:space="preserve">J'ai l'honneur de vous informer que l'Union internationale des télécommunications (UIT), en collaboration avec le </w:t>
      </w:r>
      <w:proofErr w:type="gramStart"/>
      <w:r w:rsidRPr="005D492A">
        <w:rPr>
          <w:rFonts w:cstheme="minorHAnsi"/>
          <w:bCs/>
          <w:sz w:val="22"/>
          <w:szCs w:val="22"/>
        </w:rPr>
        <w:t>Ministère des transports</w:t>
      </w:r>
      <w:proofErr w:type="gramEnd"/>
      <w:r w:rsidRPr="005D492A">
        <w:rPr>
          <w:rFonts w:cstheme="minorHAnsi"/>
          <w:bCs/>
          <w:sz w:val="22"/>
          <w:szCs w:val="22"/>
        </w:rPr>
        <w:t xml:space="preserve">, des télécommunications et des systèmes d'intelligence artificielle de la République de Guinée équatoriale et d'autres partenaires, organisera le </w:t>
      </w:r>
      <w:r w:rsidRPr="005D492A">
        <w:rPr>
          <w:rFonts w:cstheme="minorHAnsi"/>
          <w:b/>
          <w:bCs/>
          <w:sz w:val="22"/>
          <w:szCs w:val="22"/>
        </w:rPr>
        <w:t>16ème Colloque sur les TIC, l'environnement, les changements climatiques et l'économie circulaire, qui se tiendra du 10 au 13 février 2026 à Malabo (République de Guinée équatoriale).</w:t>
      </w:r>
    </w:p>
    <w:p w14:paraId="6D631E08" w14:textId="421839E4" w:rsidR="00284004" w:rsidRPr="005D492A" w:rsidRDefault="00284004" w:rsidP="00284004">
      <w:pPr>
        <w:rPr>
          <w:rFonts w:cstheme="minorHAnsi"/>
          <w:bCs/>
          <w:sz w:val="22"/>
          <w:szCs w:val="22"/>
        </w:rPr>
      </w:pPr>
      <w:r w:rsidRPr="005D492A">
        <w:rPr>
          <w:rFonts w:cstheme="minorHAnsi"/>
          <w:bCs/>
          <w:sz w:val="22"/>
          <w:szCs w:val="22"/>
        </w:rPr>
        <w:t xml:space="preserve">Ce colloque se tiendra parallèlement à la réunion du </w:t>
      </w:r>
      <w:hyperlink r:id="rId10" w:anchor="/fr" w:history="1">
        <w:r w:rsidRPr="005D492A">
          <w:rPr>
            <w:rStyle w:val="Hyperlink"/>
            <w:rFonts w:cstheme="minorHAnsi"/>
            <w:bCs/>
            <w:sz w:val="22"/>
            <w:szCs w:val="22"/>
          </w:rPr>
          <w:t xml:space="preserve">Groupe régional pour l'Afrique de </w:t>
        </w:r>
        <w:r w:rsidRPr="005D492A">
          <w:rPr>
            <w:rStyle w:val="Hyperlink"/>
            <w:rFonts w:cstheme="minorHAnsi"/>
            <w:bCs/>
            <w:sz w:val="22"/>
            <w:szCs w:val="22"/>
          </w:rPr>
          <w:t>l</w:t>
        </w:r>
        <w:r w:rsidRPr="005D492A">
          <w:rPr>
            <w:rStyle w:val="Hyperlink"/>
            <w:rFonts w:cstheme="minorHAnsi"/>
            <w:bCs/>
            <w:sz w:val="22"/>
            <w:szCs w:val="22"/>
          </w:rPr>
          <w:t>a Commission d'études 5 de l'UIT-T</w:t>
        </w:r>
      </w:hyperlink>
      <w:r w:rsidRPr="005D492A">
        <w:rPr>
          <w:rFonts w:cstheme="minorHAnsi"/>
          <w:bCs/>
          <w:sz w:val="22"/>
          <w:szCs w:val="22"/>
        </w:rPr>
        <w:t>, qui aura lieu du 10 au 13 février 2026.</w:t>
      </w:r>
      <w:hyperlink r:id="rId11" w:history="1"/>
    </w:p>
    <w:p w14:paraId="0E840362" w14:textId="7A7FF291" w:rsidR="00284004" w:rsidRPr="005D492A" w:rsidRDefault="00284004" w:rsidP="00284004">
      <w:pPr>
        <w:rPr>
          <w:rFonts w:cstheme="minorHAnsi"/>
          <w:bCs/>
          <w:sz w:val="22"/>
          <w:szCs w:val="22"/>
        </w:rPr>
      </w:pPr>
      <w:r w:rsidRPr="005D492A">
        <w:rPr>
          <w:rFonts w:cstheme="minorHAnsi"/>
          <w:bCs/>
          <w:sz w:val="22"/>
          <w:szCs w:val="22"/>
        </w:rPr>
        <w:t>2</w:t>
      </w:r>
      <w:r w:rsidRPr="005D492A">
        <w:rPr>
          <w:rFonts w:cstheme="minorHAnsi"/>
          <w:bCs/>
          <w:sz w:val="22"/>
          <w:szCs w:val="22"/>
        </w:rPr>
        <w:tab/>
        <w:t>Cette année, le colloque aura pour thème "</w:t>
      </w:r>
      <w:r w:rsidRPr="005D492A">
        <w:rPr>
          <w:rFonts w:cstheme="minorHAnsi"/>
          <w:bCs/>
          <w:i/>
          <w:iCs/>
          <w:sz w:val="22"/>
          <w:szCs w:val="22"/>
        </w:rPr>
        <w:t>Promouvoir l'utilisation du numérique dans la lutte contre les changements climatiques grâce à des normes relatives à la durabilité environnementale et à l'économie circulaire</w:t>
      </w:r>
      <w:r w:rsidRPr="005D492A">
        <w:rPr>
          <w:rFonts w:cstheme="minorHAnsi"/>
          <w:bCs/>
          <w:sz w:val="22"/>
          <w:szCs w:val="22"/>
        </w:rPr>
        <w:t xml:space="preserve">". </w:t>
      </w:r>
    </w:p>
    <w:p w14:paraId="79827E6C" w14:textId="099E378B" w:rsidR="00284004" w:rsidRPr="005D492A" w:rsidRDefault="00284004" w:rsidP="00284004">
      <w:pPr>
        <w:keepLines/>
        <w:rPr>
          <w:rFonts w:cstheme="minorHAnsi"/>
          <w:bCs/>
          <w:sz w:val="22"/>
          <w:szCs w:val="22"/>
        </w:rPr>
      </w:pPr>
      <w:r w:rsidRPr="005D492A">
        <w:rPr>
          <w:rFonts w:cstheme="minorHAnsi"/>
          <w:bCs/>
          <w:sz w:val="22"/>
          <w:szCs w:val="22"/>
        </w:rPr>
        <w:t>Il est essentiel d'accélérer la transformation numérique en Afrique pour relever les défis environnementaux, climatiques et de santé publique, tout en comblant les lacunes persistantes en matière de connectivité, d'accès à l'énergie, d'accessibilité financière et d'infrastructures. Alors que les technologies numériques, y compris les applications gourmandes en données et énergivores telles que l'intelligence artificielle (IA), continuent de se développer, des solutions fondées sur des normes et adaptées au contexte sont nécessaires pour garantir la durabilité sans aggraver les inégalités existantes.</w:t>
      </w:r>
    </w:p>
    <w:p w14:paraId="1E38DB70" w14:textId="57683F2F" w:rsidR="00284004" w:rsidRPr="005D492A" w:rsidRDefault="00284004" w:rsidP="00284004">
      <w:pPr>
        <w:rPr>
          <w:rFonts w:cstheme="minorHAnsi"/>
          <w:bCs/>
          <w:sz w:val="22"/>
          <w:szCs w:val="22"/>
        </w:rPr>
      </w:pPr>
      <w:r w:rsidRPr="005D492A">
        <w:rPr>
          <w:rFonts w:cstheme="minorHAnsi"/>
          <w:bCs/>
          <w:sz w:val="22"/>
          <w:szCs w:val="22"/>
        </w:rPr>
        <w:t>Les débats porteront principalement sur l'efficacité énergétique, les réseaux et les centres de données durables et leur rôle dans l'appui au développement de l'intelligence artificielle et des services numériques, tout en garantissant une utilisation responsable des ressources énergétiques et hydriques. Il sera également question des systèmes d'information sur les produits numériques (DPIS), y compris les passeports numériques de produits, destinés à favoriser la transparence, la traçabilité et les chaînes de valeur circulaires, et le colloque servira de consultation régionale pour l'Afrique contribuant à l'élaboration d'un cadre mondial des DPIS.</w:t>
      </w:r>
    </w:p>
    <w:p w14:paraId="0647283D" w14:textId="74A226FC" w:rsidR="00284004" w:rsidRPr="005D492A" w:rsidRDefault="00284004" w:rsidP="00284004">
      <w:pPr>
        <w:rPr>
          <w:rFonts w:cstheme="minorHAnsi"/>
          <w:bCs/>
          <w:sz w:val="22"/>
          <w:szCs w:val="22"/>
        </w:rPr>
      </w:pPr>
      <w:r w:rsidRPr="005D492A">
        <w:rPr>
          <w:rFonts w:cstheme="minorHAnsi"/>
          <w:bCs/>
          <w:sz w:val="22"/>
          <w:szCs w:val="22"/>
        </w:rPr>
        <w:t>Le Colloque contribuera à l'initiative plus large de l'Action du secteur du numérique pour l'environnement et mettra en lumière les principaux résultats de la COP30, de l'ANUE-7 et d'autres processus dignes d'intérêt au niveau mondial, où les solutions numériques fondées sur des normes sont essentielles pour atteindre les objectifs en matière de climat et de durabilité à l'échelle de la planète.</w:t>
      </w:r>
    </w:p>
    <w:p w14:paraId="72DF69C0" w14:textId="70E49E99" w:rsidR="00284004" w:rsidRPr="005D492A" w:rsidRDefault="00284004" w:rsidP="00284004">
      <w:pPr>
        <w:rPr>
          <w:rFonts w:cstheme="minorHAnsi"/>
          <w:bCs/>
          <w:sz w:val="22"/>
          <w:szCs w:val="22"/>
        </w:rPr>
      </w:pPr>
      <w:r w:rsidRPr="005D492A">
        <w:rPr>
          <w:rFonts w:cstheme="minorHAnsi"/>
          <w:bCs/>
          <w:sz w:val="22"/>
          <w:szCs w:val="22"/>
        </w:rPr>
        <w:lastRenderedPageBreak/>
        <w:t>3</w:t>
      </w:r>
      <w:r w:rsidRPr="005D492A">
        <w:rPr>
          <w:rFonts w:cstheme="minorHAnsi"/>
          <w:bCs/>
          <w:sz w:val="22"/>
          <w:szCs w:val="22"/>
        </w:rPr>
        <w:tab/>
        <w:t>Cette manifestation comprendra des séances sur la réduction de l'écart en matière de normalisation, qui constitueront un volet de formation pratique visant à renforcer les capacités régionales, à accroître la participation à la normalisation internationale et à appuyer la mise en œuvre des Recommandations de l'UIT-T sur la lutte contre les changements climatiques, l'économie circulaire, la sécurité relative aux champs électromagnétiques et les technologies émergentes.</w:t>
      </w:r>
    </w:p>
    <w:p w14:paraId="7FE8D06D" w14:textId="77777777" w:rsidR="00284004" w:rsidRPr="005D492A" w:rsidRDefault="00284004" w:rsidP="00284004">
      <w:pPr>
        <w:rPr>
          <w:rFonts w:cstheme="minorHAnsi"/>
          <w:bCs/>
          <w:sz w:val="22"/>
          <w:szCs w:val="22"/>
        </w:rPr>
      </w:pPr>
      <w:r w:rsidRPr="005D492A">
        <w:rPr>
          <w:rFonts w:cstheme="minorHAnsi"/>
          <w:bCs/>
          <w:sz w:val="22"/>
          <w:szCs w:val="22"/>
        </w:rPr>
        <w:t>4</w:t>
      </w:r>
      <w:r w:rsidRPr="005D492A">
        <w:rPr>
          <w:rFonts w:cstheme="minorHAnsi"/>
          <w:bCs/>
          <w:sz w:val="22"/>
          <w:szCs w:val="22"/>
        </w:rPr>
        <w:tab/>
        <w:t xml:space="preserve">Le colloque aura pour objet </w:t>
      </w:r>
      <w:proofErr w:type="gramStart"/>
      <w:r w:rsidRPr="005D492A">
        <w:rPr>
          <w:rFonts w:cstheme="minorHAnsi"/>
          <w:bCs/>
          <w:sz w:val="22"/>
          <w:szCs w:val="22"/>
        </w:rPr>
        <w:t>de:</w:t>
      </w:r>
      <w:proofErr w:type="gramEnd"/>
    </w:p>
    <w:p w14:paraId="2190D22C" w14:textId="040E8503" w:rsidR="00284004" w:rsidRPr="005D492A" w:rsidRDefault="00284004" w:rsidP="00284004">
      <w:pPr>
        <w:pStyle w:val="enumlev1"/>
        <w:rPr>
          <w:rFonts w:cstheme="minorHAnsi"/>
          <w:sz w:val="22"/>
          <w:szCs w:val="22"/>
        </w:rPr>
      </w:pPr>
      <w:r w:rsidRPr="005D492A">
        <w:rPr>
          <w:rFonts w:cstheme="minorHAnsi"/>
          <w:bCs/>
          <w:sz w:val="22"/>
          <w:szCs w:val="22"/>
        </w:rPr>
        <w:t>–</w:t>
      </w:r>
      <w:r w:rsidRPr="005D492A">
        <w:rPr>
          <w:rFonts w:cstheme="minorHAnsi"/>
          <w:bCs/>
          <w:sz w:val="22"/>
          <w:szCs w:val="22"/>
        </w:rPr>
        <w:tab/>
      </w:r>
      <w:r w:rsidRPr="005D492A">
        <w:rPr>
          <w:rFonts w:cstheme="minorHAnsi"/>
          <w:b/>
          <w:sz w:val="22"/>
          <w:szCs w:val="22"/>
        </w:rPr>
        <w:t>Mettre en évidence l'empreinte environnementale et le rôle de catalyseur des technologies numériques</w:t>
      </w:r>
      <w:r w:rsidRPr="005D492A">
        <w:rPr>
          <w:rFonts w:cstheme="minorHAnsi"/>
          <w:sz w:val="22"/>
          <w:szCs w:val="22"/>
        </w:rPr>
        <w:t>, y compris l'IA et les centres de données, en encourageant des méthodes fondées sur des normes qui favorisent l'atténuation des effets des changements climatiques, l'adaptation à ces changements, la protection de la biodiversité et le développement numérique durable dans des contextes où la connectivité et l'énergie sont limitées.</w:t>
      </w:r>
    </w:p>
    <w:p w14:paraId="4BDB9D1A" w14:textId="7EA3C556" w:rsidR="00284004" w:rsidRPr="005D492A" w:rsidRDefault="00284004" w:rsidP="00284004">
      <w:pPr>
        <w:pStyle w:val="enumlev1"/>
        <w:rPr>
          <w:rFonts w:cstheme="minorHAnsi"/>
          <w:sz w:val="22"/>
          <w:szCs w:val="22"/>
        </w:rPr>
      </w:pPr>
      <w:r w:rsidRPr="005D492A">
        <w:rPr>
          <w:rFonts w:cstheme="minorHAnsi"/>
          <w:bCs/>
          <w:sz w:val="22"/>
          <w:szCs w:val="22"/>
        </w:rPr>
        <w:t>–</w:t>
      </w:r>
      <w:r w:rsidRPr="005D492A">
        <w:rPr>
          <w:rFonts w:cstheme="minorHAnsi"/>
          <w:bCs/>
          <w:sz w:val="22"/>
          <w:szCs w:val="22"/>
        </w:rPr>
        <w:tab/>
      </w:r>
      <w:r w:rsidRPr="005D492A">
        <w:rPr>
          <w:rFonts w:cstheme="minorHAnsi"/>
          <w:b/>
          <w:sz w:val="22"/>
          <w:szCs w:val="22"/>
        </w:rPr>
        <w:t>Promouvoir des infrastructures numériques économes en énergie et durables</w:t>
      </w:r>
      <w:r w:rsidRPr="005D492A">
        <w:rPr>
          <w:rFonts w:cstheme="minorHAnsi"/>
          <w:sz w:val="22"/>
          <w:szCs w:val="22"/>
        </w:rPr>
        <w:t>, y compris des réseaux et des centres de données, pour soutenir la croissance numérique tout en améliorant la résilience, l'accessibilité financière et l'utilisation responsable des ressources</w:t>
      </w:r>
      <w:r w:rsidR="004D602A" w:rsidRPr="005D492A">
        <w:rPr>
          <w:rFonts w:cstheme="minorHAnsi"/>
          <w:sz w:val="22"/>
          <w:szCs w:val="22"/>
        </w:rPr>
        <w:t>.</w:t>
      </w:r>
    </w:p>
    <w:p w14:paraId="4326D459" w14:textId="4A03C1C2" w:rsidR="00284004" w:rsidRPr="005D492A" w:rsidRDefault="00284004" w:rsidP="00284004">
      <w:pPr>
        <w:pStyle w:val="enumlev1"/>
        <w:rPr>
          <w:rFonts w:cstheme="minorHAnsi"/>
          <w:sz w:val="22"/>
          <w:szCs w:val="22"/>
        </w:rPr>
      </w:pPr>
      <w:r w:rsidRPr="005D492A">
        <w:rPr>
          <w:rFonts w:cstheme="minorHAnsi"/>
          <w:bCs/>
          <w:sz w:val="22"/>
          <w:szCs w:val="22"/>
        </w:rPr>
        <w:t>–</w:t>
      </w:r>
      <w:r w:rsidRPr="005D492A">
        <w:rPr>
          <w:rFonts w:cstheme="minorHAnsi"/>
          <w:bCs/>
          <w:sz w:val="22"/>
          <w:szCs w:val="22"/>
        </w:rPr>
        <w:tab/>
      </w:r>
      <w:r w:rsidRPr="005D492A">
        <w:rPr>
          <w:rFonts w:cstheme="minorHAnsi"/>
          <w:b/>
          <w:sz w:val="22"/>
          <w:szCs w:val="22"/>
        </w:rPr>
        <w:t xml:space="preserve">Favoriser l'économie circulaire et la transparence </w:t>
      </w:r>
      <w:r w:rsidRPr="005D492A">
        <w:rPr>
          <w:rFonts w:cstheme="minorHAnsi"/>
          <w:sz w:val="22"/>
          <w:szCs w:val="22"/>
        </w:rPr>
        <w:t xml:space="preserve">grâce à des discussions sur les </w:t>
      </w:r>
      <w:r w:rsidRPr="005D492A">
        <w:rPr>
          <w:rFonts w:cstheme="minorHAnsi"/>
          <w:i/>
          <w:iCs/>
          <w:sz w:val="22"/>
          <w:szCs w:val="22"/>
        </w:rPr>
        <w:t>systèmes d'information sur les produits numériques (DPIS)</w:t>
      </w:r>
      <w:r w:rsidRPr="005D492A">
        <w:rPr>
          <w:rFonts w:cstheme="minorHAnsi"/>
          <w:sz w:val="22"/>
          <w:szCs w:val="22"/>
        </w:rPr>
        <w:t>, y compris les passeports numériques de produits, la gestion des déchets d'équipements électriques et électroniques et les normes de consommation et de production durables.</w:t>
      </w:r>
    </w:p>
    <w:p w14:paraId="43AD355F" w14:textId="0D2D1B01" w:rsidR="00284004" w:rsidRPr="005D492A" w:rsidRDefault="00284004" w:rsidP="00284004">
      <w:pPr>
        <w:pStyle w:val="enumlev1"/>
        <w:rPr>
          <w:rFonts w:cstheme="minorHAnsi"/>
          <w:sz w:val="22"/>
          <w:szCs w:val="22"/>
        </w:rPr>
      </w:pPr>
      <w:r w:rsidRPr="005D492A">
        <w:rPr>
          <w:rFonts w:cstheme="minorHAnsi"/>
          <w:bCs/>
          <w:sz w:val="22"/>
          <w:szCs w:val="22"/>
        </w:rPr>
        <w:t>–</w:t>
      </w:r>
      <w:r w:rsidRPr="005D492A">
        <w:rPr>
          <w:rFonts w:cstheme="minorHAnsi"/>
          <w:bCs/>
          <w:sz w:val="22"/>
          <w:szCs w:val="22"/>
        </w:rPr>
        <w:tab/>
      </w:r>
      <w:r w:rsidRPr="005D492A">
        <w:rPr>
          <w:rFonts w:cstheme="minorHAnsi"/>
          <w:b/>
          <w:sz w:val="22"/>
          <w:szCs w:val="22"/>
        </w:rPr>
        <w:t xml:space="preserve">Renforcer les capacités et l'engagement au niveau régional en matière de normalisation internationale </w:t>
      </w:r>
      <w:r w:rsidRPr="005D492A">
        <w:rPr>
          <w:rFonts w:cstheme="minorHAnsi"/>
          <w:sz w:val="22"/>
          <w:szCs w:val="22"/>
        </w:rPr>
        <w:t xml:space="preserve">grâce à la formation et au dialogue sur la </w:t>
      </w:r>
      <w:r w:rsidRPr="005D492A">
        <w:rPr>
          <w:rFonts w:cstheme="minorHAnsi"/>
          <w:i/>
          <w:iCs/>
          <w:sz w:val="22"/>
          <w:szCs w:val="22"/>
        </w:rPr>
        <w:t>réduction de l'écart en matière de normalisation</w:t>
      </w:r>
      <w:r w:rsidRPr="005D492A">
        <w:rPr>
          <w:rFonts w:cstheme="minorHAnsi"/>
          <w:sz w:val="22"/>
          <w:szCs w:val="22"/>
        </w:rPr>
        <w:t>, afin de soutenir la participation efficace et favoriser la mise en œuvre des Recommandations UIT-T dans toute l'Afrique.</w:t>
      </w:r>
    </w:p>
    <w:p w14:paraId="66E54B96" w14:textId="77777777" w:rsidR="00284004" w:rsidRPr="005D492A" w:rsidRDefault="00284004" w:rsidP="00284004">
      <w:pPr>
        <w:keepLines/>
        <w:rPr>
          <w:rFonts w:cstheme="minorHAnsi"/>
          <w:bCs/>
          <w:sz w:val="22"/>
          <w:szCs w:val="22"/>
        </w:rPr>
      </w:pPr>
      <w:r w:rsidRPr="005D492A">
        <w:rPr>
          <w:rFonts w:cstheme="minorHAnsi"/>
          <w:bCs/>
          <w:sz w:val="22"/>
          <w:szCs w:val="22"/>
        </w:rPr>
        <w:t>5</w:t>
      </w:r>
      <w:r w:rsidRPr="005D492A">
        <w:rPr>
          <w:rFonts w:cstheme="minorHAnsi"/>
          <w:bCs/>
          <w:sz w:val="22"/>
          <w:szCs w:val="22"/>
        </w:rPr>
        <w:tab/>
        <w:t xml:space="preserve">La participation au colloque est ouverte aux États Membres, aux Membres de Secteur, aux Associés de l'UIT, aux établissements universitaires participant aux travaux de l'UIT, ainsi qu'à toute personne issue d'un pays Membre de l'UIT qui souhaite contribuer aux travaux. Il peut s'agir de personnes qui sont aussi membres d'organisations internationales, régionales ou nationales. La participation est gratuite. </w:t>
      </w:r>
    </w:p>
    <w:p w14:paraId="05919DAD" w14:textId="1C051C73" w:rsidR="00284004" w:rsidRPr="005D492A" w:rsidRDefault="00284004" w:rsidP="00284004">
      <w:pPr>
        <w:rPr>
          <w:rFonts w:cstheme="minorHAnsi"/>
          <w:bCs/>
          <w:sz w:val="22"/>
          <w:szCs w:val="22"/>
        </w:rPr>
      </w:pPr>
      <w:r w:rsidRPr="005D492A">
        <w:rPr>
          <w:rFonts w:cstheme="minorHAnsi"/>
          <w:bCs/>
          <w:sz w:val="22"/>
          <w:szCs w:val="22"/>
        </w:rPr>
        <w:t>6</w:t>
      </w:r>
      <w:r w:rsidRPr="005D492A">
        <w:rPr>
          <w:rFonts w:cstheme="minorHAnsi"/>
          <w:bCs/>
          <w:sz w:val="22"/>
          <w:szCs w:val="22"/>
        </w:rPr>
        <w:tab/>
        <w:t xml:space="preserve">Tous les renseignements utiles concernant cette manifestation (le projet de programme, la liste des intervenants, le lien pour les inscriptions) seront publiés sur le site web y afférent, à l'adresse </w:t>
      </w:r>
      <w:hyperlink r:id="rId12" w:anchor="/fr" w:history="1">
        <w:r w:rsidRPr="005D492A">
          <w:rPr>
            <w:rStyle w:val="Hyperlink"/>
            <w:rFonts w:cstheme="minorHAnsi"/>
            <w:bCs/>
            <w:sz w:val="22"/>
            <w:szCs w:val="22"/>
          </w:rPr>
          <w:t>https://www.itu.int/e</w:t>
        </w:r>
        <w:r w:rsidRPr="005D492A">
          <w:rPr>
            <w:rStyle w:val="Hyperlink"/>
            <w:rFonts w:cstheme="minorHAnsi"/>
            <w:bCs/>
            <w:sz w:val="22"/>
            <w:szCs w:val="22"/>
          </w:rPr>
          <w:t>n</w:t>
        </w:r>
        <w:r w:rsidRPr="005D492A">
          <w:rPr>
            <w:rStyle w:val="Hyperlink"/>
            <w:rFonts w:cstheme="minorHAnsi"/>
            <w:bCs/>
            <w:sz w:val="22"/>
            <w:szCs w:val="22"/>
          </w:rPr>
          <w:t>/ITU-T/climatechange/symposia/202642/Pages/default.aspx</w:t>
        </w:r>
      </w:hyperlink>
      <w:r w:rsidRPr="005D492A">
        <w:rPr>
          <w:rFonts w:cstheme="minorHAnsi"/>
          <w:bCs/>
          <w:sz w:val="22"/>
          <w:szCs w:val="22"/>
        </w:rPr>
        <w:t>. Ce site web sera mis à jour à mesure que parviendront des informations nouvelles ou actualisées. Les participants sont priés de consulter régulièrement le site pour prendre connaissance des informations les plus récentes.</w:t>
      </w:r>
      <w:hyperlink r:id="rId13" w:history="1"/>
    </w:p>
    <w:p w14:paraId="3E5AA3B4" w14:textId="0F8252E0" w:rsidR="00284004" w:rsidRPr="005D492A" w:rsidRDefault="00284004" w:rsidP="00284004">
      <w:pPr>
        <w:rPr>
          <w:rFonts w:cstheme="minorHAnsi"/>
          <w:bCs/>
          <w:sz w:val="22"/>
          <w:szCs w:val="22"/>
        </w:rPr>
      </w:pPr>
      <w:r w:rsidRPr="005D492A">
        <w:rPr>
          <w:rFonts w:cstheme="minorHAnsi"/>
          <w:bCs/>
          <w:sz w:val="22"/>
          <w:szCs w:val="22"/>
        </w:rPr>
        <w:t>7</w:t>
      </w:r>
      <w:r w:rsidRPr="005D492A">
        <w:rPr>
          <w:rFonts w:cstheme="minorHAnsi"/>
          <w:bCs/>
          <w:sz w:val="22"/>
          <w:szCs w:val="22"/>
        </w:rPr>
        <w:tab/>
        <w:t xml:space="preserve">Veuillez noter que l'inscription est </w:t>
      </w:r>
      <w:r w:rsidRPr="005D492A">
        <w:rPr>
          <w:rFonts w:cstheme="minorHAnsi"/>
          <w:b/>
          <w:bCs/>
          <w:sz w:val="22"/>
          <w:szCs w:val="22"/>
        </w:rPr>
        <w:t xml:space="preserve">obligatoire </w:t>
      </w:r>
      <w:r w:rsidRPr="005D492A">
        <w:rPr>
          <w:rFonts w:cstheme="minorHAnsi"/>
          <w:bCs/>
          <w:sz w:val="22"/>
          <w:szCs w:val="22"/>
        </w:rPr>
        <w:t xml:space="preserve">pour pouvoir participer. Afin de permettre au TSB de prendre les dispositions nécessaires concernant l'organisation du colloque, nous vous saurions gré de bien vouloir vous inscrire à l'adresse </w:t>
      </w:r>
      <w:hyperlink r:id="rId14" w:history="1">
        <w:r w:rsidRPr="005D492A">
          <w:rPr>
            <w:rStyle w:val="Hyperlink"/>
            <w:rFonts w:cstheme="minorHAnsi"/>
            <w:bCs/>
            <w:sz w:val="22"/>
            <w:szCs w:val="22"/>
          </w:rPr>
          <w:t>https://www.itu.int/net4/CRM/xreg/web/Registration.aspx?Event=C-00</w:t>
        </w:r>
        <w:r w:rsidRPr="005D492A">
          <w:rPr>
            <w:rStyle w:val="Hyperlink"/>
            <w:rFonts w:cstheme="minorHAnsi"/>
            <w:bCs/>
            <w:sz w:val="22"/>
            <w:szCs w:val="22"/>
          </w:rPr>
          <w:t>0</w:t>
        </w:r>
        <w:r w:rsidRPr="005D492A">
          <w:rPr>
            <w:rStyle w:val="Hyperlink"/>
            <w:rFonts w:cstheme="minorHAnsi"/>
            <w:bCs/>
            <w:sz w:val="22"/>
            <w:szCs w:val="22"/>
          </w:rPr>
          <w:t>16099</w:t>
        </w:r>
      </w:hyperlink>
      <w:r w:rsidRPr="005D492A">
        <w:rPr>
          <w:rFonts w:cstheme="minorHAnsi"/>
          <w:bCs/>
          <w:sz w:val="22"/>
          <w:szCs w:val="22"/>
        </w:rPr>
        <w:t xml:space="preserve"> dès que possible, d'ici au </w:t>
      </w:r>
      <w:r w:rsidRPr="005D492A">
        <w:rPr>
          <w:rFonts w:cstheme="minorHAnsi"/>
          <w:b/>
          <w:bCs/>
          <w:sz w:val="22"/>
          <w:szCs w:val="22"/>
        </w:rPr>
        <w:t>6 février 2026</w:t>
      </w:r>
      <w:r w:rsidRPr="005D492A">
        <w:rPr>
          <w:rFonts w:cstheme="minorHAnsi"/>
          <w:bCs/>
          <w:sz w:val="22"/>
          <w:szCs w:val="22"/>
        </w:rPr>
        <w:t>. Veuillez noter que l'</w:t>
      </w:r>
      <w:r w:rsidRPr="005D492A">
        <w:rPr>
          <w:rFonts w:cstheme="minorHAnsi"/>
          <w:b/>
          <w:bCs/>
          <w:sz w:val="22"/>
          <w:szCs w:val="22"/>
        </w:rPr>
        <w:t>inscription préalable des participants au colloque est obligatoire</w:t>
      </w:r>
      <w:r w:rsidRPr="005D492A">
        <w:rPr>
          <w:rFonts w:cstheme="minorHAnsi"/>
          <w:bCs/>
          <w:sz w:val="22"/>
          <w:szCs w:val="22"/>
        </w:rPr>
        <w:t xml:space="preserve"> et se fait exclusivement en ligne.</w:t>
      </w:r>
      <w:hyperlink r:id="rId15" w:history="1"/>
    </w:p>
    <w:p w14:paraId="36471086" w14:textId="77777777" w:rsidR="00284004" w:rsidRPr="005D492A" w:rsidRDefault="00284004" w:rsidP="00284004">
      <w:pPr>
        <w:rPr>
          <w:rFonts w:cstheme="minorHAnsi"/>
          <w:bCs/>
          <w:sz w:val="22"/>
          <w:szCs w:val="22"/>
        </w:rPr>
      </w:pPr>
      <w:r w:rsidRPr="005D492A">
        <w:rPr>
          <w:rFonts w:cstheme="minorHAnsi"/>
          <w:bCs/>
          <w:sz w:val="22"/>
          <w:szCs w:val="22"/>
        </w:rPr>
        <w:t>8</w:t>
      </w:r>
      <w:r w:rsidRPr="005D492A">
        <w:rPr>
          <w:rFonts w:cstheme="minorHAnsi"/>
          <w:bCs/>
          <w:sz w:val="22"/>
          <w:szCs w:val="22"/>
        </w:rPr>
        <w:tab/>
        <w:t>Nous tenons à vous rappeler que pour les ressortissants de certains pays, l'entrée et le séjour, quelle qu'en soit la durée, sur le territoire de la République de Guinée équatoriale sont soumis à l'obtention d'un visa. Ce visa doit être obtenu auprès de la représentation de la République de Guinée équatoriale (ambassade ou consulat) dans votre pays ou, à défaut, dans le pays le plus proche de votre pays de départ. Étant donné que le traitement des demandes de visa et la délivrance des visas peuvent prendre un certain temps, nous vous conseillons de vous renseigner directement auprès de la représentation concernée et de formuler votre demande au plus tôt.</w:t>
      </w:r>
      <w:bookmarkStart w:id="2" w:name="_Int_4QcYIpaL"/>
      <w:bookmarkEnd w:id="2"/>
    </w:p>
    <w:p w14:paraId="6A4CD67F" w14:textId="27D522A8" w:rsidR="00307FB4" w:rsidRPr="005D492A" w:rsidRDefault="00284004" w:rsidP="00284004">
      <w:pPr>
        <w:rPr>
          <w:rFonts w:cstheme="minorHAnsi"/>
          <w:bCs/>
          <w:sz w:val="22"/>
          <w:szCs w:val="22"/>
        </w:rPr>
      </w:pPr>
      <w:r w:rsidRPr="005D492A">
        <w:rPr>
          <w:rFonts w:cstheme="minorHAnsi"/>
          <w:bCs/>
          <w:sz w:val="22"/>
          <w:szCs w:val="22"/>
        </w:rPr>
        <w:t>Veuillez agréer, Madame, Monsieur, l'assurance de ma haute considération.</w:t>
      </w:r>
    </w:p>
    <w:p w14:paraId="558FB742" w14:textId="2F6FCAE2" w:rsidR="002937DB" w:rsidRPr="005D492A" w:rsidRDefault="00B05B2B" w:rsidP="005D492A">
      <w:pPr>
        <w:spacing w:before="720"/>
        <w:rPr>
          <w:rFonts w:cstheme="minorHAnsi"/>
          <w:bCs/>
          <w:sz w:val="22"/>
          <w:szCs w:val="22"/>
        </w:rPr>
      </w:pPr>
      <w:r>
        <w:rPr>
          <w:rFonts w:cstheme="minorHAnsi"/>
          <w:bCs/>
          <w:noProof/>
          <w:sz w:val="22"/>
          <w:szCs w:val="22"/>
        </w:rPr>
        <w:drawing>
          <wp:anchor distT="0" distB="0" distL="114300" distR="114300" simplePos="0" relativeHeight="251658240" behindDoc="1" locked="0" layoutInCell="1" allowOverlap="1" wp14:anchorId="5747E6CC" wp14:editId="6EC70B8D">
            <wp:simplePos x="0" y="0"/>
            <wp:positionH relativeFrom="margin">
              <wp:align>left</wp:align>
            </wp:positionH>
            <wp:positionV relativeFrom="paragraph">
              <wp:posOffset>31750</wp:posOffset>
            </wp:positionV>
            <wp:extent cx="692150" cy="330200"/>
            <wp:effectExtent l="0" t="0" r="0" b="0"/>
            <wp:wrapNone/>
            <wp:docPr id="435369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369729" name="Picture 435369729"/>
                    <pic:cNvPicPr/>
                  </pic:nvPicPr>
                  <pic:blipFill>
                    <a:blip r:embed="rId16">
                      <a:extLst>
                        <a:ext uri="{28A0092B-C50C-407E-A947-70E740481C1C}">
                          <a14:useLocalDpi xmlns:a14="http://schemas.microsoft.com/office/drawing/2010/main" val="0"/>
                        </a:ext>
                      </a:extLst>
                    </a:blip>
                    <a:stretch>
                      <a:fillRect/>
                    </a:stretch>
                  </pic:blipFill>
                  <pic:spPr>
                    <a:xfrm>
                      <a:off x="0" y="0"/>
                      <a:ext cx="692150" cy="330200"/>
                    </a:xfrm>
                    <a:prstGeom prst="rect">
                      <a:avLst/>
                    </a:prstGeom>
                  </pic:spPr>
                </pic:pic>
              </a:graphicData>
            </a:graphic>
          </wp:anchor>
        </w:drawing>
      </w:r>
      <w:r w:rsidR="00307FB4" w:rsidRPr="005D492A">
        <w:rPr>
          <w:rFonts w:cstheme="minorHAnsi"/>
          <w:bCs/>
          <w:sz w:val="22"/>
          <w:szCs w:val="22"/>
        </w:rPr>
        <w:t>Seizo Onoe</w:t>
      </w:r>
      <w:r w:rsidR="00B60868" w:rsidRPr="005D492A">
        <w:rPr>
          <w:rFonts w:cstheme="minorHAnsi"/>
          <w:bCs/>
          <w:sz w:val="22"/>
          <w:szCs w:val="22"/>
        </w:rPr>
        <w:br/>
      </w:r>
      <w:r w:rsidR="00307FB4" w:rsidRPr="005D492A">
        <w:rPr>
          <w:rFonts w:cstheme="minorHAnsi"/>
          <w:bCs/>
          <w:sz w:val="22"/>
          <w:szCs w:val="22"/>
        </w:rPr>
        <w:t>Directeur du Bureau de la normalisation</w:t>
      </w:r>
      <w:r w:rsidR="00B60868" w:rsidRPr="005D492A">
        <w:rPr>
          <w:rFonts w:cstheme="minorHAnsi"/>
          <w:bCs/>
          <w:sz w:val="22"/>
          <w:szCs w:val="22"/>
        </w:rPr>
        <w:br/>
      </w:r>
      <w:r w:rsidR="00307FB4" w:rsidRPr="005D492A">
        <w:rPr>
          <w:rFonts w:cstheme="minorHAnsi"/>
          <w:bCs/>
          <w:sz w:val="22"/>
          <w:szCs w:val="22"/>
        </w:rPr>
        <w:t>des télécommunications</w:t>
      </w:r>
    </w:p>
    <w:sectPr w:rsidR="002937DB" w:rsidRPr="005D492A" w:rsidSect="005D492A">
      <w:headerReference w:type="default" r:id="rId17"/>
      <w:footerReference w:type="first" r:id="rId18"/>
      <w:pgSz w:w="11907" w:h="16840" w:code="9"/>
      <w:pgMar w:top="1134" w:right="1089" w:bottom="990"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2FEFF" w14:textId="77777777" w:rsidR="00AF76E9" w:rsidRDefault="00AF76E9">
      <w:r>
        <w:separator/>
      </w:r>
    </w:p>
  </w:endnote>
  <w:endnote w:type="continuationSeparator" w:id="0">
    <w:p w14:paraId="6B7EAE2A" w14:textId="77777777" w:rsidR="00AF76E9" w:rsidRDefault="00AF7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A9C5" w14:textId="77777777"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r>
    <w:proofErr w:type="gramStart"/>
    <w:r w:rsidRPr="003E66AD">
      <w:rPr>
        <w:color w:val="0070C0"/>
        <w:sz w:val="18"/>
        <w:szCs w:val="18"/>
        <w:lang w:val="fr-CH"/>
      </w:rPr>
      <w:t>Tél</w:t>
    </w:r>
    <w:r w:rsidR="00085F5A" w:rsidRPr="003E66AD">
      <w:rPr>
        <w:color w:val="0070C0"/>
        <w:sz w:val="18"/>
        <w:szCs w:val="18"/>
        <w:lang w:val="fr-CH"/>
      </w:rPr>
      <w:t>.</w:t>
    </w:r>
    <w:r w:rsidRPr="003E66AD">
      <w:rPr>
        <w:color w:val="0070C0"/>
        <w:sz w:val="18"/>
        <w:szCs w:val="18"/>
        <w:lang w:val="fr-CH"/>
      </w:rPr>
      <w:t>:</w:t>
    </w:r>
    <w:proofErr w:type="gramEnd"/>
    <w:r w:rsidRPr="003E66AD">
      <w:rPr>
        <w:color w:val="0070C0"/>
        <w:sz w:val="18"/>
        <w:szCs w:val="18"/>
        <w:lang w:val="fr-CH"/>
      </w:rPr>
      <w:t xml:space="preserve"> +41 22 730 5111 • </w:t>
    </w:r>
    <w:proofErr w:type="gramStart"/>
    <w:r w:rsidRPr="003E66AD">
      <w:rPr>
        <w:color w:val="0070C0"/>
        <w:sz w:val="18"/>
        <w:szCs w:val="18"/>
        <w:lang w:val="fr-CH"/>
      </w:rPr>
      <w:t>Fax:</w:t>
    </w:r>
    <w:proofErr w:type="gramEnd"/>
    <w:r w:rsidRPr="003E66AD">
      <w:rPr>
        <w:color w:val="0070C0"/>
        <w:sz w:val="18"/>
        <w:szCs w:val="18"/>
        <w:lang w:val="fr-CH"/>
      </w:rPr>
      <w:t xml:space="preserve"> +41 22 733 7256 • </w:t>
    </w:r>
    <w:proofErr w:type="gramStart"/>
    <w:r w:rsidR="00085F5A" w:rsidRPr="003E66AD">
      <w:rPr>
        <w:color w:val="0070C0"/>
        <w:sz w:val="18"/>
        <w:szCs w:val="18"/>
        <w:lang w:val="fr-CH"/>
      </w:rPr>
      <w:t>Courriel</w:t>
    </w:r>
    <w:r w:rsidRPr="003E66AD">
      <w:rPr>
        <w:color w:val="0070C0"/>
        <w:sz w:val="18"/>
        <w:szCs w:val="18"/>
        <w:lang w:val="fr-CH"/>
      </w:rPr>
      <w:t>:</w:t>
    </w:r>
    <w:proofErr w:type="gramEnd"/>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r w:rsidRPr="003E66AD">
      <w:rPr>
        <w:color w:val="0070C0"/>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D96C4" w14:textId="77777777" w:rsidR="00AF76E9" w:rsidRDefault="00AF76E9">
      <w:r>
        <w:t>____________________</w:t>
      </w:r>
    </w:p>
  </w:footnote>
  <w:footnote w:type="continuationSeparator" w:id="0">
    <w:p w14:paraId="0D8434E3" w14:textId="77777777" w:rsidR="00AF76E9" w:rsidRDefault="00AF7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5492" w14:textId="676E6D20" w:rsidR="00697BC1" w:rsidRPr="00697BC1" w:rsidRDefault="00BD16AC" w:rsidP="00697BC1">
    <w:pPr>
      <w:pStyle w:val="Header"/>
      <w:rPr>
        <w:sz w:val="18"/>
        <w:szCs w:val="16"/>
      </w:rPr>
    </w:pPr>
    <w:r>
      <w:rPr>
        <w:sz w:val="18"/>
        <w:szCs w:val="16"/>
      </w:rPr>
      <w:t xml:space="preserve">- </w:t>
    </w:r>
    <w:sdt>
      <w:sdtPr>
        <w:rPr>
          <w:sz w:val="18"/>
          <w:szCs w:val="16"/>
        </w:rPr>
        <w:id w:val="526448189"/>
        <w:docPartObj>
          <w:docPartGallery w:val="Page Numbers (Top of Page)"/>
          <w:docPartUnique/>
        </w:docPartObj>
      </w:sdtPr>
      <w:sdtEndPr>
        <w:rPr>
          <w:noProof/>
        </w:rPr>
      </w:sdtEndPr>
      <w:sdtContent>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036F4F">
          <w:rPr>
            <w:noProof/>
            <w:sz w:val="18"/>
            <w:szCs w:val="16"/>
          </w:rPr>
          <w:t>2</w:t>
        </w:r>
        <w:r w:rsidR="00697BC1" w:rsidRPr="00697BC1">
          <w:rPr>
            <w:noProof/>
            <w:sz w:val="18"/>
            <w:szCs w:val="16"/>
          </w:rPr>
          <w:fldChar w:fldCharType="end"/>
        </w:r>
        <w:r>
          <w:rPr>
            <w:noProof/>
            <w:sz w:val="18"/>
            <w:szCs w:val="16"/>
          </w:rPr>
          <w:t>-</w:t>
        </w:r>
      </w:sdtContent>
    </w:sdt>
    <w:r w:rsidR="00AF0D7D">
      <w:rPr>
        <w:noProof/>
        <w:sz w:val="18"/>
        <w:szCs w:val="16"/>
      </w:rPr>
      <w:br/>
      <w:t xml:space="preserve">Circulaire TSB </w:t>
    </w:r>
    <w:r w:rsidR="00284004">
      <w:rPr>
        <w:noProof/>
        <w:sz w:val="18"/>
        <w:szCs w:val="16"/>
      </w:rPr>
      <w:t>099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1D213460"/>
    <w:multiLevelType w:val="hybridMultilevel"/>
    <w:tmpl w:val="8E526A3A"/>
    <w:lvl w:ilvl="0" w:tplc="D3029182">
      <w:numFmt w:val="bullet"/>
      <w:lvlText w:val="-"/>
      <w:lvlJc w:val="left"/>
      <w:pPr>
        <w:ind w:left="1154" w:hanging="360"/>
      </w:pPr>
      <w:rPr>
        <w:rFonts w:ascii="Calibri" w:eastAsiaTheme="minorEastAsia" w:hAnsi="Calibri" w:cs="Calibri"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3"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4"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5120867">
    <w:abstractNumId w:val="1"/>
  </w:num>
  <w:num w:numId="2" w16cid:durableId="2119984868">
    <w:abstractNumId w:val="4"/>
  </w:num>
  <w:num w:numId="3" w16cid:durableId="2075545744">
    <w:abstractNumId w:val="3"/>
  </w:num>
  <w:num w:numId="4" w16cid:durableId="1871449755">
    <w:abstractNumId w:val="0"/>
  </w:num>
  <w:num w:numId="5" w16cid:durableId="1475679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E9"/>
    <w:rsid w:val="000039EE"/>
    <w:rsid w:val="00005622"/>
    <w:rsid w:val="0002519E"/>
    <w:rsid w:val="00035B43"/>
    <w:rsid w:val="00036F4F"/>
    <w:rsid w:val="000758B3"/>
    <w:rsid w:val="00085F5A"/>
    <w:rsid w:val="000B0D96"/>
    <w:rsid w:val="000B59D8"/>
    <w:rsid w:val="000C1F6B"/>
    <w:rsid w:val="000C25CC"/>
    <w:rsid w:val="000C56BE"/>
    <w:rsid w:val="001026FD"/>
    <w:rsid w:val="001077FD"/>
    <w:rsid w:val="00115DD7"/>
    <w:rsid w:val="00167472"/>
    <w:rsid w:val="00167F92"/>
    <w:rsid w:val="00173738"/>
    <w:rsid w:val="00190B6F"/>
    <w:rsid w:val="001B79A3"/>
    <w:rsid w:val="002152A3"/>
    <w:rsid w:val="0023667A"/>
    <w:rsid w:val="00284004"/>
    <w:rsid w:val="002937DB"/>
    <w:rsid w:val="002E395D"/>
    <w:rsid w:val="00307FB4"/>
    <w:rsid w:val="003131F0"/>
    <w:rsid w:val="00333A80"/>
    <w:rsid w:val="00341117"/>
    <w:rsid w:val="00364E95"/>
    <w:rsid w:val="00372875"/>
    <w:rsid w:val="003742F8"/>
    <w:rsid w:val="003B1E80"/>
    <w:rsid w:val="003B66E8"/>
    <w:rsid w:val="003E66AD"/>
    <w:rsid w:val="004033F1"/>
    <w:rsid w:val="00414B0C"/>
    <w:rsid w:val="00423C21"/>
    <w:rsid w:val="004257AC"/>
    <w:rsid w:val="0043711B"/>
    <w:rsid w:val="004419E9"/>
    <w:rsid w:val="00445B68"/>
    <w:rsid w:val="0048088B"/>
    <w:rsid w:val="004977C9"/>
    <w:rsid w:val="004B732E"/>
    <w:rsid w:val="004D51F4"/>
    <w:rsid w:val="004D602A"/>
    <w:rsid w:val="004D64E0"/>
    <w:rsid w:val="005120A2"/>
    <w:rsid w:val="0051210D"/>
    <w:rsid w:val="005136D2"/>
    <w:rsid w:val="00517A03"/>
    <w:rsid w:val="005A3DD9"/>
    <w:rsid w:val="005B1DFC"/>
    <w:rsid w:val="005D492A"/>
    <w:rsid w:val="00601682"/>
    <w:rsid w:val="00603470"/>
    <w:rsid w:val="00625E79"/>
    <w:rsid w:val="006333F7"/>
    <w:rsid w:val="006427A1"/>
    <w:rsid w:val="00644741"/>
    <w:rsid w:val="00697BC1"/>
    <w:rsid w:val="006A5D8D"/>
    <w:rsid w:val="006A6FFE"/>
    <w:rsid w:val="006C5A91"/>
    <w:rsid w:val="006F52F7"/>
    <w:rsid w:val="00716BBC"/>
    <w:rsid w:val="007321BC"/>
    <w:rsid w:val="00760063"/>
    <w:rsid w:val="00775E4B"/>
    <w:rsid w:val="0079553B"/>
    <w:rsid w:val="00795679"/>
    <w:rsid w:val="007A40FE"/>
    <w:rsid w:val="00810105"/>
    <w:rsid w:val="008157E0"/>
    <w:rsid w:val="00850477"/>
    <w:rsid w:val="00854E1D"/>
    <w:rsid w:val="00887FA6"/>
    <w:rsid w:val="008A0DBC"/>
    <w:rsid w:val="008C4397"/>
    <w:rsid w:val="008C465A"/>
    <w:rsid w:val="008F2C9B"/>
    <w:rsid w:val="00923CD6"/>
    <w:rsid w:val="00935AA8"/>
    <w:rsid w:val="00971C9A"/>
    <w:rsid w:val="009D51FA"/>
    <w:rsid w:val="009F1E23"/>
    <w:rsid w:val="00A15179"/>
    <w:rsid w:val="00A51537"/>
    <w:rsid w:val="00A5280F"/>
    <w:rsid w:val="00A5645A"/>
    <w:rsid w:val="00A60FC1"/>
    <w:rsid w:val="00A97C37"/>
    <w:rsid w:val="00AA131B"/>
    <w:rsid w:val="00AC37B5"/>
    <w:rsid w:val="00AC3C39"/>
    <w:rsid w:val="00AD752F"/>
    <w:rsid w:val="00AF08A4"/>
    <w:rsid w:val="00AF0D7D"/>
    <w:rsid w:val="00AF76E9"/>
    <w:rsid w:val="00B05B2B"/>
    <w:rsid w:val="00B27B41"/>
    <w:rsid w:val="00B42659"/>
    <w:rsid w:val="00B46F2D"/>
    <w:rsid w:val="00B60868"/>
    <w:rsid w:val="00B8573E"/>
    <w:rsid w:val="00BB24C0"/>
    <w:rsid w:val="00BD16AC"/>
    <w:rsid w:val="00BD6ECF"/>
    <w:rsid w:val="00C26F2E"/>
    <w:rsid w:val="00C302E3"/>
    <w:rsid w:val="00C41B89"/>
    <w:rsid w:val="00C45376"/>
    <w:rsid w:val="00C9028F"/>
    <w:rsid w:val="00CA0416"/>
    <w:rsid w:val="00CB1125"/>
    <w:rsid w:val="00CB4E80"/>
    <w:rsid w:val="00CD042E"/>
    <w:rsid w:val="00CF2560"/>
    <w:rsid w:val="00CF5B46"/>
    <w:rsid w:val="00D46B68"/>
    <w:rsid w:val="00D542A5"/>
    <w:rsid w:val="00DC3D47"/>
    <w:rsid w:val="00DD77DA"/>
    <w:rsid w:val="00E06C61"/>
    <w:rsid w:val="00E13DB3"/>
    <w:rsid w:val="00E2408B"/>
    <w:rsid w:val="00E62CEA"/>
    <w:rsid w:val="00E72AE1"/>
    <w:rsid w:val="00ED6A7A"/>
    <w:rsid w:val="00EE4C36"/>
    <w:rsid w:val="00EF6A23"/>
    <w:rsid w:val="00F346CE"/>
    <w:rsid w:val="00F34F98"/>
    <w:rsid w:val="00F40540"/>
    <w:rsid w:val="00F67402"/>
    <w:rsid w:val="00F766A2"/>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4031F"/>
  <w15:docId w15:val="{C0C524F5-3929-45CC-8FD1-E984F510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styleId="UnresolvedMention">
    <w:name w:val="Unresolved Mention"/>
    <w:basedOn w:val="DefaultParagraphFont"/>
    <w:uiPriority w:val="99"/>
    <w:semiHidden/>
    <w:unhideWhenUsed/>
    <w:rsid w:val="00307FB4"/>
    <w:rPr>
      <w:color w:val="605E5C"/>
      <w:shd w:val="clear" w:color="auto" w:fill="E1DFDD"/>
    </w:rPr>
  </w:style>
  <w:style w:type="character" w:styleId="FollowedHyperlink">
    <w:name w:val="FollowedHyperlink"/>
    <w:basedOn w:val="DefaultParagraphFont"/>
    <w:semiHidden/>
    <w:unhideWhenUsed/>
    <w:rsid w:val="00307F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en/ITU-T/climatechange/symposia/202602/Pages/default.asp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en/ITU-T/climatechange/symposia/202602/Pages/default.asp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t/regionalgroups/sg05-afr/Pages/default.aspx" TargetMode="External"/><Relationship Id="rId5" Type="http://schemas.openxmlformats.org/officeDocument/2006/relationships/webSettings" Target="webSettings.xml"/><Relationship Id="rId15" Type="http://schemas.openxmlformats.org/officeDocument/2006/relationships/hyperlink" Target="https://www.itu.int/net4/CRM/xreg/web/Registration.aspx?Event=C-00016099" TargetMode="External"/><Relationship Id="rId10" Type="http://schemas.openxmlformats.org/officeDocument/2006/relationships/hyperlink" Target="https://www.itu.int/en/itu-t/regionalgroups/sg05-afr/Pages/default.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sbevents@itu.int" TargetMode="External"/><Relationship Id="rId14" Type="http://schemas.openxmlformats.org/officeDocument/2006/relationships/hyperlink" Target="https://www.itu.int/net4/CRM/xreg/web/Login.aspx?src=Registration&amp;Event=C-00016099"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6824F-16C0-45D0-B266-61AC5B6DA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PF_TSB_Circular.dotx</Template>
  <TotalTime>5</TotalTime>
  <Pages>2</Pages>
  <Words>1064</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8200</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dc:creator>
  <cp:lastModifiedBy>Braud, Olivia</cp:lastModifiedBy>
  <cp:revision>4</cp:revision>
  <cp:lastPrinted>2026-01-29T14:05:00Z</cp:lastPrinted>
  <dcterms:created xsi:type="dcterms:W3CDTF">2026-01-29T13:53:00Z</dcterms:created>
  <dcterms:modified xsi:type="dcterms:W3CDTF">2026-01-29T14:05:00Z</dcterms:modified>
</cp:coreProperties>
</file>