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90"/>
        <w:tblW w:w="10206" w:type="dxa"/>
        <w:tblLayout w:type="fixed"/>
        <w:tblCellMar>
          <w:left w:w="0" w:type="dxa"/>
          <w:right w:w="0" w:type="dxa"/>
        </w:tblCellMar>
        <w:tblLook w:val="0000" w:firstRow="0" w:lastRow="0" w:firstColumn="0" w:lastColumn="0" w:noHBand="0" w:noVBand="0"/>
      </w:tblPr>
      <w:tblGrid>
        <w:gridCol w:w="1350"/>
        <w:gridCol w:w="3527"/>
        <w:gridCol w:w="5329"/>
      </w:tblGrid>
      <w:tr w:rsidR="007B6316" w14:paraId="2B061127" w14:textId="77777777" w:rsidTr="00833026">
        <w:trPr>
          <w:cantSplit/>
          <w:trHeight w:val="340"/>
        </w:trPr>
        <w:tc>
          <w:tcPr>
            <w:tcW w:w="1350" w:type="dxa"/>
          </w:tcPr>
          <w:p w14:paraId="05133A2C" w14:textId="77777777" w:rsidR="007B6316" w:rsidRDefault="007B6316" w:rsidP="00833026">
            <w:pPr>
              <w:tabs>
                <w:tab w:val="left" w:pos="4111"/>
              </w:tabs>
              <w:spacing w:before="10"/>
              <w:ind w:left="57"/>
              <w:rPr>
                <w:sz w:val="22"/>
              </w:rPr>
            </w:pPr>
            <w:r w:rsidRPr="00F1238A">
              <w:rPr>
                <w:noProof/>
                <w:lang w:val="en-US" w:eastAsia="zh-CN"/>
              </w:rPr>
              <w:drawing>
                <wp:inline distT="0" distB="0" distL="0" distR="0" wp14:anchorId="37818577" wp14:editId="7EE9FE6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856" w:type="dxa"/>
            <w:gridSpan w:val="2"/>
            <w:vAlign w:val="center"/>
          </w:tcPr>
          <w:p w14:paraId="4DAB6541" w14:textId="77777777" w:rsidR="007B6316" w:rsidRPr="00081FE5" w:rsidRDefault="007B6316" w:rsidP="0083302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43583C17" w14:textId="77777777" w:rsidR="007B6316" w:rsidRDefault="007B6316" w:rsidP="0083302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rsidRPr="00833026" w14:paraId="143B18D6" w14:textId="77777777" w:rsidTr="00833026">
        <w:trPr>
          <w:cantSplit/>
          <w:trHeight w:val="340"/>
        </w:trPr>
        <w:tc>
          <w:tcPr>
            <w:tcW w:w="1350" w:type="dxa"/>
          </w:tcPr>
          <w:p w14:paraId="22CCD3FF" w14:textId="77777777" w:rsidR="007B6316" w:rsidRPr="00833026" w:rsidRDefault="007B6316" w:rsidP="00833026">
            <w:pPr>
              <w:tabs>
                <w:tab w:val="left" w:pos="4111"/>
              </w:tabs>
              <w:spacing w:before="10"/>
              <w:ind w:left="57"/>
              <w:rPr>
                <w:rFonts w:cstheme="minorHAnsi"/>
                <w:b/>
                <w:bCs/>
                <w:sz w:val="22"/>
                <w:szCs w:val="22"/>
              </w:rPr>
            </w:pPr>
          </w:p>
        </w:tc>
        <w:tc>
          <w:tcPr>
            <w:tcW w:w="3527" w:type="dxa"/>
          </w:tcPr>
          <w:p w14:paraId="26ED9469" w14:textId="77777777" w:rsidR="007B6316" w:rsidRPr="00833026" w:rsidRDefault="007B6316" w:rsidP="00833026">
            <w:pPr>
              <w:tabs>
                <w:tab w:val="left" w:pos="4111"/>
              </w:tabs>
              <w:spacing w:before="0"/>
              <w:ind w:left="57"/>
              <w:rPr>
                <w:rFonts w:cstheme="minorHAnsi"/>
                <w:b/>
                <w:sz w:val="22"/>
                <w:szCs w:val="22"/>
              </w:rPr>
            </w:pPr>
          </w:p>
        </w:tc>
        <w:tc>
          <w:tcPr>
            <w:tcW w:w="5329" w:type="dxa"/>
          </w:tcPr>
          <w:p w14:paraId="03635185" w14:textId="7EBA7473" w:rsidR="007B6316" w:rsidRPr="00833026" w:rsidRDefault="007B6316" w:rsidP="00833026">
            <w:pPr>
              <w:tabs>
                <w:tab w:val="clear" w:pos="794"/>
                <w:tab w:val="clear" w:pos="1191"/>
                <w:tab w:val="clear" w:pos="1588"/>
                <w:tab w:val="clear" w:pos="1985"/>
                <w:tab w:val="left" w:pos="284"/>
              </w:tabs>
              <w:spacing w:after="120"/>
              <w:ind w:left="284" w:hanging="227"/>
              <w:rPr>
                <w:rFonts w:cstheme="minorHAnsi"/>
                <w:sz w:val="22"/>
                <w:szCs w:val="22"/>
              </w:rPr>
            </w:pPr>
            <w:r w:rsidRPr="00833026">
              <w:rPr>
                <w:rFonts w:cstheme="minorHAnsi"/>
                <w:sz w:val="22"/>
                <w:szCs w:val="22"/>
              </w:rPr>
              <w:t>Ginebra,</w:t>
            </w:r>
            <w:r w:rsidR="00BE7F5E" w:rsidRPr="00833026">
              <w:rPr>
                <w:rFonts w:cstheme="minorHAnsi"/>
                <w:sz w:val="22"/>
                <w:szCs w:val="22"/>
              </w:rPr>
              <w:t xml:space="preserve"> 10 de febrero de 2026</w:t>
            </w:r>
          </w:p>
        </w:tc>
      </w:tr>
      <w:tr w:rsidR="001350B9" w:rsidRPr="00833026" w14:paraId="7DAD9EB5" w14:textId="77777777" w:rsidTr="00833026">
        <w:trPr>
          <w:cantSplit/>
          <w:trHeight w:val="340"/>
        </w:trPr>
        <w:tc>
          <w:tcPr>
            <w:tcW w:w="1350" w:type="dxa"/>
          </w:tcPr>
          <w:p w14:paraId="3A348217" w14:textId="77777777" w:rsidR="001350B9" w:rsidRPr="00833026" w:rsidRDefault="001350B9" w:rsidP="00833026">
            <w:pPr>
              <w:tabs>
                <w:tab w:val="left" w:pos="4111"/>
              </w:tabs>
              <w:spacing w:before="10"/>
              <w:ind w:left="57"/>
              <w:rPr>
                <w:rFonts w:cstheme="minorHAnsi"/>
                <w:sz w:val="22"/>
                <w:szCs w:val="22"/>
              </w:rPr>
            </w:pPr>
            <w:r w:rsidRPr="00833026">
              <w:rPr>
                <w:rFonts w:cstheme="minorHAnsi"/>
                <w:b/>
                <w:bCs/>
                <w:sz w:val="22"/>
                <w:szCs w:val="22"/>
              </w:rPr>
              <w:t>Ref</w:t>
            </w:r>
            <w:r w:rsidRPr="00833026">
              <w:rPr>
                <w:rFonts w:cstheme="minorHAnsi"/>
                <w:sz w:val="22"/>
                <w:szCs w:val="22"/>
              </w:rPr>
              <w:t>.:</w:t>
            </w:r>
          </w:p>
          <w:p w14:paraId="0B6F769D" w14:textId="77777777" w:rsidR="001350B9" w:rsidRPr="00833026" w:rsidRDefault="001350B9" w:rsidP="00833026">
            <w:pPr>
              <w:tabs>
                <w:tab w:val="left" w:pos="4111"/>
              </w:tabs>
              <w:spacing w:before="10"/>
              <w:ind w:left="57"/>
              <w:rPr>
                <w:rFonts w:cstheme="minorHAnsi"/>
                <w:sz w:val="22"/>
                <w:szCs w:val="22"/>
              </w:rPr>
            </w:pPr>
          </w:p>
        </w:tc>
        <w:tc>
          <w:tcPr>
            <w:tcW w:w="3527" w:type="dxa"/>
          </w:tcPr>
          <w:p w14:paraId="4E2618BC" w14:textId="4BFE9BA0" w:rsidR="001350B9" w:rsidRPr="00833026" w:rsidRDefault="001350B9" w:rsidP="00833026">
            <w:pPr>
              <w:tabs>
                <w:tab w:val="left" w:pos="4111"/>
              </w:tabs>
              <w:spacing w:before="0"/>
              <w:ind w:left="57"/>
              <w:rPr>
                <w:rFonts w:cstheme="minorHAnsi"/>
                <w:b/>
                <w:sz w:val="22"/>
                <w:szCs w:val="22"/>
                <w:lang w:val="en-US"/>
              </w:rPr>
            </w:pPr>
            <w:r w:rsidRPr="00833026">
              <w:rPr>
                <w:rFonts w:cstheme="minorHAnsi"/>
                <w:b/>
                <w:sz w:val="22"/>
                <w:szCs w:val="22"/>
                <w:lang w:val="en-US"/>
              </w:rPr>
              <w:t xml:space="preserve">Circular TSB </w:t>
            </w:r>
            <w:r w:rsidR="00BE7F5E" w:rsidRPr="00833026">
              <w:rPr>
                <w:rFonts w:cstheme="minorHAnsi"/>
                <w:b/>
                <w:sz w:val="22"/>
                <w:szCs w:val="22"/>
                <w:lang w:val="en-US"/>
              </w:rPr>
              <w:t>98</w:t>
            </w:r>
          </w:p>
          <w:p w14:paraId="7566C066" w14:textId="4FDEB70D" w:rsidR="001350B9" w:rsidRPr="00833026" w:rsidRDefault="00BE7F5E" w:rsidP="00833026">
            <w:pPr>
              <w:tabs>
                <w:tab w:val="left" w:pos="4111"/>
              </w:tabs>
              <w:spacing w:before="0"/>
              <w:ind w:left="57"/>
              <w:rPr>
                <w:rFonts w:cstheme="minorHAnsi"/>
                <w:b/>
                <w:sz w:val="22"/>
                <w:szCs w:val="22"/>
                <w:lang w:val="en-US"/>
              </w:rPr>
            </w:pPr>
            <w:r w:rsidRPr="00833026">
              <w:rPr>
                <w:rFonts w:cstheme="minorHAnsi"/>
                <w:sz w:val="22"/>
                <w:szCs w:val="22"/>
                <w:lang w:val="en-US"/>
              </w:rPr>
              <w:t>TSB Events</w:t>
            </w:r>
            <w:r w:rsidR="001350B9" w:rsidRPr="00833026">
              <w:rPr>
                <w:rFonts w:cstheme="minorHAnsi"/>
                <w:sz w:val="22"/>
                <w:szCs w:val="22"/>
                <w:lang w:val="en-US"/>
              </w:rPr>
              <w:t>/</w:t>
            </w:r>
            <w:r w:rsidRPr="00833026">
              <w:rPr>
                <w:rFonts w:cstheme="minorHAnsi"/>
                <w:sz w:val="22"/>
                <w:szCs w:val="22"/>
                <w:lang w:val="en-US"/>
              </w:rPr>
              <w:t>KM</w:t>
            </w:r>
          </w:p>
        </w:tc>
        <w:tc>
          <w:tcPr>
            <w:tcW w:w="5329" w:type="dxa"/>
            <w:vMerge w:val="restart"/>
          </w:tcPr>
          <w:p w14:paraId="01EFFEC5" w14:textId="3E9B341E" w:rsidR="001350B9"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bookmarkStart w:id="0" w:name="Addressee_S"/>
            <w:bookmarkEnd w:id="0"/>
            <w:r w:rsidRPr="00833026">
              <w:rPr>
                <w:rFonts w:cstheme="minorHAnsi"/>
                <w:sz w:val="22"/>
                <w:szCs w:val="22"/>
              </w:rPr>
              <w:t>–</w:t>
            </w:r>
            <w:r w:rsidR="001350B9" w:rsidRPr="00833026">
              <w:rPr>
                <w:rFonts w:cstheme="minorHAnsi"/>
                <w:sz w:val="22"/>
                <w:szCs w:val="22"/>
              </w:rPr>
              <w:tab/>
              <w:t>A las Administraciones de los Estados Miembros de la Unión</w:t>
            </w:r>
            <w:r w:rsidR="00BE7F5E" w:rsidRPr="00833026">
              <w:rPr>
                <w:rFonts w:cstheme="minorHAnsi"/>
                <w:sz w:val="22"/>
                <w:szCs w:val="22"/>
              </w:rPr>
              <w:t>;</w:t>
            </w:r>
          </w:p>
          <w:p w14:paraId="0C87AC2A" w14:textId="7CC824A2"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BE7F5E" w:rsidRPr="00833026">
              <w:rPr>
                <w:rFonts w:cstheme="minorHAnsi"/>
                <w:sz w:val="22"/>
                <w:szCs w:val="22"/>
              </w:rPr>
              <w:tab/>
              <w:t>Al Estado de Palestina (Res. 99 (Rev. Dubái, 2018));</w:t>
            </w:r>
          </w:p>
          <w:p w14:paraId="374F341E" w14:textId="14164A65"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t>A los Miembros del Sector UIT</w:t>
            </w:r>
            <w:r w:rsidR="001350B9" w:rsidRPr="00833026">
              <w:rPr>
                <w:rFonts w:cstheme="minorHAnsi"/>
                <w:sz w:val="22"/>
                <w:szCs w:val="22"/>
              </w:rPr>
              <w:noBreakHyphen/>
              <w:t>T;</w:t>
            </w:r>
          </w:p>
          <w:p w14:paraId="14E78D69" w14:textId="616B9DB0"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t>A los Asociados del UIT</w:t>
            </w:r>
            <w:r w:rsidR="001350B9" w:rsidRPr="00833026">
              <w:rPr>
                <w:rFonts w:cstheme="minorHAnsi"/>
                <w:sz w:val="22"/>
                <w:szCs w:val="22"/>
              </w:rPr>
              <w:noBreakHyphen/>
              <w:t>T;</w:t>
            </w:r>
          </w:p>
          <w:p w14:paraId="605A2A44" w14:textId="4EF8CD4A"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t>A las Instituciones Académicas del UIT-T;</w:t>
            </w:r>
          </w:p>
          <w:p w14:paraId="6FC433C3" w14:textId="22210520" w:rsidR="00BE7F5E" w:rsidRPr="00833026" w:rsidRDefault="00BE7F5E" w:rsidP="00833026">
            <w:pPr>
              <w:tabs>
                <w:tab w:val="clear" w:pos="794"/>
                <w:tab w:val="clear" w:pos="1191"/>
                <w:tab w:val="clear" w:pos="1588"/>
                <w:tab w:val="clear" w:pos="1985"/>
                <w:tab w:val="left" w:pos="284"/>
              </w:tabs>
              <w:spacing w:before="0" w:after="40"/>
              <w:ind w:left="288" w:hanging="230"/>
              <w:rPr>
                <w:rFonts w:cstheme="minorHAnsi"/>
                <w:b/>
                <w:bCs/>
                <w:sz w:val="22"/>
                <w:szCs w:val="22"/>
              </w:rPr>
            </w:pPr>
            <w:r w:rsidRPr="00833026">
              <w:rPr>
                <w:rFonts w:cstheme="minorHAnsi"/>
                <w:b/>
                <w:bCs/>
                <w:sz w:val="22"/>
                <w:szCs w:val="22"/>
              </w:rPr>
              <w:t>Copia:</w:t>
            </w:r>
          </w:p>
          <w:p w14:paraId="3E19327C" w14:textId="55AE15B9"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t>A</w:t>
            </w:r>
            <w:r w:rsidR="00BE7F5E" w:rsidRPr="00833026">
              <w:rPr>
                <w:rFonts w:cstheme="minorHAnsi"/>
                <w:sz w:val="22"/>
                <w:szCs w:val="22"/>
              </w:rPr>
              <w:t xml:space="preserve"> </w:t>
            </w:r>
            <w:r w:rsidR="001350B9" w:rsidRPr="00833026">
              <w:rPr>
                <w:rFonts w:cstheme="minorHAnsi"/>
                <w:sz w:val="22"/>
                <w:szCs w:val="22"/>
              </w:rPr>
              <w:t>l</w:t>
            </w:r>
            <w:r w:rsidR="00BE7F5E" w:rsidRPr="00833026">
              <w:rPr>
                <w:rFonts w:cstheme="minorHAnsi"/>
                <w:sz w:val="22"/>
                <w:szCs w:val="22"/>
              </w:rPr>
              <w:t>os</w:t>
            </w:r>
            <w:r w:rsidR="001350B9" w:rsidRPr="00833026">
              <w:rPr>
                <w:rFonts w:cstheme="minorHAnsi"/>
                <w:sz w:val="22"/>
                <w:szCs w:val="22"/>
              </w:rPr>
              <w:t xml:space="preserve"> </w:t>
            </w:r>
            <w:proofErr w:type="gramStart"/>
            <w:r w:rsidR="001350B9" w:rsidRPr="00833026">
              <w:rPr>
                <w:rFonts w:cstheme="minorHAnsi"/>
                <w:sz w:val="22"/>
                <w:szCs w:val="22"/>
              </w:rPr>
              <w:t>Presidente</w:t>
            </w:r>
            <w:r w:rsidR="00BE7F5E" w:rsidRPr="00833026">
              <w:rPr>
                <w:rFonts w:cstheme="minorHAnsi"/>
                <w:sz w:val="22"/>
                <w:szCs w:val="22"/>
              </w:rPr>
              <w:t>s</w:t>
            </w:r>
            <w:proofErr w:type="gramEnd"/>
            <w:r w:rsidR="001350B9" w:rsidRPr="00833026">
              <w:rPr>
                <w:rFonts w:cstheme="minorHAnsi"/>
                <w:sz w:val="22"/>
                <w:szCs w:val="22"/>
              </w:rPr>
              <w:t xml:space="preserve"> y a los </w:t>
            </w:r>
            <w:proofErr w:type="gramStart"/>
            <w:r w:rsidR="001350B9" w:rsidRPr="00833026">
              <w:rPr>
                <w:rFonts w:cstheme="minorHAnsi"/>
                <w:sz w:val="22"/>
                <w:szCs w:val="22"/>
              </w:rPr>
              <w:t>Vicepresidentes</w:t>
            </w:r>
            <w:proofErr w:type="gramEnd"/>
            <w:r w:rsidR="001350B9" w:rsidRPr="00833026">
              <w:rPr>
                <w:rFonts w:cstheme="minorHAnsi"/>
                <w:sz w:val="22"/>
                <w:szCs w:val="22"/>
              </w:rPr>
              <w:t xml:space="preserve"> de la</w:t>
            </w:r>
            <w:r w:rsidR="00BE7F5E" w:rsidRPr="00833026">
              <w:rPr>
                <w:rFonts w:cstheme="minorHAnsi"/>
                <w:sz w:val="22"/>
                <w:szCs w:val="22"/>
              </w:rPr>
              <w:t xml:space="preserve">s </w:t>
            </w:r>
            <w:r w:rsidR="001350B9" w:rsidRPr="00833026">
              <w:rPr>
                <w:rFonts w:cstheme="minorHAnsi"/>
                <w:sz w:val="22"/>
                <w:szCs w:val="22"/>
              </w:rPr>
              <w:t>Comisi</w:t>
            </w:r>
            <w:r w:rsidR="00BE7F5E" w:rsidRPr="00833026">
              <w:rPr>
                <w:rFonts w:cstheme="minorHAnsi"/>
                <w:sz w:val="22"/>
                <w:szCs w:val="22"/>
              </w:rPr>
              <w:t>o</w:t>
            </w:r>
            <w:r w:rsidR="001350B9" w:rsidRPr="00833026">
              <w:rPr>
                <w:rFonts w:cstheme="minorHAnsi"/>
                <w:sz w:val="22"/>
                <w:szCs w:val="22"/>
              </w:rPr>
              <w:t>n</w:t>
            </w:r>
            <w:r w:rsidR="00BE7F5E" w:rsidRPr="00833026">
              <w:rPr>
                <w:rFonts w:cstheme="minorHAnsi"/>
                <w:sz w:val="22"/>
                <w:szCs w:val="22"/>
              </w:rPr>
              <w:t>es</w:t>
            </w:r>
            <w:r w:rsidR="001350B9" w:rsidRPr="00833026">
              <w:rPr>
                <w:rFonts w:cstheme="minorHAnsi"/>
                <w:sz w:val="22"/>
                <w:szCs w:val="22"/>
              </w:rPr>
              <w:t xml:space="preserve"> de Estudio;</w:t>
            </w:r>
          </w:p>
          <w:p w14:paraId="462DB528" w14:textId="2D370869" w:rsidR="00BE7F5E"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r>
            <w:r w:rsidR="00BE7F5E" w:rsidRPr="00833026">
              <w:rPr>
                <w:rFonts w:cstheme="minorHAnsi"/>
                <w:sz w:val="22"/>
                <w:szCs w:val="22"/>
              </w:rPr>
              <w:t>A</w:t>
            </w:r>
            <w:r w:rsidR="001350B9" w:rsidRPr="00833026">
              <w:rPr>
                <w:rFonts w:cstheme="minorHAnsi"/>
                <w:sz w:val="22"/>
                <w:szCs w:val="22"/>
              </w:rPr>
              <w:t xml:space="preserve">l </w:t>
            </w:r>
            <w:proofErr w:type="gramStart"/>
            <w:r w:rsidR="001350B9" w:rsidRPr="00833026">
              <w:rPr>
                <w:rFonts w:cstheme="minorHAnsi"/>
                <w:sz w:val="22"/>
                <w:szCs w:val="22"/>
              </w:rPr>
              <w:t>Director</w:t>
            </w:r>
            <w:proofErr w:type="gramEnd"/>
            <w:r w:rsidR="001350B9" w:rsidRPr="00833026">
              <w:rPr>
                <w:rFonts w:cstheme="minorHAnsi"/>
                <w:sz w:val="22"/>
                <w:szCs w:val="22"/>
              </w:rPr>
              <w:t xml:space="preserve"> de la Oficina de Desarrollo de las Telecomunicaciones;</w:t>
            </w:r>
          </w:p>
          <w:p w14:paraId="393C3E7A" w14:textId="2BF73E7D" w:rsidR="001350B9"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1350B9" w:rsidRPr="00833026">
              <w:rPr>
                <w:rFonts w:cstheme="minorHAnsi"/>
                <w:sz w:val="22"/>
                <w:szCs w:val="22"/>
              </w:rPr>
              <w:tab/>
              <w:t xml:space="preserve">Al </w:t>
            </w:r>
            <w:proofErr w:type="gramStart"/>
            <w:r w:rsidR="001350B9" w:rsidRPr="00833026">
              <w:rPr>
                <w:rFonts w:cstheme="minorHAnsi"/>
                <w:sz w:val="22"/>
                <w:szCs w:val="22"/>
              </w:rPr>
              <w:t>Director</w:t>
            </w:r>
            <w:proofErr w:type="gramEnd"/>
            <w:r w:rsidR="001350B9" w:rsidRPr="00833026">
              <w:rPr>
                <w:rFonts w:cstheme="minorHAnsi"/>
                <w:sz w:val="22"/>
                <w:szCs w:val="22"/>
              </w:rPr>
              <w:t xml:space="preserve"> de la Oficina de Radiocomunicaciones</w:t>
            </w:r>
            <w:r w:rsidR="00BE7F5E" w:rsidRPr="00833026">
              <w:rPr>
                <w:rFonts w:cstheme="minorHAnsi"/>
                <w:sz w:val="22"/>
                <w:szCs w:val="22"/>
              </w:rPr>
              <w:t>;</w:t>
            </w:r>
          </w:p>
          <w:p w14:paraId="33CDEA98" w14:textId="27F65C9C" w:rsidR="00FB74E3" w:rsidRPr="00833026" w:rsidRDefault="00A665C6" w:rsidP="00833026">
            <w:pPr>
              <w:tabs>
                <w:tab w:val="clear" w:pos="794"/>
                <w:tab w:val="clear" w:pos="1191"/>
                <w:tab w:val="clear" w:pos="1588"/>
                <w:tab w:val="clear" w:pos="1985"/>
                <w:tab w:val="left" w:pos="284"/>
              </w:tabs>
              <w:spacing w:before="0" w:after="40"/>
              <w:ind w:left="288" w:hanging="230"/>
              <w:rPr>
                <w:rFonts w:cstheme="minorHAnsi"/>
                <w:sz w:val="22"/>
                <w:szCs w:val="22"/>
              </w:rPr>
            </w:pPr>
            <w:r w:rsidRPr="00833026">
              <w:rPr>
                <w:rFonts w:cstheme="minorHAnsi"/>
                <w:sz w:val="22"/>
                <w:szCs w:val="22"/>
              </w:rPr>
              <w:t>–</w:t>
            </w:r>
            <w:r w:rsidR="00BE7F5E" w:rsidRPr="00833026">
              <w:rPr>
                <w:rFonts w:cstheme="minorHAnsi"/>
                <w:sz w:val="22"/>
                <w:szCs w:val="22"/>
              </w:rPr>
              <w:tab/>
              <w:t xml:space="preserve">A los </w:t>
            </w:r>
            <w:proofErr w:type="gramStart"/>
            <w:r w:rsidR="00BE7F5E" w:rsidRPr="00833026">
              <w:rPr>
                <w:rFonts w:cstheme="minorHAnsi"/>
                <w:sz w:val="22"/>
                <w:szCs w:val="22"/>
              </w:rPr>
              <w:t>Directores</w:t>
            </w:r>
            <w:proofErr w:type="gramEnd"/>
            <w:r w:rsidR="00BE7F5E" w:rsidRPr="00833026">
              <w:rPr>
                <w:rFonts w:cstheme="minorHAnsi"/>
                <w:sz w:val="22"/>
                <w:szCs w:val="22"/>
              </w:rPr>
              <w:t xml:space="preserve"> de las Oficinas Regionales de la UIT</w:t>
            </w:r>
          </w:p>
        </w:tc>
      </w:tr>
      <w:tr w:rsidR="00BE7F5E" w:rsidRPr="00833026" w14:paraId="133E94D8" w14:textId="77777777" w:rsidTr="00833026">
        <w:trPr>
          <w:cantSplit/>
          <w:trHeight w:val="340"/>
        </w:trPr>
        <w:tc>
          <w:tcPr>
            <w:tcW w:w="1350" w:type="dxa"/>
          </w:tcPr>
          <w:p w14:paraId="52F2FE19" w14:textId="73F62F1B" w:rsidR="00BE7F5E" w:rsidRPr="00833026" w:rsidRDefault="00BE7F5E" w:rsidP="00833026">
            <w:pPr>
              <w:tabs>
                <w:tab w:val="left" w:pos="4111"/>
              </w:tabs>
              <w:spacing w:before="10"/>
              <w:ind w:left="57"/>
              <w:rPr>
                <w:rFonts w:cstheme="minorHAnsi"/>
                <w:sz w:val="22"/>
                <w:szCs w:val="22"/>
              </w:rPr>
            </w:pPr>
            <w:r w:rsidRPr="00833026">
              <w:rPr>
                <w:rFonts w:cstheme="minorHAnsi"/>
                <w:sz w:val="22"/>
                <w:szCs w:val="22"/>
              </w:rPr>
              <w:t>Contacto:</w:t>
            </w:r>
          </w:p>
        </w:tc>
        <w:tc>
          <w:tcPr>
            <w:tcW w:w="3527" w:type="dxa"/>
          </w:tcPr>
          <w:p w14:paraId="4F0ADA5A" w14:textId="6EEEC90C" w:rsidR="00BE7F5E" w:rsidRPr="00833026" w:rsidRDefault="00BE7F5E" w:rsidP="00833026">
            <w:pPr>
              <w:tabs>
                <w:tab w:val="left" w:pos="4111"/>
              </w:tabs>
              <w:spacing w:before="0"/>
              <w:ind w:left="57"/>
              <w:rPr>
                <w:rFonts w:cstheme="minorHAnsi"/>
                <w:b/>
                <w:sz w:val="22"/>
                <w:szCs w:val="22"/>
                <w:lang w:val="en-US"/>
              </w:rPr>
            </w:pPr>
            <w:r w:rsidRPr="00833026">
              <w:rPr>
                <w:rFonts w:cstheme="minorHAnsi"/>
                <w:b/>
                <w:sz w:val="22"/>
                <w:szCs w:val="22"/>
                <w:lang w:val="en-US"/>
              </w:rPr>
              <w:t>Emile Armour-Heselton</w:t>
            </w:r>
          </w:p>
        </w:tc>
        <w:tc>
          <w:tcPr>
            <w:tcW w:w="5329" w:type="dxa"/>
            <w:vMerge/>
          </w:tcPr>
          <w:p w14:paraId="6E677D4B" w14:textId="77777777" w:rsidR="00BE7F5E" w:rsidRPr="00833026" w:rsidRDefault="00BE7F5E" w:rsidP="00833026">
            <w:pPr>
              <w:tabs>
                <w:tab w:val="clear" w:pos="794"/>
                <w:tab w:val="clear" w:pos="1191"/>
                <w:tab w:val="clear" w:pos="1588"/>
                <w:tab w:val="clear" w:pos="1985"/>
                <w:tab w:val="left" w:pos="284"/>
              </w:tabs>
              <w:spacing w:before="0"/>
              <w:ind w:left="284" w:hanging="227"/>
              <w:rPr>
                <w:rFonts w:cstheme="minorHAnsi"/>
                <w:sz w:val="22"/>
                <w:szCs w:val="22"/>
              </w:rPr>
            </w:pPr>
          </w:p>
        </w:tc>
      </w:tr>
      <w:tr w:rsidR="001350B9" w:rsidRPr="00833026" w14:paraId="68A0AB8A" w14:textId="77777777" w:rsidTr="00833026">
        <w:trPr>
          <w:cantSplit/>
        </w:trPr>
        <w:tc>
          <w:tcPr>
            <w:tcW w:w="1350" w:type="dxa"/>
          </w:tcPr>
          <w:p w14:paraId="08AE8FA0" w14:textId="77777777" w:rsidR="001350B9" w:rsidRPr="00833026" w:rsidRDefault="001350B9" w:rsidP="00833026">
            <w:pPr>
              <w:tabs>
                <w:tab w:val="left" w:pos="4111"/>
              </w:tabs>
              <w:spacing w:before="10"/>
              <w:ind w:left="57"/>
              <w:rPr>
                <w:rFonts w:cstheme="minorHAnsi"/>
                <w:sz w:val="22"/>
                <w:szCs w:val="22"/>
              </w:rPr>
            </w:pPr>
            <w:r w:rsidRPr="00833026">
              <w:rPr>
                <w:rFonts w:cstheme="minorHAnsi"/>
                <w:sz w:val="22"/>
                <w:szCs w:val="22"/>
              </w:rPr>
              <w:t>Tel.:</w:t>
            </w:r>
          </w:p>
        </w:tc>
        <w:tc>
          <w:tcPr>
            <w:tcW w:w="3527" w:type="dxa"/>
          </w:tcPr>
          <w:p w14:paraId="2BC8A8FF" w14:textId="4B210DE8" w:rsidR="001350B9" w:rsidRPr="00833026" w:rsidRDefault="001350B9" w:rsidP="00833026">
            <w:pPr>
              <w:tabs>
                <w:tab w:val="left" w:pos="4111"/>
              </w:tabs>
              <w:spacing w:before="0"/>
              <w:ind w:left="57"/>
              <w:rPr>
                <w:rStyle w:val="Hyperlink"/>
                <w:rFonts w:cstheme="minorHAnsi"/>
                <w:sz w:val="22"/>
                <w:szCs w:val="22"/>
              </w:rPr>
            </w:pPr>
            <w:r w:rsidRPr="00833026">
              <w:rPr>
                <w:rFonts w:cstheme="minorHAnsi"/>
                <w:sz w:val="22"/>
                <w:szCs w:val="22"/>
              </w:rPr>
              <w:t>+41 22 730</w:t>
            </w:r>
            <w:r w:rsidR="00BE7F5E" w:rsidRPr="00833026">
              <w:rPr>
                <w:rFonts w:cstheme="minorHAnsi"/>
                <w:sz w:val="22"/>
                <w:szCs w:val="22"/>
              </w:rPr>
              <w:t xml:space="preserve"> 6828</w:t>
            </w:r>
          </w:p>
        </w:tc>
        <w:tc>
          <w:tcPr>
            <w:tcW w:w="5329" w:type="dxa"/>
            <w:vMerge/>
          </w:tcPr>
          <w:p w14:paraId="4C07F722" w14:textId="77777777" w:rsidR="001350B9" w:rsidRPr="00833026" w:rsidRDefault="001350B9" w:rsidP="00833026">
            <w:pPr>
              <w:tabs>
                <w:tab w:val="left" w:pos="226"/>
                <w:tab w:val="left" w:pos="510"/>
              </w:tabs>
              <w:spacing w:before="0"/>
              <w:ind w:left="226" w:hanging="169"/>
              <w:rPr>
                <w:rFonts w:cstheme="minorHAnsi"/>
                <w:b/>
                <w:sz w:val="22"/>
                <w:szCs w:val="22"/>
              </w:rPr>
            </w:pPr>
          </w:p>
        </w:tc>
      </w:tr>
      <w:tr w:rsidR="001350B9" w:rsidRPr="00833026" w14:paraId="7600C874" w14:textId="77777777" w:rsidTr="00833026">
        <w:trPr>
          <w:cantSplit/>
        </w:trPr>
        <w:tc>
          <w:tcPr>
            <w:tcW w:w="1350" w:type="dxa"/>
          </w:tcPr>
          <w:p w14:paraId="76E1C551" w14:textId="77777777" w:rsidR="001350B9" w:rsidRPr="00833026" w:rsidRDefault="001350B9" w:rsidP="00833026">
            <w:pPr>
              <w:tabs>
                <w:tab w:val="left" w:pos="4111"/>
              </w:tabs>
              <w:spacing w:before="10"/>
              <w:ind w:left="57"/>
              <w:rPr>
                <w:rFonts w:cstheme="minorHAnsi"/>
                <w:sz w:val="22"/>
                <w:szCs w:val="22"/>
              </w:rPr>
            </w:pPr>
            <w:r w:rsidRPr="00833026">
              <w:rPr>
                <w:rFonts w:cstheme="minorHAnsi"/>
                <w:sz w:val="22"/>
                <w:szCs w:val="22"/>
              </w:rPr>
              <w:t>Fax:</w:t>
            </w:r>
          </w:p>
        </w:tc>
        <w:tc>
          <w:tcPr>
            <w:tcW w:w="3527" w:type="dxa"/>
          </w:tcPr>
          <w:p w14:paraId="4E5B9BC0" w14:textId="77777777" w:rsidR="001350B9" w:rsidRPr="00833026" w:rsidRDefault="001350B9" w:rsidP="00833026">
            <w:pPr>
              <w:tabs>
                <w:tab w:val="left" w:pos="4111"/>
              </w:tabs>
              <w:spacing w:before="0"/>
              <w:ind w:left="57"/>
              <w:rPr>
                <w:rStyle w:val="Hyperlink"/>
                <w:rFonts w:cstheme="minorHAnsi"/>
                <w:sz w:val="22"/>
                <w:szCs w:val="22"/>
              </w:rPr>
            </w:pPr>
            <w:r w:rsidRPr="00833026">
              <w:rPr>
                <w:rFonts w:cstheme="minorHAnsi"/>
                <w:sz w:val="22"/>
                <w:szCs w:val="22"/>
              </w:rPr>
              <w:t>+41 22 730 5853</w:t>
            </w:r>
          </w:p>
        </w:tc>
        <w:tc>
          <w:tcPr>
            <w:tcW w:w="5329" w:type="dxa"/>
            <w:vMerge/>
          </w:tcPr>
          <w:p w14:paraId="2B73012C" w14:textId="77777777" w:rsidR="001350B9" w:rsidRPr="00833026" w:rsidRDefault="001350B9" w:rsidP="00833026">
            <w:pPr>
              <w:tabs>
                <w:tab w:val="left" w:pos="226"/>
                <w:tab w:val="left" w:pos="510"/>
              </w:tabs>
              <w:spacing w:before="0"/>
              <w:ind w:left="226" w:hanging="169"/>
              <w:rPr>
                <w:rFonts w:cstheme="minorHAnsi"/>
                <w:b/>
                <w:sz w:val="22"/>
                <w:szCs w:val="22"/>
              </w:rPr>
            </w:pPr>
          </w:p>
        </w:tc>
      </w:tr>
      <w:tr w:rsidR="001350B9" w:rsidRPr="00833026" w14:paraId="10F2F57D" w14:textId="77777777" w:rsidTr="00833026">
        <w:trPr>
          <w:cantSplit/>
          <w:trHeight w:val="2508"/>
        </w:trPr>
        <w:tc>
          <w:tcPr>
            <w:tcW w:w="1350" w:type="dxa"/>
          </w:tcPr>
          <w:p w14:paraId="1716F152" w14:textId="77777777" w:rsidR="001350B9" w:rsidRPr="00833026" w:rsidRDefault="001350B9" w:rsidP="00833026">
            <w:pPr>
              <w:tabs>
                <w:tab w:val="left" w:pos="4111"/>
              </w:tabs>
              <w:spacing w:before="10"/>
              <w:ind w:left="57"/>
              <w:rPr>
                <w:rFonts w:cstheme="minorHAnsi"/>
                <w:sz w:val="22"/>
                <w:szCs w:val="22"/>
              </w:rPr>
            </w:pPr>
            <w:r w:rsidRPr="00833026">
              <w:rPr>
                <w:rFonts w:cstheme="minorHAnsi"/>
                <w:sz w:val="22"/>
                <w:szCs w:val="22"/>
              </w:rPr>
              <w:t>Correo-e:</w:t>
            </w:r>
          </w:p>
        </w:tc>
        <w:tc>
          <w:tcPr>
            <w:tcW w:w="3527" w:type="dxa"/>
          </w:tcPr>
          <w:p w14:paraId="66348EE9" w14:textId="168B8998" w:rsidR="001350B9" w:rsidRPr="00833026" w:rsidRDefault="00BE7F5E" w:rsidP="00833026">
            <w:pPr>
              <w:tabs>
                <w:tab w:val="left" w:pos="4111"/>
              </w:tabs>
              <w:spacing w:before="0"/>
              <w:ind w:left="57"/>
              <w:rPr>
                <w:rFonts w:cstheme="minorHAnsi"/>
                <w:sz w:val="22"/>
                <w:szCs w:val="22"/>
              </w:rPr>
            </w:pPr>
            <w:hyperlink r:id="rId9" w:history="1">
              <w:r w:rsidRPr="00833026">
                <w:rPr>
                  <w:rStyle w:val="Hyperlink"/>
                  <w:rFonts w:cstheme="minorHAnsi"/>
                  <w:sz w:val="22"/>
                  <w:szCs w:val="22"/>
                </w:rPr>
                <w:t>tsbevents@itu.int</w:t>
              </w:r>
            </w:hyperlink>
          </w:p>
        </w:tc>
        <w:tc>
          <w:tcPr>
            <w:tcW w:w="5329" w:type="dxa"/>
            <w:vMerge/>
          </w:tcPr>
          <w:p w14:paraId="095B5C5C" w14:textId="77777777" w:rsidR="001350B9" w:rsidRPr="00833026" w:rsidRDefault="001350B9" w:rsidP="00833026">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833026" w14:paraId="3DE2C0A8" w14:textId="77777777" w:rsidTr="00833026">
        <w:trPr>
          <w:cantSplit/>
        </w:trPr>
        <w:tc>
          <w:tcPr>
            <w:tcW w:w="1350" w:type="dxa"/>
          </w:tcPr>
          <w:p w14:paraId="2BA65277" w14:textId="1A9ECD57" w:rsidR="007B6316" w:rsidRPr="00833026" w:rsidRDefault="007B6316" w:rsidP="00833026">
            <w:pPr>
              <w:tabs>
                <w:tab w:val="left" w:pos="4111"/>
              </w:tabs>
              <w:spacing w:before="10"/>
              <w:rPr>
                <w:rFonts w:cstheme="minorHAnsi"/>
                <w:sz w:val="22"/>
                <w:szCs w:val="22"/>
              </w:rPr>
            </w:pPr>
            <w:r w:rsidRPr="00833026">
              <w:rPr>
                <w:rFonts w:cstheme="minorHAnsi"/>
                <w:b/>
                <w:bCs/>
                <w:sz w:val="22"/>
                <w:szCs w:val="22"/>
              </w:rPr>
              <w:t>Asunto</w:t>
            </w:r>
            <w:r w:rsidRPr="00833026">
              <w:rPr>
                <w:rFonts w:cstheme="minorHAnsi"/>
                <w:sz w:val="22"/>
                <w:szCs w:val="22"/>
              </w:rPr>
              <w:t>:</w:t>
            </w:r>
          </w:p>
        </w:tc>
        <w:tc>
          <w:tcPr>
            <w:tcW w:w="8856" w:type="dxa"/>
            <w:gridSpan w:val="2"/>
          </w:tcPr>
          <w:p w14:paraId="26B66238" w14:textId="42D740F8" w:rsidR="007B6316" w:rsidRPr="00833026" w:rsidRDefault="00BE7F5E" w:rsidP="00833026">
            <w:pPr>
              <w:tabs>
                <w:tab w:val="left" w:pos="4111"/>
              </w:tabs>
              <w:spacing w:before="0"/>
              <w:rPr>
                <w:rFonts w:cstheme="minorHAnsi"/>
                <w:b/>
                <w:bCs/>
                <w:sz w:val="22"/>
                <w:szCs w:val="22"/>
              </w:rPr>
            </w:pPr>
            <w:r w:rsidRPr="00833026">
              <w:rPr>
                <w:rFonts w:cstheme="minorHAnsi"/>
                <w:b/>
                <w:bCs/>
                <w:color w:val="000000"/>
                <w:sz w:val="22"/>
                <w:szCs w:val="22"/>
                <w:lang w:val="es-ES"/>
              </w:rPr>
              <w:t>Taller del UIT-T sobre la participación de la industria 2026: Lograr el éxito de la industria mediante la normalización (Sophia Antipolis, Francia, 27 de marzo de 2026)</w:t>
            </w:r>
          </w:p>
        </w:tc>
      </w:tr>
    </w:tbl>
    <w:p w14:paraId="3F05BD5B" w14:textId="034F9191" w:rsidR="00C34772" w:rsidRPr="00833026" w:rsidRDefault="00C34772" w:rsidP="00833026">
      <w:pPr>
        <w:rPr>
          <w:rFonts w:cstheme="minorHAnsi"/>
          <w:sz w:val="22"/>
          <w:szCs w:val="22"/>
        </w:rPr>
      </w:pPr>
      <w:bookmarkStart w:id="1" w:name="StartTyping_S"/>
      <w:bookmarkStart w:id="2" w:name="suitetext"/>
      <w:bookmarkStart w:id="3" w:name="text"/>
      <w:bookmarkEnd w:id="1"/>
      <w:bookmarkEnd w:id="2"/>
      <w:bookmarkEnd w:id="3"/>
      <w:r w:rsidRPr="00833026">
        <w:rPr>
          <w:rFonts w:cstheme="minorHAnsi"/>
          <w:sz w:val="22"/>
          <w:szCs w:val="22"/>
        </w:rPr>
        <w:t>Muy Señora mía/Muy Señor mío</w:t>
      </w:r>
      <w:r w:rsidR="00833026">
        <w:rPr>
          <w:rFonts w:cstheme="minorHAnsi"/>
          <w:sz w:val="22"/>
          <w:szCs w:val="22"/>
        </w:rPr>
        <w:t>,</w:t>
      </w:r>
    </w:p>
    <w:p w14:paraId="5A3E1B1B" w14:textId="44EFAE81" w:rsidR="007B6316" w:rsidRPr="00833026" w:rsidRDefault="00BE7F5E" w:rsidP="007B6316">
      <w:pPr>
        <w:rPr>
          <w:rFonts w:cstheme="minorHAnsi"/>
          <w:sz w:val="22"/>
          <w:szCs w:val="22"/>
          <w:lang w:val="es-ES"/>
        </w:rPr>
      </w:pPr>
      <w:r w:rsidRPr="00833026">
        <w:rPr>
          <w:rFonts w:cstheme="minorHAnsi"/>
          <w:sz w:val="22"/>
          <w:szCs w:val="22"/>
          <w:lang w:val="es-ES"/>
        </w:rPr>
        <w:t>1</w:t>
      </w:r>
      <w:r w:rsidRPr="00833026">
        <w:rPr>
          <w:rFonts w:cstheme="minorHAnsi"/>
          <w:sz w:val="22"/>
          <w:szCs w:val="22"/>
          <w:lang w:val="es-ES"/>
        </w:rPr>
        <w:tab/>
      </w:r>
      <w:proofErr w:type="gramStart"/>
      <w:r w:rsidRPr="00833026">
        <w:rPr>
          <w:rFonts w:cstheme="minorHAnsi"/>
          <w:sz w:val="22"/>
          <w:szCs w:val="22"/>
          <w:lang w:val="es-ES"/>
        </w:rPr>
        <w:t>Me</w:t>
      </w:r>
      <w:proofErr w:type="gramEnd"/>
      <w:r w:rsidRPr="00833026">
        <w:rPr>
          <w:rFonts w:cstheme="minorHAnsi"/>
          <w:sz w:val="22"/>
          <w:szCs w:val="22"/>
          <w:lang w:val="es-ES"/>
        </w:rPr>
        <w:t xml:space="preserve"> complace informarle que la Unión Internacional de Telecomunicaciones (UIT) está organizando el </w:t>
      </w:r>
      <w:r w:rsidRPr="00833026">
        <w:rPr>
          <w:rFonts w:cstheme="minorHAnsi"/>
          <w:b/>
          <w:bCs/>
          <w:sz w:val="22"/>
          <w:szCs w:val="22"/>
          <w:lang w:val="es-ES"/>
        </w:rPr>
        <w:t>"Taller de participación de la industria del UIT-T de 2026: Lograr el éxito de la industria mediante la normalización" el 27 de marzo de 2026 en Sophia Antipolis (Francia)</w:t>
      </w:r>
      <w:r w:rsidRPr="00833026">
        <w:rPr>
          <w:rFonts w:cstheme="minorHAnsi"/>
          <w:sz w:val="22"/>
          <w:szCs w:val="22"/>
          <w:lang w:val="es-ES"/>
        </w:rPr>
        <w:t xml:space="preserve">. El amable anfitrión del taller será el Instituto Europeo de Normas de Telecomunicaciones (ETSI) en su sede y tendrá lugar en la sala de reuniones </w:t>
      </w:r>
      <w:r w:rsidRPr="00833026">
        <w:rPr>
          <w:rFonts w:cstheme="minorHAnsi"/>
          <w:i/>
          <w:iCs/>
          <w:sz w:val="22"/>
          <w:szCs w:val="22"/>
          <w:lang w:val="es-ES"/>
        </w:rPr>
        <w:t>Athena Amphi</w:t>
      </w:r>
      <w:r w:rsidRPr="00833026">
        <w:rPr>
          <w:rFonts w:cstheme="minorHAnsi"/>
          <w:sz w:val="22"/>
          <w:szCs w:val="22"/>
          <w:lang w:val="es-ES"/>
        </w:rPr>
        <w:t>.</w:t>
      </w:r>
    </w:p>
    <w:p w14:paraId="71EB5FFE" w14:textId="3BC84CCB" w:rsidR="00BE7F5E" w:rsidRPr="00833026" w:rsidRDefault="00BE7F5E" w:rsidP="007B6316">
      <w:pPr>
        <w:rPr>
          <w:rFonts w:cstheme="minorHAnsi"/>
          <w:sz w:val="22"/>
          <w:szCs w:val="22"/>
        </w:rPr>
      </w:pPr>
      <w:r w:rsidRPr="00833026">
        <w:rPr>
          <w:rFonts w:cstheme="minorHAnsi"/>
          <w:sz w:val="22"/>
          <w:szCs w:val="22"/>
          <w:lang w:val="es-ES"/>
        </w:rPr>
        <w:t>2</w:t>
      </w:r>
      <w:r w:rsidRPr="00833026">
        <w:rPr>
          <w:rFonts w:cstheme="minorHAnsi"/>
          <w:sz w:val="22"/>
          <w:szCs w:val="22"/>
          <w:lang w:val="es-ES"/>
        </w:rPr>
        <w:tab/>
      </w:r>
      <w:proofErr w:type="gramStart"/>
      <w:r w:rsidRPr="00833026">
        <w:rPr>
          <w:rFonts w:cstheme="minorHAnsi"/>
          <w:sz w:val="22"/>
          <w:szCs w:val="22"/>
          <w:lang w:val="es-ES"/>
        </w:rPr>
        <w:t>Aprovechando</w:t>
      </w:r>
      <w:proofErr w:type="gramEnd"/>
      <w:r w:rsidRPr="00833026">
        <w:rPr>
          <w:rFonts w:cstheme="minorHAnsi"/>
          <w:sz w:val="22"/>
          <w:szCs w:val="22"/>
          <w:lang w:val="es-ES"/>
        </w:rPr>
        <w:t xml:space="preserve"> el impulso del primer taller de participación de la industria en 2024, esta segunda edición examinará cómo la normalización puede facilitar el éxito de la industria en un entorno cada vez más digital e impulsado por el </w:t>
      </w:r>
      <w:r w:rsidRPr="00833026">
        <w:rPr>
          <w:rFonts w:cstheme="minorHAnsi"/>
          <w:i/>
          <w:iCs/>
          <w:sz w:val="22"/>
          <w:szCs w:val="22"/>
          <w:lang w:val="es-ES"/>
        </w:rPr>
        <w:t>software</w:t>
      </w:r>
      <w:r w:rsidRPr="00833026">
        <w:rPr>
          <w:rFonts w:cstheme="minorHAnsi"/>
          <w:sz w:val="22"/>
          <w:szCs w:val="22"/>
          <w:lang w:val="es-ES"/>
        </w:rPr>
        <w:t>. En el taller se estudiará cómo el UIT</w:t>
      </w:r>
      <w:r w:rsidR="00A665C6" w:rsidRPr="00833026">
        <w:rPr>
          <w:rFonts w:cstheme="minorHAnsi"/>
          <w:sz w:val="22"/>
          <w:szCs w:val="22"/>
          <w:lang w:val="es-ES"/>
        </w:rPr>
        <w:noBreakHyphen/>
      </w:r>
      <w:r w:rsidRPr="00833026">
        <w:rPr>
          <w:rFonts w:cstheme="minorHAnsi"/>
          <w:sz w:val="22"/>
          <w:szCs w:val="22"/>
          <w:lang w:val="es-ES"/>
        </w:rPr>
        <w:t>T puede seguir apoyando las tecnologías y ecosistemas digitales emergentes. En los debates se destacarán las necesidades de la industria, las experiencias prácticas de implantación y los nuevos modelos de colaboración que refuerzan la repercusión y la adopción de las normas del UIT</w:t>
      </w:r>
      <w:r w:rsidR="00A665C6" w:rsidRPr="00833026">
        <w:rPr>
          <w:rFonts w:cstheme="minorHAnsi"/>
          <w:sz w:val="22"/>
          <w:szCs w:val="22"/>
          <w:lang w:val="es-ES"/>
        </w:rPr>
        <w:noBreakHyphen/>
      </w:r>
      <w:r w:rsidRPr="00833026">
        <w:rPr>
          <w:rFonts w:cstheme="minorHAnsi"/>
          <w:sz w:val="22"/>
          <w:szCs w:val="22"/>
          <w:lang w:val="es-ES"/>
        </w:rPr>
        <w:t>T.</w:t>
      </w:r>
    </w:p>
    <w:p w14:paraId="1BA2CCDA" w14:textId="58A4B56C" w:rsidR="007B6316" w:rsidRPr="00833026" w:rsidRDefault="00BE7F5E" w:rsidP="007B6316">
      <w:pPr>
        <w:rPr>
          <w:rFonts w:cstheme="minorHAnsi"/>
          <w:sz w:val="22"/>
          <w:szCs w:val="22"/>
        </w:rPr>
      </w:pPr>
      <w:r w:rsidRPr="00833026">
        <w:rPr>
          <w:rFonts w:cstheme="minorHAnsi"/>
          <w:sz w:val="22"/>
          <w:szCs w:val="22"/>
          <w:lang w:val="es-ES"/>
        </w:rPr>
        <w:t>3</w:t>
      </w:r>
      <w:r w:rsidRPr="00833026">
        <w:rPr>
          <w:rFonts w:cstheme="minorHAnsi"/>
          <w:sz w:val="22"/>
          <w:szCs w:val="22"/>
          <w:lang w:val="es-ES"/>
        </w:rPr>
        <w:tab/>
      </w:r>
      <w:proofErr w:type="gramStart"/>
      <w:r w:rsidRPr="00833026">
        <w:rPr>
          <w:rFonts w:cstheme="minorHAnsi"/>
          <w:sz w:val="22"/>
          <w:szCs w:val="22"/>
          <w:lang w:val="es-ES"/>
        </w:rPr>
        <w:t>Los</w:t>
      </w:r>
      <w:proofErr w:type="gramEnd"/>
      <w:r w:rsidRPr="00833026">
        <w:rPr>
          <w:rFonts w:cstheme="minorHAnsi"/>
          <w:sz w:val="22"/>
          <w:szCs w:val="22"/>
          <w:lang w:val="es-ES"/>
        </w:rPr>
        <w:t xml:space="preserve"> resultados del taller servirán de orientación al Grupo de Relator sobre participación de la industria y planificación estratégica y operativa (GR-IES) del Grupo Asesor de Normalización de las Telecomunicaciones (GANT).</w:t>
      </w:r>
    </w:p>
    <w:p w14:paraId="57388CFA" w14:textId="334F0F85" w:rsidR="00FB74E3" w:rsidRPr="00833026" w:rsidRDefault="00BE7F5E" w:rsidP="00833026">
      <w:pPr>
        <w:rPr>
          <w:rFonts w:cstheme="minorHAnsi"/>
          <w:sz w:val="22"/>
          <w:szCs w:val="22"/>
        </w:rPr>
      </w:pPr>
      <w:r w:rsidRPr="00833026">
        <w:rPr>
          <w:rFonts w:cstheme="minorHAnsi"/>
          <w:sz w:val="22"/>
          <w:szCs w:val="22"/>
          <w:lang w:val="es-ES"/>
        </w:rPr>
        <w:t>4</w:t>
      </w:r>
      <w:r w:rsidRPr="00833026">
        <w:rPr>
          <w:rFonts w:cstheme="minorHAnsi"/>
          <w:sz w:val="22"/>
          <w:szCs w:val="22"/>
          <w:lang w:val="es-ES"/>
        </w:rPr>
        <w:tab/>
      </w:r>
      <w:proofErr w:type="gramStart"/>
      <w:r w:rsidRPr="00833026">
        <w:rPr>
          <w:rFonts w:cstheme="minorHAnsi"/>
          <w:sz w:val="22"/>
          <w:szCs w:val="22"/>
          <w:lang w:val="es-ES"/>
        </w:rPr>
        <w:t>Se</w:t>
      </w:r>
      <w:proofErr w:type="gramEnd"/>
      <w:r w:rsidRPr="00833026">
        <w:rPr>
          <w:rFonts w:cstheme="minorHAnsi"/>
          <w:sz w:val="22"/>
          <w:szCs w:val="22"/>
          <w:lang w:val="es-ES"/>
        </w:rPr>
        <w:t xml:space="preserve"> invita a los representantes de organizaciones del sector privado de todas las regiones y tamaños, activos o interesados en el UIT-T y en la elaboración de normas internacionales. La participación está abierta a todas las partes interesadas, incluidos los Estados Miembros, Miembros de Sector, Asociados e Instituciones Académicas de la UIT, así como particulares de Estados Miembros de la UIT.</w:t>
      </w:r>
    </w:p>
    <w:p w14:paraId="39DF1647" w14:textId="5C4ED46F" w:rsidR="00BE7F5E" w:rsidRPr="00833026" w:rsidRDefault="00BE7F5E" w:rsidP="007B6316">
      <w:pPr>
        <w:rPr>
          <w:rFonts w:cstheme="minorHAnsi"/>
          <w:sz w:val="22"/>
          <w:szCs w:val="22"/>
        </w:rPr>
      </w:pPr>
      <w:r w:rsidRPr="00833026">
        <w:rPr>
          <w:rFonts w:cstheme="minorHAnsi"/>
          <w:sz w:val="22"/>
          <w:szCs w:val="22"/>
          <w:lang w:val="es-ES"/>
        </w:rPr>
        <w:t>5</w:t>
      </w:r>
      <w:r w:rsidRPr="00833026">
        <w:rPr>
          <w:rFonts w:cstheme="minorHAnsi"/>
          <w:sz w:val="22"/>
          <w:szCs w:val="22"/>
          <w:lang w:val="es-ES"/>
        </w:rPr>
        <w:tab/>
      </w:r>
      <w:proofErr w:type="gramStart"/>
      <w:r w:rsidRPr="00833026">
        <w:rPr>
          <w:rFonts w:cstheme="minorHAnsi"/>
          <w:sz w:val="22"/>
          <w:szCs w:val="22"/>
          <w:lang w:val="es-ES"/>
        </w:rPr>
        <w:t>Toda</w:t>
      </w:r>
      <w:proofErr w:type="gramEnd"/>
      <w:r w:rsidRPr="00833026">
        <w:rPr>
          <w:rFonts w:cstheme="minorHAnsi"/>
          <w:sz w:val="22"/>
          <w:szCs w:val="22"/>
          <w:lang w:val="es-ES"/>
        </w:rPr>
        <w:t xml:space="preserve"> la información pertinente relativa al evento (proyecto de programa, oradores, enlace de inscripción) estará disponible en la página web del evento en la dirección </w:t>
      </w:r>
      <w:hyperlink r:id="rId10" w:history="1">
        <w:r w:rsidRPr="00833026">
          <w:rPr>
            <w:rStyle w:val="Hyperlink"/>
            <w:rFonts w:cstheme="minorHAnsi"/>
            <w:sz w:val="22"/>
            <w:szCs w:val="22"/>
            <w:lang w:val="es-ES"/>
          </w:rPr>
          <w:t>https://www.itu.int/en/ITU-T/Workshops-and-Seminars/2026/0327/Pages/default.aspx</w:t>
        </w:r>
      </w:hyperlink>
      <w:r w:rsidRPr="00833026">
        <w:rPr>
          <w:rFonts w:cstheme="minorHAnsi"/>
          <w:sz w:val="22"/>
          <w:szCs w:val="22"/>
          <w:lang w:val="es-ES"/>
        </w:rPr>
        <w:t>. La página web del evento será actualizada de manera periódica a medida que se disponga de información adicional. Se insta a los participantes a consultarla regularmente para mantenerse informados.</w:t>
      </w:r>
    </w:p>
    <w:p w14:paraId="7E2B95CD" w14:textId="5F3FBB29" w:rsidR="00BE7F5E" w:rsidRPr="00833026" w:rsidRDefault="00A665C6" w:rsidP="007B6316">
      <w:pPr>
        <w:rPr>
          <w:rFonts w:cstheme="minorHAnsi"/>
          <w:sz w:val="22"/>
          <w:szCs w:val="22"/>
        </w:rPr>
      </w:pPr>
      <w:r w:rsidRPr="00833026">
        <w:rPr>
          <w:rFonts w:cstheme="minorHAnsi"/>
          <w:sz w:val="22"/>
          <w:szCs w:val="22"/>
          <w:lang w:val="es-ES"/>
        </w:rPr>
        <w:t>6</w:t>
      </w:r>
      <w:r w:rsidR="00BE7F5E" w:rsidRPr="00833026">
        <w:rPr>
          <w:rFonts w:cstheme="minorHAnsi"/>
          <w:sz w:val="22"/>
          <w:szCs w:val="22"/>
          <w:lang w:val="es-ES"/>
        </w:rPr>
        <w:tab/>
      </w:r>
      <w:proofErr w:type="gramStart"/>
      <w:r w:rsidR="00BE7F5E" w:rsidRPr="00833026">
        <w:rPr>
          <w:rFonts w:cstheme="minorHAnsi"/>
          <w:sz w:val="22"/>
          <w:szCs w:val="22"/>
          <w:lang w:val="es-ES"/>
        </w:rPr>
        <w:t>Para</w:t>
      </w:r>
      <w:proofErr w:type="gramEnd"/>
      <w:r w:rsidR="00BE7F5E" w:rsidRPr="00833026">
        <w:rPr>
          <w:rFonts w:cstheme="minorHAnsi"/>
          <w:sz w:val="22"/>
          <w:szCs w:val="22"/>
          <w:lang w:val="es-ES"/>
        </w:rPr>
        <w:t xml:space="preserve"> que la TSB pueda tomar las disposiciones necesarias en relación con la organización, le agradecería que se inscribiese lo antes posible en la siguiente página web: </w:t>
      </w:r>
      <w:hyperlink r:id="rId11" w:history="1">
        <w:r w:rsidR="00BE7F5E" w:rsidRPr="00833026">
          <w:rPr>
            <w:rStyle w:val="Hyperlink"/>
            <w:rFonts w:cstheme="minorHAnsi"/>
            <w:sz w:val="22"/>
            <w:szCs w:val="22"/>
            <w:lang w:val="es-ES"/>
          </w:rPr>
          <w:t>https://www.itu.int/net4/CRM/xreg/web/Registration.aspx?Event=C-00016295</w:t>
        </w:r>
      </w:hyperlink>
      <w:r w:rsidR="00BE7F5E" w:rsidRPr="00833026">
        <w:rPr>
          <w:rFonts w:cstheme="minorHAnsi"/>
          <w:sz w:val="22"/>
          <w:szCs w:val="22"/>
          <w:lang w:val="es-ES"/>
        </w:rPr>
        <w:t xml:space="preserve"> a más tardar el </w:t>
      </w:r>
      <w:r w:rsidR="00BE7F5E" w:rsidRPr="00833026">
        <w:rPr>
          <w:rFonts w:cstheme="minorHAnsi"/>
          <w:b/>
          <w:bCs/>
          <w:sz w:val="22"/>
          <w:szCs w:val="22"/>
          <w:lang w:val="es-ES"/>
        </w:rPr>
        <w:t>23</w:t>
      </w:r>
      <w:r w:rsidRPr="00833026">
        <w:rPr>
          <w:rFonts w:cstheme="minorHAnsi"/>
          <w:b/>
          <w:bCs/>
          <w:sz w:val="22"/>
          <w:szCs w:val="22"/>
          <w:lang w:val="es-ES"/>
        </w:rPr>
        <w:t> </w:t>
      </w:r>
      <w:r w:rsidR="00BE7F5E" w:rsidRPr="00833026">
        <w:rPr>
          <w:rFonts w:cstheme="minorHAnsi"/>
          <w:b/>
          <w:bCs/>
          <w:sz w:val="22"/>
          <w:szCs w:val="22"/>
          <w:lang w:val="es-ES"/>
        </w:rPr>
        <w:t>de marzo de 2026</w:t>
      </w:r>
      <w:r w:rsidR="00BE7F5E" w:rsidRPr="00833026">
        <w:rPr>
          <w:rFonts w:cstheme="minorHAnsi"/>
          <w:sz w:val="22"/>
          <w:szCs w:val="22"/>
          <w:lang w:val="es-ES"/>
        </w:rPr>
        <w:t xml:space="preserve">. Le ruego tenga presente que </w:t>
      </w:r>
      <w:r w:rsidR="00BE7F5E" w:rsidRPr="00833026">
        <w:rPr>
          <w:rFonts w:cstheme="minorHAnsi"/>
          <w:b/>
          <w:bCs/>
          <w:sz w:val="22"/>
          <w:szCs w:val="22"/>
          <w:lang w:val="es-ES"/>
        </w:rPr>
        <w:t>la preinscripción de los participantes en el taller es obligatoria</w:t>
      </w:r>
      <w:r w:rsidR="00BE7F5E" w:rsidRPr="00833026">
        <w:rPr>
          <w:rFonts w:cstheme="minorHAnsi"/>
          <w:sz w:val="22"/>
          <w:szCs w:val="22"/>
          <w:lang w:val="es-ES"/>
        </w:rPr>
        <w:t xml:space="preserve"> y se lleva a cabo exclusivamente en línea.</w:t>
      </w:r>
    </w:p>
    <w:p w14:paraId="2A6A03F2" w14:textId="68341D3F" w:rsidR="00BE7F5E" w:rsidRPr="00833026" w:rsidRDefault="00A665C6" w:rsidP="007B6316">
      <w:pPr>
        <w:rPr>
          <w:rFonts w:cstheme="minorHAnsi"/>
          <w:sz w:val="22"/>
          <w:szCs w:val="22"/>
        </w:rPr>
      </w:pPr>
      <w:r w:rsidRPr="00833026">
        <w:rPr>
          <w:rFonts w:cstheme="minorHAnsi"/>
          <w:sz w:val="22"/>
          <w:szCs w:val="22"/>
          <w:lang w:val="es-ES"/>
        </w:rPr>
        <w:lastRenderedPageBreak/>
        <w:t>7</w:t>
      </w:r>
      <w:r w:rsidR="00BE7F5E" w:rsidRPr="00833026">
        <w:rPr>
          <w:rFonts w:cstheme="minorHAnsi"/>
          <w:sz w:val="22"/>
          <w:szCs w:val="22"/>
          <w:lang w:val="es-ES"/>
        </w:rPr>
        <w:tab/>
      </w:r>
      <w:proofErr w:type="gramStart"/>
      <w:r w:rsidR="00BE7F5E" w:rsidRPr="00833026">
        <w:rPr>
          <w:rFonts w:cstheme="minorHAnsi"/>
          <w:sz w:val="22"/>
          <w:szCs w:val="22"/>
          <w:lang w:val="es-ES"/>
        </w:rPr>
        <w:t>Le</w:t>
      </w:r>
      <w:proofErr w:type="gramEnd"/>
      <w:r w:rsidR="00BE7F5E" w:rsidRPr="00833026">
        <w:rPr>
          <w:rFonts w:cstheme="minorHAnsi"/>
          <w:sz w:val="22"/>
          <w:szCs w:val="22"/>
          <w:lang w:val="es-ES"/>
        </w:rPr>
        <w:t xml:space="preserve"> recuerdo que los ciudadanos de algunos países necesitan obtener un visado para poder entrar y permanecer en Francia. Los visados deben solicitarse lo antes posible y obtenerse en la oficina (embajada o consulado) que representa a Francia en su país o, si no existiera dicha oficina en su país, en la más cercana al país de salida. Se publicará información adicional sobre los requisitos para la obtención de visados en la página web del evento, en la sección </w:t>
      </w:r>
      <w:r w:rsidR="00BE7F5E" w:rsidRPr="00833026">
        <w:rPr>
          <w:rFonts w:cstheme="minorHAnsi"/>
          <w:b/>
          <w:bCs/>
          <w:sz w:val="22"/>
          <w:szCs w:val="22"/>
          <w:lang w:val="es-ES"/>
        </w:rPr>
        <w:t>"Información práctica"</w:t>
      </w:r>
      <w:r w:rsidR="00BE7F5E" w:rsidRPr="00833026">
        <w:rPr>
          <w:rFonts w:cstheme="minorHAnsi"/>
          <w:sz w:val="22"/>
          <w:szCs w:val="22"/>
          <w:lang w:val="es-ES"/>
        </w:rPr>
        <w:t>.</w:t>
      </w:r>
    </w:p>
    <w:p w14:paraId="4F998C34" w14:textId="2F82D3B0" w:rsidR="007B6316" w:rsidRPr="00833026" w:rsidRDefault="00BE7F5E" w:rsidP="007B6316">
      <w:pPr>
        <w:rPr>
          <w:rFonts w:cstheme="minorHAnsi"/>
          <w:sz w:val="22"/>
          <w:szCs w:val="22"/>
        </w:rPr>
      </w:pPr>
      <w:r w:rsidRPr="00833026">
        <w:rPr>
          <w:rFonts w:cstheme="minorHAnsi"/>
          <w:sz w:val="22"/>
          <w:szCs w:val="22"/>
        </w:rPr>
        <w:t>Le saluda a</w:t>
      </w:r>
      <w:r w:rsidR="007B6316" w:rsidRPr="00833026">
        <w:rPr>
          <w:rFonts w:cstheme="minorHAnsi"/>
          <w:sz w:val="22"/>
          <w:szCs w:val="22"/>
        </w:rPr>
        <w:t>tentamente,</w:t>
      </w:r>
    </w:p>
    <w:p w14:paraId="5397A456" w14:textId="1AC4DF63" w:rsidR="007B6316" w:rsidRPr="00833026" w:rsidRDefault="00960619" w:rsidP="00833026">
      <w:pPr>
        <w:spacing w:before="720"/>
        <w:rPr>
          <w:rFonts w:cstheme="minorHAnsi"/>
          <w:sz w:val="22"/>
          <w:szCs w:val="22"/>
        </w:rPr>
      </w:pPr>
      <w:r>
        <w:rPr>
          <w:rFonts w:cstheme="minorHAnsi"/>
          <w:noProof/>
          <w:sz w:val="22"/>
          <w:szCs w:val="22"/>
          <w:lang w:val="es-ES"/>
        </w:rPr>
        <w:drawing>
          <wp:anchor distT="0" distB="0" distL="114300" distR="114300" simplePos="0" relativeHeight="251658240" behindDoc="1" locked="0" layoutInCell="1" allowOverlap="1" wp14:anchorId="0DBA8A45" wp14:editId="2AEC429D">
            <wp:simplePos x="0" y="0"/>
            <wp:positionH relativeFrom="margin">
              <wp:align>left</wp:align>
            </wp:positionH>
            <wp:positionV relativeFrom="paragraph">
              <wp:posOffset>47625</wp:posOffset>
            </wp:positionV>
            <wp:extent cx="825542" cy="330217"/>
            <wp:effectExtent l="0" t="0" r="0" b="0"/>
            <wp:wrapNone/>
            <wp:docPr id="107703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32181" name="Picture 1077032181"/>
                    <pic:cNvPicPr/>
                  </pic:nvPicPr>
                  <pic:blipFill>
                    <a:blip r:embed="rId12">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833026">
        <w:rPr>
          <w:rFonts w:cstheme="minorHAnsi"/>
          <w:sz w:val="22"/>
          <w:szCs w:val="22"/>
          <w:lang w:val="es-ES"/>
        </w:rPr>
        <w:t>Seizo Onoe</w:t>
      </w:r>
      <w:r w:rsidR="007B6316" w:rsidRPr="00833026">
        <w:rPr>
          <w:rFonts w:cstheme="minorHAnsi"/>
          <w:sz w:val="22"/>
          <w:szCs w:val="22"/>
        </w:rPr>
        <w:br/>
      </w:r>
      <w:proofErr w:type="gramStart"/>
      <w:r w:rsidR="007B6316" w:rsidRPr="00833026">
        <w:rPr>
          <w:rFonts w:cstheme="minorHAnsi"/>
          <w:sz w:val="22"/>
          <w:szCs w:val="22"/>
        </w:rPr>
        <w:t>Director</w:t>
      </w:r>
      <w:proofErr w:type="gramEnd"/>
      <w:r w:rsidR="007B6316" w:rsidRPr="00833026">
        <w:rPr>
          <w:rFonts w:cstheme="minorHAnsi"/>
          <w:sz w:val="22"/>
          <w:szCs w:val="22"/>
        </w:rPr>
        <w:t xml:space="preserve"> de la Oficina de </w:t>
      </w:r>
      <w:r w:rsidR="007B6316" w:rsidRPr="00833026">
        <w:rPr>
          <w:rFonts w:cstheme="minorHAnsi"/>
          <w:sz w:val="22"/>
          <w:szCs w:val="22"/>
        </w:rPr>
        <w:br/>
        <w:t>Normalización de las Telecomunicaciones</w:t>
      </w:r>
    </w:p>
    <w:p w14:paraId="7B885067" w14:textId="77777777" w:rsidR="00401C20" w:rsidRPr="00A665C6" w:rsidRDefault="00401C20" w:rsidP="007B6316">
      <w:pPr>
        <w:ind w:right="92"/>
        <w:rPr>
          <w:szCs w:val="24"/>
          <w:lang w:val="es-ES"/>
        </w:rPr>
      </w:pPr>
    </w:p>
    <w:sectPr w:rsidR="00401C20" w:rsidRPr="00A665C6" w:rsidSect="00B87E9E">
      <w:headerReference w:type="default" r:id="rId13"/>
      <w:footerReference w:type="first" r:id="rId14"/>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2669" w14:textId="77777777" w:rsidR="005647D3" w:rsidRDefault="005647D3">
      <w:r>
        <w:separator/>
      </w:r>
    </w:p>
  </w:endnote>
  <w:endnote w:type="continuationSeparator" w:id="0">
    <w:p w14:paraId="66DD3757" w14:textId="77777777" w:rsidR="005647D3" w:rsidRDefault="0056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14E9"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B9F5D" w14:textId="77777777" w:rsidR="005647D3" w:rsidRDefault="005647D3">
      <w:r>
        <w:t>____________________</w:t>
      </w:r>
    </w:p>
  </w:footnote>
  <w:footnote w:type="continuationSeparator" w:id="0">
    <w:p w14:paraId="2BF3092A" w14:textId="77777777" w:rsidR="005647D3" w:rsidRDefault="00564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C8DA" w14:textId="48FFC3A1"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1700D647" w14:textId="4067031A" w:rsidR="00BE7F5E" w:rsidRPr="00303D62" w:rsidRDefault="00BE7F5E">
    <w:pPr>
      <w:pStyle w:val="Header"/>
      <w:rPr>
        <w:sz w:val="18"/>
        <w:szCs w:val="18"/>
      </w:rPr>
    </w:pPr>
    <w:r>
      <w:rPr>
        <w:rStyle w:val="PageNumber"/>
        <w:sz w:val="18"/>
        <w:szCs w:val="18"/>
      </w:rPr>
      <w:t>Circular TSB 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5E"/>
    <w:rsid w:val="00002529"/>
    <w:rsid w:val="00085662"/>
    <w:rsid w:val="000C382F"/>
    <w:rsid w:val="001173CC"/>
    <w:rsid w:val="001350B9"/>
    <w:rsid w:val="0014464D"/>
    <w:rsid w:val="001A54CC"/>
    <w:rsid w:val="002224D2"/>
    <w:rsid w:val="00257FB4"/>
    <w:rsid w:val="002E496E"/>
    <w:rsid w:val="00303D62"/>
    <w:rsid w:val="00335367"/>
    <w:rsid w:val="00370C2D"/>
    <w:rsid w:val="003D1E8D"/>
    <w:rsid w:val="003D673B"/>
    <w:rsid w:val="003F2855"/>
    <w:rsid w:val="00401C20"/>
    <w:rsid w:val="004A7957"/>
    <w:rsid w:val="004C4144"/>
    <w:rsid w:val="0055719E"/>
    <w:rsid w:val="005647D3"/>
    <w:rsid w:val="006969B4"/>
    <w:rsid w:val="006A48A0"/>
    <w:rsid w:val="006E4F7B"/>
    <w:rsid w:val="0070204C"/>
    <w:rsid w:val="00781E2A"/>
    <w:rsid w:val="007933A2"/>
    <w:rsid w:val="007B6316"/>
    <w:rsid w:val="00814503"/>
    <w:rsid w:val="008258C2"/>
    <w:rsid w:val="00833026"/>
    <w:rsid w:val="008505BD"/>
    <w:rsid w:val="00850C78"/>
    <w:rsid w:val="00876165"/>
    <w:rsid w:val="00884D12"/>
    <w:rsid w:val="008C17AD"/>
    <w:rsid w:val="008D02CD"/>
    <w:rsid w:val="0091370C"/>
    <w:rsid w:val="0095172A"/>
    <w:rsid w:val="00960619"/>
    <w:rsid w:val="009A0BA0"/>
    <w:rsid w:val="00A54E47"/>
    <w:rsid w:val="00A665C6"/>
    <w:rsid w:val="00AB6E3A"/>
    <w:rsid w:val="00AE7093"/>
    <w:rsid w:val="00B422BC"/>
    <w:rsid w:val="00B43F77"/>
    <w:rsid w:val="00B45DAC"/>
    <w:rsid w:val="00B527BE"/>
    <w:rsid w:val="00B55A3E"/>
    <w:rsid w:val="00B84130"/>
    <w:rsid w:val="00B87E9E"/>
    <w:rsid w:val="00B95F0A"/>
    <w:rsid w:val="00B96180"/>
    <w:rsid w:val="00BE7F5E"/>
    <w:rsid w:val="00C116FE"/>
    <w:rsid w:val="00C17AC0"/>
    <w:rsid w:val="00C34772"/>
    <w:rsid w:val="00C5465A"/>
    <w:rsid w:val="00D54642"/>
    <w:rsid w:val="00D834E7"/>
    <w:rsid w:val="00DD77C9"/>
    <w:rsid w:val="00DF3538"/>
    <w:rsid w:val="00E839B0"/>
    <w:rsid w:val="00E92C09"/>
    <w:rsid w:val="00F14380"/>
    <w:rsid w:val="00F6461F"/>
    <w:rsid w:val="00FB74E3"/>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97F850"/>
  <w15:docId w15:val="{FF4CA650-0619-4552-9A04-CDAEE73A0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Style 58,超????,超?级链,하이퍼링크2"/>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styleId="UnresolvedMention">
    <w:name w:val="Unresolved Mention"/>
    <w:basedOn w:val="DefaultParagraphFont"/>
    <w:uiPriority w:val="99"/>
    <w:semiHidden/>
    <w:unhideWhenUsed/>
    <w:rsid w:val="00BE7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4/CRM/xreg/web/Registration.aspx?Event=C-00016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ITU-T/Workshops-and-Seminars/2026/0327/Pages/default.aspx" TargetMode="External"/><Relationship Id="rId4" Type="http://schemas.openxmlformats.org/officeDocument/2006/relationships/settings" Target="settings.xml"/><Relationship Id="rId9" Type="http://schemas.openxmlformats.org/officeDocument/2006/relationships/hyperlink" Target="mailto:tsbevents@itu.in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4270</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Chaudhary, Manvi</cp:lastModifiedBy>
  <cp:revision>2</cp:revision>
  <cp:lastPrinted>2026-02-17T10:17:00Z</cp:lastPrinted>
  <dcterms:created xsi:type="dcterms:W3CDTF">2026-02-17T10:41:00Z</dcterms:created>
  <dcterms:modified xsi:type="dcterms:W3CDTF">2026-02-17T10:41:00Z</dcterms:modified>
</cp:coreProperties>
</file>