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435"/>
        <w:tblW w:w="0" w:type="auto"/>
        <w:tblCellMar>
          <w:left w:w="0" w:type="dxa"/>
          <w:right w:w="0" w:type="dxa"/>
        </w:tblCellMar>
        <w:tblLook w:val="0000" w:firstRow="0" w:lastRow="0" w:firstColumn="0" w:lastColumn="0" w:noHBand="0" w:noVBand="0"/>
      </w:tblPr>
      <w:tblGrid>
        <w:gridCol w:w="1279"/>
        <w:gridCol w:w="3178"/>
        <w:gridCol w:w="5272"/>
      </w:tblGrid>
      <w:tr w:rsidR="00EF6A23" w:rsidRPr="00DF68C0" w14:paraId="3FDAE1F3" w14:textId="77777777" w:rsidTr="00AA079C">
        <w:trPr>
          <w:cantSplit/>
        </w:trPr>
        <w:tc>
          <w:tcPr>
            <w:tcW w:w="0" w:type="auto"/>
            <w:vAlign w:val="center"/>
          </w:tcPr>
          <w:p w14:paraId="3DE42CAA" w14:textId="77777777" w:rsidR="00EF6A23" w:rsidRPr="00DF68C0" w:rsidRDefault="00EF6A23" w:rsidP="00AA079C">
            <w:pPr>
              <w:tabs>
                <w:tab w:val="right" w:pos="8732"/>
              </w:tabs>
              <w:spacing w:before="0"/>
              <w:rPr>
                <w:b/>
                <w:bCs/>
                <w:iCs/>
                <w:color w:val="FFFFFF"/>
                <w:sz w:val="30"/>
                <w:szCs w:val="30"/>
              </w:rPr>
            </w:pPr>
            <w:r w:rsidRPr="00DF68C0">
              <w:rPr>
                <w:noProof/>
                <w:lang w:eastAsia="zh-CN"/>
              </w:rPr>
              <w:drawing>
                <wp:inline distT="0" distB="0" distL="0" distR="0" wp14:anchorId="05764050" wp14:editId="721A4A54">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DF68C0" w:rsidRDefault="00EF6A23" w:rsidP="00AA079C">
            <w:pPr>
              <w:spacing w:before="0"/>
              <w:rPr>
                <w:rFonts w:cs="Times New Roman Bold"/>
                <w:b/>
                <w:bCs/>
                <w:iCs/>
                <w:smallCaps/>
                <w:sz w:val="34"/>
                <w:szCs w:val="34"/>
              </w:rPr>
            </w:pPr>
            <w:r w:rsidRPr="00DF68C0">
              <w:rPr>
                <w:rFonts w:cs="Times New Roman Bold"/>
                <w:b/>
                <w:bCs/>
                <w:iCs/>
                <w:smallCaps/>
                <w:sz w:val="34"/>
                <w:szCs w:val="34"/>
              </w:rPr>
              <w:t>Union internationale des télécommunications</w:t>
            </w:r>
          </w:p>
          <w:p w14:paraId="089E66D0" w14:textId="77777777" w:rsidR="00EF6A23" w:rsidRPr="00DF68C0" w:rsidRDefault="00EF6A23" w:rsidP="00AA079C">
            <w:pPr>
              <w:spacing w:before="0"/>
              <w:rPr>
                <w:color w:val="FFFFFF"/>
                <w:sz w:val="26"/>
                <w:szCs w:val="26"/>
              </w:rPr>
            </w:pPr>
            <w:r w:rsidRPr="00DF68C0">
              <w:rPr>
                <w:rFonts w:cs="Times New Roman Bold"/>
                <w:b/>
                <w:bCs/>
                <w:iCs/>
                <w:smallCaps/>
                <w:sz w:val="28"/>
                <w:szCs w:val="28"/>
              </w:rPr>
              <w:t>B</w:t>
            </w:r>
            <w:r w:rsidRPr="00DF68C0">
              <w:rPr>
                <w:b/>
                <w:bCs/>
                <w:iCs/>
                <w:smallCaps/>
                <w:sz w:val="28"/>
                <w:szCs w:val="28"/>
              </w:rPr>
              <w:t>ureau de la Normalisation des Télécommunications</w:t>
            </w:r>
          </w:p>
        </w:tc>
      </w:tr>
      <w:tr w:rsidR="00036F4F" w:rsidRPr="00AA079C" w14:paraId="18B25741" w14:textId="77777777" w:rsidTr="00AA079C">
        <w:trPr>
          <w:cantSplit/>
        </w:trPr>
        <w:tc>
          <w:tcPr>
            <w:tcW w:w="0" w:type="auto"/>
          </w:tcPr>
          <w:p w14:paraId="4B1AFD72" w14:textId="77777777" w:rsidR="00036F4F" w:rsidRPr="00AA079C" w:rsidRDefault="00036F4F" w:rsidP="00AA079C">
            <w:pPr>
              <w:tabs>
                <w:tab w:val="left" w:pos="4111"/>
              </w:tabs>
              <w:spacing w:before="10"/>
              <w:ind w:left="57"/>
              <w:rPr>
                <w:rFonts w:cstheme="minorHAnsi"/>
                <w:sz w:val="22"/>
                <w:szCs w:val="22"/>
              </w:rPr>
            </w:pPr>
          </w:p>
        </w:tc>
        <w:tc>
          <w:tcPr>
            <w:tcW w:w="3401" w:type="dxa"/>
          </w:tcPr>
          <w:p w14:paraId="6579D3E8" w14:textId="77777777" w:rsidR="00036F4F" w:rsidRPr="00AA079C" w:rsidRDefault="00036F4F" w:rsidP="00AA079C">
            <w:pPr>
              <w:tabs>
                <w:tab w:val="left" w:pos="4111"/>
              </w:tabs>
              <w:spacing w:before="10"/>
              <w:ind w:left="57"/>
              <w:rPr>
                <w:rFonts w:cstheme="minorHAnsi"/>
                <w:b/>
                <w:sz w:val="22"/>
                <w:szCs w:val="22"/>
              </w:rPr>
            </w:pPr>
          </w:p>
        </w:tc>
        <w:tc>
          <w:tcPr>
            <w:tcW w:w="5049" w:type="dxa"/>
          </w:tcPr>
          <w:p w14:paraId="0DC34ECA" w14:textId="745CE2F6" w:rsidR="00036F4F" w:rsidRPr="00AA079C" w:rsidRDefault="00036F4F" w:rsidP="00AA079C">
            <w:pPr>
              <w:tabs>
                <w:tab w:val="clear" w:pos="794"/>
                <w:tab w:val="clear" w:pos="1191"/>
                <w:tab w:val="clear" w:pos="1588"/>
                <w:tab w:val="clear" w:pos="1985"/>
                <w:tab w:val="left" w:pos="284"/>
              </w:tabs>
              <w:spacing w:after="120"/>
              <w:ind w:left="284" w:hanging="227"/>
              <w:rPr>
                <w:rFonts w:cstheme="minorHAnsi"/>
                <w:sz w:val="22"/>
                <w:szCs w:val="22"/>
              </w:rPr>
            </w:pPr>
            <w:r w:rsidRPr="00AA079C">
              <w:rPr>
                <w:rFonts w:cstheme="minorHAnsi"/>
                <w:sz w:val="22"/>
                <w:szCs w:val="22"/>
              </w:rPr>
              <w:t>Genève, le</w:t>
            </w:r>
            <w:r w:rsidR="004419E9" w:rsidRPr="00AA079C">
              <w:rPr>
                <w:rFonts w:cstheme="minorHAnsi"/>
                <w:sz w:val="22"/>
                <w:szCs w:val="22"/>
              </w:rPr>
              <w:t xml:space="preserve"> </w:t>
            </w:r>
            <w:r w:rsidR="003514D2" w:rsidRPr="00AA079C">
              <w:rPr>
                <w:rFonts w:cstheme="minorHAnsi"/>
                <w:sz w:val="22"/>
                <w:szCs w:val="22"/>
              </w:rPr>
              <w:t>1</w:t>
            </w:r>
            <w:r w:rsidR="00DF68C0" w:rsidRPr="00AA079C">
              <w:rPr>
                <w:rFonts w:cstheme="minorHAnsi"/>
                <w:sz w:val="22"/>
                <w:szCs w:val="22"/>
              </w:rPr>
              <w:t>0</w:t>
            </w:r>
            <w:r w:rsidR="003514D2" w:rsidRPr="00AA079C">
              <w:rPr>
                <w:rFonts w:cstheme="minorHAnsi"/>
                <w:sz w:val="22"/>
                <w:szCs w:val="22"/>
              </w:rPr>
              <w:t xml:space="preserve"> </w:t>
            </w:r>
            <w:r w:rsidR="00DF68C0" w:rsidRPr="00AA079C">
              <w:rPr>
                <w:rFonts w:cstheme="minorHAnsi"/>
                <w:sz w:val="22"/>
                <w:szCs w:val="22"/>
              </w:rPr>
              <w:t>février</w:t>
            </w:r>
            <w:r w:rsidR="003514D2" w:rsidRPr="00AA079C">
              <w:rPr>
                <w:rFonts w:cstheme="minorHAnsi"/>
                <w:sz w:val="22"/>
                <w:szCs w:val="22"/>
              </w:rPr>
              <w:t xml:space="preserve"> 2026</w:t>
            </w:r>
          </w:p>
        </w:tc>
      </w:tr>
      <w:tr w:rsidR="007462BE" w:rsidRPr="00AA079C" w14:paraId="16CDDFEF" w14:textId="77777777" w:rsidTr="00AA079C">
        <w:trPr>
          <w:cantSplit/>
          <w:trHeight w:val="340"/>
        </w:trPr>
        <w:tc>
          <w:tcPr>
            <w:tcW w:w="0" w:type="auto"/>
          </w:tcPr>
          <w:p w14:paraId="3EFF375D" w14:textId="58556577" w:rsidR="007462BE" w:rsidRPr="00AA079C" w:rsidRDefault="007462BE" w:rsidP="00AA079C">
            <w:pPr>
              <w:tabs>
                <w:tab w:val="left" w:pos="4111"/>
              </w:tabs>
              <w:spacing w:before="10"/>
              <w:ind w:left="57"/>
              <w:rPr>
                <w:rFonts w:cstheme="minorHAnsi"/>
                <w:b/>
                <w:bCs/>
                <w:sz w:val="22"/>
                <w:szCs w:val="22"/>
              </w:rPr>
            </w:pPr>
            <w:proofErr w:type="gramStart"/>
            <w:r w:rsidRPr="00AA079C">
              <w:rPr>
                <w:rFonts w:cstheme="minorHAnsi"/>
                <w:b/>
                <w:bCs/>
                <w:sz w:val="22"/>
                <w:szCs w:val="22"/>
              </w:rPr>
              <w:t>Réf.:</w:t>
            </w:r>
            <w:proofErr w:type="gramEnd"/>
          </w:p>
        </w:tc>
        <w:tc>
          <w:tcPr>
            <w:tcW w:w="3401" w:type="dxa"/>
          </w:tcPr>
          <w:p w14:paraId="5FFBBC9B" w14:textId="29305C31" w:rsidR="007462BE" w:rsidRPr="00AA079C" w:rsidRDefault="007462BE" w:rsidP="00AA079C">
            <w:pPr>
              <w:tabs>
                <w:tab w:val="left" w:pos="4111"/>
              </w:tabs>
              <w:spacing w:before="10"/>
              <w:ind w:left="57"/>
              <w:rPr>
                <w:rFonts w:cstheme="minorHAnsi"/>
                <w:b/>
                <w:sz w:val="22"/>
                <w:szCs w:val="22"/>
              </w:rPr>
            </w:pPr>
            <w:r w:rsidRPr="00AA079C">
              <w:rPr>
                <w:rFonts w:cstheme="minorHAnsi"/>
                <w:b/>
                <w:sz w:val="22"/>
                <w:szCs w:val="22"/>
              </w:rPr>
              <w:t xml:space="preserve">Circulaire TSB </w:t>
            </w:r>
            <w:r w:rsidR="00DF68C0" w:rsidRPr="00AA079C">
              <w:rPr>
                <w:rFonts w:cstheme="minorHAnsi"/>
                <w:b/>
                <w:sz w:val="22"/>
                <w:szCs w:val="22"/>
              </w:rPr>
              <w:t>98</w:t>
            </w:r>
          </w:p>
          <w:p w14:paraId="577F6DA2" w14:textId="669C0ED1" w:rsidR="007462BE" w:rsidRPr="00AA079C" w:rsidRDefault="00DF68C0" w:rsidP="00AA079C">
            <w:pPr>
              <w:tabs>
                <w:tab w:val="left" w:pos="4111"/>
              </w:tabs>
              <w:spacing w:before="10"/>
              <w:ind w:left="57"/>
              <w:rPr>
                <w:rFonts w:cstheme="minorHAnsi"/>
                <w:sz w:val="22"/>
                <w:szCs w:val="22"/>
              </w:rPr>
            </w:pPr>
            <w:r w:rsidRPr="00AA079C">
              <w:rPr>
                <w:rFonts w:cstheme="minorHAnsi"/>
                <w:sz w:val="22"/>
                <w:szCs w:val="22"/>
              </w:rPr>
              <w:t>Manifestations du TSB/KM</w:t>
            </w:r>
          </w:p>
        </w:tc>
        <w:tc>
          <w:tcPr>
            <w:tcW w:w="5049" w:type="dxa"/>
            <w:vMerge w:val="restart"/>
          </w:tcPr>
          <w:p w14:paraId="35271D8E" w14:textId="5A83C055" w:rsidR="007462BE" w:rsidRPr="00AA079C" w:rsidRDefault="007462BE" w:rsidP="00AA079C">
            <w:pPr>
              <w:tabs>
                <w:tab w:val="left" w:pos="4111"/>
              </w:tabs>
              <w:spacing w:before="0" w:after="40"/>
              <w:ind w:left="426" w:hanging="426"/>
              <w:rPr>
                <w:rFonts w:cstheme="minorHAnsi"/>
                <w:sz w:val="22"/>
                <w:szCs w:val="22"/>
              </w:rPr>
            </w:pPr>
            <w:bookmarkStart w:id="0" w:name="Addressee_F"/>
            <w:bookmarkEnd w:id="0"/>
            <w:r w:rsidRPr="00AA079C">
              <w:rPr>
                <w:rFonts w:cstheme="minorHAnsi"/>
                <w:sz w:val="22"/>
                <w:szCs w:val="22"/>
              </w:rPr>
              <w:t>–</w:t>
            </w:r>
            <w:r w:rsidRPr="00AA079C">
              <w:rPr>
                <w:rFonts w:cstheme="minorHAnsi"/>
                <w:sz w:val="22"/>
                <w:szCs w:val="22"/>
              </w:rPr>
              <w:tab/>
              <w:t>Aux Administrations des États Membres de </w:t>
            </w:r>
            <w:proofErr w:type="gramStart"/>
            <w:r w:rsidRPr="00AA079C">
              <w:rPr>
                <w:rFonts w:cstheme="minorHAnsi"/>
                <w:sz w:val="22"/>
                <w:szCs w:val="22"/>
              </w:rPr>
              <w:t>l'Union;</w:t>
            </w:r>
            <w:proofErr w:type="gramEnd"/>
          </w:p>
          <w:p w14:paraId="217E0D46" w14:textId="63E2E811" w:rsidR="007462BE" w:rsidRPr="00AA079C" w:rsidRDefault="007462BE" w:rsidP="00AA079C">
            <w:pPr>
              <w:tabs>
                <w:tab w:val="left" w:pos="4111"/>
              </w:tabs>
              <w:spacing w:before="0" w:after="40"/>
              <w:ind w:left="426" w:hanging="426"/>
              <w:rPr>
                <w:rFonts w:cstheme="minorHAnsi"/>
                <w:sz w:val="22"/>
                <w:szCs w:val="22"/>
              </w:rPr>
            </w:pPr>
            <w:r w:rsidRPr="00AA079C">
              <w:rPr>
                <w:rFonts w:cstheme="minorHAnsi"/>
                <w:sz w:val="22"/>
                <w:szCs w:val="22"/>
              </w:rPr>
              <w:t>–</w:t>
            </w:r>
            <w:r w:rsidRPr="00AA079C">
              <w:rPr>
                <w:rFonts w:cstheme="minorHAnsi"/>
                <w:sz w:val="22"/>
                <w:szCs w:val="22"/>
              </w:rPr>
              <w:tab/>
              <w:t>À l'État de Palestine (Résolution99 (Rév. Dubaï, 2018))</w:t>
            </w:r>
            <w:r w:rsidR="00485031">
              <w:rPr>
                <w:rFonts w:cstheme="minorHAnsi"/>
                <w:sz w:val="22"/>
                <w:szCs w:val="22"/>
              </w:rPr>
              <w:t> ;</w:t>
            </w:r>
          </w:p>
          <w:p w14:paraId="4E5FDBE4" w14:textId="77777777" w:rsidR="00DF68C0" w:rsidRPr="00AA079C" w:rsidRDefault="00DF68C0" w:rsidP="00AA079C">
            <w:pPr>
              <w:tabs>
                <w:tab w:val="left" w:pos="4111"/>
              </w:tabs>
              <w:spacing w:before="0" w:after="40"/>
              <w:ind w:left="426" w:hanging="426"/>
              <w:rPr>
                <w:rFonts w:cstheme="minorHAnsi"/>
                <w:sz w:val="22"/>
                <w:szCs w:val="22"/>
              </w:rPr>
            </w:pPr>
            <w:r w:rsidRPr="00AA079C">
              <w:rPr>
                <w:rFonts w:cstheme="minorHAnsi"/>
                <w:sz w:val="22"/>
                <w:szCs w:val="22"/>
              </w:rPr>
              <w:t>–</w:t>
            </w:r>
            <w:r w:rsidRPr="00AA079C">
              <w:rPr>
                <w:rFonts w:cstheme="minorHAnsi"/>
                <w:sz w:val="22"/>
                <w:szCs w:val="22"/>
              </w:rPr>
              <w:tab/>
              <w:t>Aux Membres du Secteur de l'UIT-</w:t>
            </w:r>
            <w:proofErr w:type="gramStart"/>
            <w:r w:rsidRPr="00AA079C">
              <w:rPr>
                <w:rFonts w:cstheme="minorHAnsi"/>
                <w:sz w:val="22"/>
                <w:szCs w:val="22"/>
              </w:rPr>
              <w:t>T;</w:t>
            </w:r>
            <w:proofErr w:type="gramEnd"/>
          </w:p>
          <w:p w14:paraId="4E838847" w14:textId="77777777" w:rsidR="00DF68C0" w:rsidRPr="00AA079C" w:rsidRDefault="00DF68C0" w:rsidP="00AA079C">
            <w:pPr>
              <w:tabs>
                <w:tab w:val="left" w:pos="4111"/>
              </w:tabs>
              <w:spacing w:before="0" w:after="40"/>
              <w:ind w:left="426" w:hanging="426"/>
              <w:rPr>
                <w:rFonts w:cstheme="minorHAnsi"/>
                <w:sz w:val="22"/>
                <w:szCs w:val="22"/>
              </w:rPr>
            </w:pPr>
            <w:r w:rsidRPr="00AA079C">
              <w:rPr>
                <w:rFonts w:cstheme="minorHAnsi"/>
                <w:sz w:val="22"/>
                <w:szCs w:val="22"/>
              </w:rPr>
              <w:t>–</w:t>
            </w:r>
            <w:r w:rsidRPr="00AA079C">
              <w:rPr>
                <w:rFonts w:cstheme="minorHAnsi"/>
                <w:sz w:val="22"/>
                <w:szCs w:val="22"/>
              </w:rPr>
              <w:tab/>
              <w:t>Aux Associés de l'UIT-</w:t>
            </w:r>
            <w:proofErr w:type="gramStart"/>
            <w:r w:rsidRPr="00AA079C">
              <w:rPr>
                <w:rFonts w:cstheme="minorHAnsi"/>
                <w:sz w:val="22"/>
                <w:szCs w:val="22"/>
              </w:rPr>
              <w:t>T;</w:t>
            </w:r>
            <w:proofErr w:type="gramEnd"/>
          </w:p>
          <w:p w14:paraId="240533AF" w14:textId="77777777" w:rsidR="00DF68C0" w:rsidRPr="00AA079C" w:rsidRDefault="00DF68C0" w:rsidP="00AA079C">
            <w:pPr>
              <w:tabs>
                <w:tab w:val="left" w:pos="4111"/>
              </w:tabs>
              <w:spacing w:before="0" w:after="40"/>
              <w:ind w:left="426" w:hanging="426"/>
              <w:rPr>
                <w:rFonts w:cstheme="minorHAnsi"/>
                <w:sz w:val="22"/>
                <w:szCs w:val="22"/>
              </w:rPr>
            </w:pPr>
            <w:r w:rsidRPr="00AA079C">
              <w:rPr>
                <w:rFonts w:cstheme="minorHAnsi"/>
                <w:sz w:val="22"/>
                <w:szCs w:val="22"/>
              </w:rPr>
              <w:t>–</w:t>
            </w:r>
            <w:r w:rsidRPr="00AA079C">
              <w:rPr>
                <w:rFonts w:cstheme="minorHAnsi"/>
                <w:sz w:val="22"/>
                <w:szCs w:val="22"/>
              </w:rPr>
              <w:tab/>
              <w:t xml:space="preserve">Aux établissements universitaires participant aux travaux de </w:t>
            </w:r>
            <w:proofErr w:type="gramStart"/>
            <w:r w:rsidRPr="00AA079C">
              <w:rPr>
                <w:rFonts w:cstheme="minorHAnsi"/>
                <w:sz w:val="22"/>
                <w:szCs w:val="22"/>
              </w:rPr>
              <w:t>l'UIT;</w:t>
            </w:r>
            <w:proofErr w:type="gramEnd"/>
          </w:p>
          <w:p w14:paraId="7BD00361" w14:textId="7EB294D9" w:rsidR="007462BE" w:rsidRPr="00AA079C" w:rsidRDefault="007462BE" w:rsidP="00AA079C">
            <w:pPr>
              <w:tabs>
                <w:tab w:val="clear" w:pos="794"/>
                <w:tab w:val="left" w:pos="226"/>
                <w:tab w:val="left" w:pos="4111"/>
              </w:tabs>
              <w:spacing w:before="0" w:after="40"/>
              <w:ind w:left="226" w:hanging="226"/>
              <w:rPr>
                <w:rFonts w:cstheme="minorHAnsi"/>
                <w:b/>
                <w:bCs/>
                <w:sz w:val="22"/>
                <w:szCs w:val="22"/>
              </w:rPr>
            </w:pPr>
            <w:proofErr w:type="gramStart"/>
            <w:r w:rsidRPr="00AA079C">
              <w:rPr>
                <w:rFonts w:cstheme="minorHAnsi"/>
                <w:b/>
                <w:bCs/>
                <w:sz w:val="22"/>
                <w:szCs w:val="22"/>
              </w:rPr>
              <w:t>Copie:</w:t>
            </w:r>
            <w:proofErr w:type="gramEnd"/>
          </w:p>
          <w:p w14:paraId="775C5A36" w14:textId="098D199E" w:rsidR="007462BE" w:rsidRPr="00AA079C" w:rsidRDefault="007462BE" w:rsidP="00AA079C">
            <w:pPr>
              <w:tabs>
                <w:tab w:val="clear" w:pos="794"/>
                <w:tab w:val="left" w:pos="4111"/>
              </w:tabs>
              <w:spacing w:before="0" w:after="40"/>
              <w:ind w:left="426" w:hanging="426"/>
              <w:rPr>
                <w:rFonts w:cstheme="minorHAnsi"/>
                <w:sz w:val="22"/>
                <w:szCs w:val="22"/>
              </w:rPr>
            </w:pPr>
            <w:r w:rsidRPr="00AA079C">
              <w:rPr>
                <w:rFonts w:cstheme="minorHAnsi"/>
                <w:sz w:val="22"/>
                <w:szCs w:val="22"/>
              </w:rPr>
              <w:t>–</w:t>
            </w:r>
            <w:r w:rsidRPr="00AA079C">
              <w:rPr>
                <w:rFonts w:cstheme="minorHAnsi"/>
                <w:sz w:val="22"/>
                <w:szCs w:val="22"/>
              </w:rPr>
              <w:tab/>
              <w:t>Aux Présidents et Vice-Présidents de</w:t>
            </w:r>
            <w:r w:rsidR="00DF68C0" w:rsidRPr="00AA079C">
              <w:rPr>
                <w:rFonts w:cstheme="minorHAnsi"/>
                <w:sz w:val="22"/>
                <w:szCs w:val="22"/>
              </w:rPr>
              <w:t>s</w:t>
            </w:r>
            <w:r w:rsidRPr="00AA079C">
              <w:rPr>
                <w:rFonts w:cstheme="minorHAnsi"/>
                <w:sz w:val="22"/>
                <w:szCs w:val="22"/>
              </w:rPr>
              <w:t xml:space="preserve"> </w:t>
            </w:r>
            <w:r w:rsidR="00DF68C0" w:rsidRPr="00AA079C">
              <w:rPr>
                <w:rFonts w:cstheme="minorHAnsi"/>
                <w:sz w:val="22"/>
                <w:szCs w:val="22"/>
              </w:rPr>
              <w:t>c</w:t>
            </w:r>
            <w:r w:rsidRPr="00AA079C">
              <w:rPr>
                <w:rFonts w:cstheme="minorHAnsi"/>
                <w:sz w:val="22"/>
                <w:szCs w:val="22"/>
              </w:rPr>
              <w:t>ommission</w:t>
            </w:r>
            <w:r w:rsidR="00DF68C0" w:rsidRPr="00AA079C">
              <w:rPr>
                <w:rFonts w:cstheme="minorHAnsi"/>
                <w:sz w:val="22"/>
                <w:szCs w:val="22"/>
              </w:rPr>
              <w:t>s</w:t>
            </w:r>
            <w:r w:rsidRPr="00AA079C">
              <w:rPr>
                <w:rFonts w:cstheme="minorHAnsi"/>
                <w:sz w:val="22"/>
                <w:szCs w:val="22"/>
              </w:rPr>
              <w:t xml:space="preserve"> </w:t>
            </w:r>
            <w:proofErr w:type="gramStart"/>
            <w:r w:rsidRPr="00AA079C">
              <w:rPr>
                <w:rFonts w:cstheme="minorHAnsi"/>
                <w:sz w:val="22"/>
                <w:szCs w:val="22"/>
              </w:rPr>
              <w:t>d'études;</w:t>
            </w:r>
            <w:proofErr w:type="gramEnd"/>
          </w:p>
          <w:p w14:paraId="2CFDC746" w14:textId="77777777" w:rsidR="007462BE" w:rsidRPr="00AA079C" w:rsidRDefault="007462BE" w:rsidP="00AA079C">
            <w:pPr>
              <w:tabs>
                <w:tab w:val="clear" w:pos="794"/>
                <w:tab w:val="left" w:pos="4111"/>
              </w:tabs>
              <w:spacing w:before="0" w:after="40"/>
              <w:ind w:left="426" w:hanging="426"/>
              <w:rPr>
                <w:rFonts w:cstheme="minorHAnsi"/>
                <w:sz w:val="22"/>
                <w:szCs w:val="22"/>
              </w:rPr>
            </w:pPr>
            <w:r w:rsidRPr="00AA079C">
              <w:rPr>
                <w:rFonts w:cstheme="minorHAnsi"/>
                <w:sz w:val="22"/>
                <w:szCs w:val="22"/>
              </w:rPr>
              <w:t>–</w:t>
            </w:r>
            <w:r w:rsidRPr="00AA079C">
              <w:rPr>
                <w:rFonts w:cstheme="minorHAnsi"/>
                <w:sz w:val="22"/>
                <w:szCs w:val="22"/>
              </w:rPr>
              <w:tab/>
              <w:t xml:space="preserve">Au Directeur du Bureau de développement des </w:t>
            </w:r>
            <w:proofErr w:type="gramStart"/>
            <w:r w:rsidRPr="00AA079C">
              <w:rPr>
                <w:rFonts w:cstheme="minorHAnsi"/>
                <w:sz w:val="22"/>
                <w:szCs w:val="22"/>
              </w:rPr>
              <w:t>télécommunications;</w:t>
            </w:r>
            <w:proofErr w:type="gramEnd"/>
          </w:p>
          <w:p w14:paraId="461F135F" w14:textId="77777777" w:rsidR="007462BE" w:rsidRPr="00AA079C" w:rsidRDefault="007462BE" w:rsidP="00AA079C">
            <w:pPr>
              <w:tabs>
                <w:tab w:val="left" w:pos="4111"/>
              </w:tabs>
              <w:spacing w:before="0" w:after="40"/>
              <w:ind w:left="426" w:hanging="426"/>
              <w:rPr>
                <w:rFonts w:cstheme="minorHAnsi"/>
                <w:sz w:val="22"/>
                <w:szCs w:val="22"/>
              </w:rPr>
            </w:pPr>
            <w:r w:rsidRPr="00AA079C">
              <w:rPr>
                <w:rFonts w:cstheme="minorHAnsi"/>
                <w:sz w:val="22"/>
                <w:szCs w:val="22"/>
              </w:rPr>
              <w:t>–</w:t>
            </w:r>
            <w:r w:rsidRPr="00AA079C">
              <w:rPr>
                <w:rFonts w:cstheme="minorHAnsi"/>
                <w:sz w:val="22"/>
                <w:szCs w:val="22"/>
              </w:rPr>
              <w:tab/>
              <w:t xml:space="preserve">Au Directeur du Bureau des </w:t>
            </w:r>
            <w:proofErr w:type="gramStart"/>
            <w:r w:rsidRPr="00AA079C">
              <w:rPr>
                <w:rFonts w:cstheme="minorHAnsi"/>
                <w:sz w:val="22"/>
                <w:szCs w:val="22"/>
              </w:rPr>
              <w:t>radiocommunications</w:t>
            </w:r>
            <w:r w:rsidR="00DF68C0" w:rsidRPr="00AA079C">
              <w:rPr>
                <w:rFonts w:cstheme="minorHAnsi"/>
                <w:sz w:val="22"/>
                <w:szCs w:val="22"/>
              </w:rPr>
              <w:t>;</w:t>
            </w:r>
            <w:proofErr w:type="gramEnd"/>
          </w:p>
          <w:p w14:paraId="461460AE" w14:textId="09DCBC7B" w:rsidR="00E0784C" w:rsidRPr="00AA079C" w:rsidRDefault="00DF68C0" w:rsidP="00AA079C">
            <w:pPr>
              <w:tabs>
                <w:tab w:val="left" w:pos="4111"/>
              </w:tabs>
              <w:spacing w:before="0" w:after="40"/>
              <w:ind w:left="426" w:hanging="426"/>
              <w:rPr>
                <w:rFonts w:cstheme="minorHAnsi"/>
                <w:sz w:val="22"/>
                <w:szCs w:val="22"/>
              </w:rPr>
            </w:pPr>
            <w:r w:rsidRPr="00AA079C">
              <w:rPr>
                <w:rFonts w:cstheme="minorHAnsi"/>
                <w:sz w:val="22"/>
                <w:szCs w:val="22"/>
              </w:rPr>
              <w:t>–</w:t>
            </w:r>
            <w:r w:rsidRPr="00AA079C">
              <w:rPr>
                <w:rFonts w:cstheme="minorHAnsi"/>
                <w:sz w:val="22"/>
                <w:szCs w:val="22"/>
              </w:rPr>
              <w:tab/>
              <w:t>Aux Directeurs des bureaux régionaux de l'UIT</w:t>
            </w:r>
          </w:p>
        </w:tc>
      </w:tr>
      <w:tr w:rsidR="00DF68C0" w:rsidRPr="00AA079C" w14:paraId="67F1B6DB" w14:textId="77777777" w:rsidTr="00AA079C">
        <w:trPr>
          <w:cantSplit/>
          <w:trHeight w:val="340"/>
        </w:trPr>
        <w:tc>
          <w:tcPr>
            <w:tcW w:w="0" w:type="auto"/>
          </w:tcPr>
          <w:p w14:paraId="2695A7AD" w14:textId="7F612D65" w:rsidR="00DF68C0" w:rsidRPr="00AA079C" w:rsidRDefault="00DF68C0" w:rsidP="00AA079C">
            <w:pPr>
              <w:tabs>
                <w:tab w:val="left" w:pos="4111"/>
              </w:tabs>
              <w:spacing w:before="10"/>
              <w:ind w:left="57"/>
              <w:rPr>
                <w:rFonts w:cstheme="minorHAnsi"/>
                <w:sz w:val="22"/>
                <w:szCs w:val="22"/>
              </w:rPr>
            </w:pPr>
            <w:proofErr w:type="gramStart"/>
            <w:r w:rsidRPr="00AA079C">
              <w:rPr>
                <w:rFonts w:cstheme="minorHAnsi"/>
                <w:sz w:val="22"/>
                <w:szCs w:val="22"/>
              </w:rPr>
              <w:t>Contact:</w:t>
            </w:r>
            <w:proofErr w:type="gramEnd"/>
          </w:p>
        </w:tc>
        <w:tc>
          <w:tcPr>
            <w:tcW w:w="3401" w:type="dxa"/>
          </w:tcPr>
          <w:p w14:paraId="564E519E" w14:textId="42122B05" w:rsidR="00DF68C0" w:rsidRPr="00AA079C" w:rsidRDefault="00DF68C0" w:rsidP="00AA079C">
            <w:pPr>
              <w:tabs>
                <w:tab w:val="left" w:pos="4111"/>
              </w:tabs>
              <w:spacing w:before="10"/>
              <w:ind w:left="57"/>
              <w:rPr>
                <w:rFonts w:cstheme="minorHAnsi"/>
                <w:bCs/>
                <w:sz w:val="22"/>
                <w:szCs w:val="22"/>
              </w:rPr>
            </w:pPr>
            <w:r w:rsidRPr="00AA079C">
              <w:rPr>
                <w:rFonts w:cstheme="minorHAnsi"/>
                <w:bCs/>
                <w:sz w:val="22"/>
                <w:szCs w:val="22"/>
              </w:rPr>
              <w:t>Emile Armour-Heselton</w:t>
            </w:r>
          </w:p>
        </w:tc>
        <w:tc>
          <w:tcPr>
            <w:tcW w:w="5049" w:type="dxa"/>
            <w:vMerge/>
          </w:tcPr>
          <w:p w14:paraId="159DF5F7" w14:textId="77777777" w:rsidR="00DF68C0" w:rsidRPr="00AA079C" w:rsidRDefault="00DF68C0" w:rsidP="00AA079C">
            <w:pPr>
              <w:tabs>
                <w:tab w:val="left" w:pos="4111"/>
              </w:tabs>
              <w:spacing w:before="0"/>
              <w:ind w:left="426" w:hanging="426"/>
              <w:rPr>
                <w:rFonts w:cstheme="minorHAnsi"/>
                <w:sz w:val="22"/>
                <w:szCs w:val="22"/>
              </w:rPr>
            </w:pPr>
          </w:p>
        </w:tc>
      </w:tr>
      <w:tr w:rsidR="007462BE" w:rsidRPr="00AA079C" w14:paraId="724FD23E" w14:textId="77777777" w:rsidTr="00AA079C">
        <w:trPr>
          <w:cantSplit/>
        </w:trPr>
        <w:tc>
          <w:tcPr>
            <w:tcW w:w="0" w:type="auto"/>
          </w:tcPr>
          <w:p w14:paraId="73149CCD" w14:textId="77777777" w:rsidR="007462BE" w:rsidRPr="00AA079C" w:rsidRDefault="007462BE" w:rsidP="00AA079C">
            <w:pPr>
              <w:tabs>
                <w:tab w:val="left" w:pos="4111"/>
              </w:tabs>
              <w:spacing w:before="10"/>
              <w:ind w:left="57"/>
              <w:rPr>
                <w:rFonts w:cstheme="minorHAnsi"/>
                <w:sz w:val="22"/>
                <w:szCs w:val="22"/>
              </w:rPr>
            </w:pPr>
            <w:proofErr w:type="gramStart"/>
            <w:r w:rsidRPr="00AA079C">
              <w:rPr>
                <w:rFonts w:cstheme="minorHAnsi"/>
                <w:sz w:val="22"/>
                <w:szCs w:val="22"/>
              </w:rPr>
              <w:t>Tél.:</w:t>
            </w:r>
            <w:proofErr w:type="gramEnd"/>
          </w:p>
        </w:tc>
        <w:tc>
          <w:tcPr>
            <w:tcW w:w="3401" w:type="dxa"/>
          </w:tcPr>
          <w:p w14:paraId="78D06186" w14:textId="41CCE11A" w:rsidR="007462BE" w:rsidRPr="00AA079C" w:rsidRDefault="007462BE" w:rsidP="00AA079C">
            <w:pPr>
              <w:tabs>
                <w:tab w:val="left" w:pos="4111"/>
              </w:tabs>
              <w:spacing w:before="0"/>
              <w:ind w:left="57"/>
              <w:rPr>
                <w:rFonts w:cstheme="minorHAnsi"/>
                <w:sz w:val="22"/>
                <w:szCs w:val="22"/>
              </w:rPr>
            </w:pPr>
            <w:r w:rsidRPr="00AA079C">
              <w:rPr>
                <w:rFonts w:cstheme="minorHAnsi"/>
                <w:sz w:val="22"/>
                <w:szCs w:val="22"/>
              </w:rPr>
              <w:t>+41 22 730 6</w:t>
            </w:r>
            <w:r w:rsidR="00DF68C0" w:rsidRPr="00AA079C">
              <w:rPr>
                <w:rFonts w:cstheme="minorHAnsi"/>
                <w:sz w:val="22"/>
                <w:szCs w:val="22"/>
              </w:rPr>
              <w:t>828</w:t>
            </w:r>
          </w:p>
        </w:tc>
        <w:tc>
          <w:tcPr>
            <w:tcW w:w="5049" w:type="dxa"/>
            <w:vMerge/>
          </w:tcPr>
          <w:p w14:paraId="6D3A5806" w14:textId="6DF9C16B" w:rsidR="007462BE" w:rsidRPr="00AA079C" w:rsidRDefault="007462BE" w:rsidP="00AA079C">
            <w:pPr>
              <w:tabs>
                <w:tab w:val="left" w:pos="4111"/>
              </w:tabs>
              <w:spacing w:before="0"/>
              <w:ind w:left="426" w:hanging="426"/>
              <w:rPr>
                <w:rFonts w:cstheme="minorHAnsi"/>
                <w:b/>
                <w:sz w:val="22"/>
                <w:szCs w:val="22"/>
              </w:rPr>
            </w:pPr>
          </w:p>
        </w:tc>
      </w:tr>
      <w:tr w:rsidR="007462BE" w:rsidRPr="00AA079C" w14:paraId="030F9AE5" w14:textId="77777777" w:rsidTr="00AA079C">
        <w:trPr>
          <w:cantSplit/>
          <w:trHeight w:val="339"/>
        </w:trPr>
        <w:tc>
          <w:tcPr>
            <w:tcW w:w="0" w:type="auto"/>
          </w:tcPr>
          <w:p w14:paraId="7B417C4C" w14:textId="77777777" w:rsidR="007462BE" w:rsidRPr="00AA079C" w:rsidRDefault="007462BE" w:rsidP="00AA079C">
            <w:pPr>
              <w:tabs>
                <w:tab w:val="left" w:pos="4111"/>
              </w:tabs>
              <w:spacing w:before="10"/>
              <w:ind w:left="57"/>
              <w:rPr>
                <w:rFonts w:cstheme="minorHAnsi"/>
                <w:sz w:val="22"/>
                <w:szCs w:val="22"/>
              </w:rPr>
            </w:pPr>
            <w:proofErr w:type="gramStart"/>
            <w:r w:rsidRPr="00AA079C">
              <w:rPr>
                <w:rFonts w:cstheme="minorHAnsi"/>
                <w:sz w:val="22"/>
                <w:szCs w:val="22"/>
              </w:rPr>
              <w:t>Télécopie:</w:t>
            </w:r>
            <w:proofErr w:type="gramEnd"/>
          </w:p>
        </w:tc>
        <w:tc>
          <w:tcPr>
            <w:tcW w:w="3401" w:type="dxa"/>
          </w:tcPr>
          <w:p w14:paraId="1A4A5F7B" w14:textId="77777777" w:rsidR="007462BE" w:rsidRPr="00AA079C" w:rsidRDefault="007462BE" w:rsidP="00AA079C">
            <w:pPr>
              <w:tabs>
                <w:tab w:val="left" w:pos="4111"/>
              </w:tabs>
              <w:spacing w:before="0"/>
              <w:ind w:left="57"/>
              <w:rPr>
                <w:rFonts w:cstheme="minorHAnsi"/>
                <w:sz w:val="22"/>
                <w:szCs w:val="22"/>
              </w:rPr>
            </w:pPr>
            <w:r w:rsidRPr="00AA079C">
              <w:rPr>
                <w:rFonts w:cstheme="minorHAnsi"/>
                <w:sz w:val="22"/>
                <w:szCs w:val="22"/>
              </w:rPr>
              <w:t>+41 22 730 5853</w:t>
            </w:r>
          </w:p>
        </w:tc>
        <w:tc>
          <w:tcPr>
            <w:tcW w:w="5049" w:type="dxa"/>
            <w:vMerge/>
          </w:tcPr>
          <w:p w14:paraId="323DAC81" w14:textId="0EA5E8C7" w:rsidR="007462BE" w:rsidRPr="00AA079C" w:rsidRDefault="007462BE" w:rsidP="00AA079C">
            <w:pPr>
              <w:tabs>
                <w:tab w:val="left" w:pos="4111"/>
              </w:tabs>
              <w:spacing w:before="0"/>
              <w:ind w:left="426" w:hanging="426"/>
              <w:rPr>
                <w:rFonts w:cstheme="minorHAnsi"/>
                <w:b/>
                <w:sz w:val="22"/>
                <w:szCs w:val="22"/>
              </w:rPr>
            </w:pPr>
          </w:p>
        </w:tc>
      </w:tr>
      <w:tr w:rsidR="007462BE" w:rsidRPr="00AA079C" w14:paraId="640FB6B9" w14:textId="77777777" w:rsidTr="00AA079C">
        <w:trPr>
          <w:cantSplit/>
        </w:trPr>
        <w:tc>
          <w:tcPr>
            <w:tcW w:w="0" w:type="auto"/>
          </w:tcPr>
          <w:p w14:paraId="15527369" w14:textId="0865F49A" w:rsidR="007462BE" w:rsidRPr="00AA079C" w:rsidRDefault="007462BE" w:rsidP="00AA079C">
            <w:pPr>
              <w:tabs>
                <w:tab w:val="left" w:pos="4111"/>
              </w:tabs>
              <w:spacing w:before="10"/>
              <w:ind w:left="57"/>
              <w:rPr>
                <w:rFonts w:cstheme="minorHAnsi"/>
                <w:sz w:val="22"/>
                <w:szCs w:val="22"/>
              </w:rPr>
            </w:pPr>
            <w:proofErr w:type="gramStart"/>
            <w:r w:rsidRPr="00AA079C">
              <w:rPr>
                <w:rFonts w:cstheme="minorHAnsi"/>
                <w:sz w:val="22"/>
                <w:szCs w:val="22"/>
              </w:rPr>
              <w:t>Courriel:</w:t>
            </w:r>
            <w:proofErr w:type="gramEnd"/>
          </w:p>
        </w:tc>
        <w:tc>
          <w:tcPr>
            <w:tcW w:w="3401" w:type="dxa"/>
          </w:tcPr>
          <w:p w14:paraId="172249CE" w14:textId="6CDE1DBA" w:rsidR="007462BE" w:rsidRPr="00AA079C" w:rsidRDefault="00DF68C0" w:rsidP="00AA079C">
            <w:pPr>
              <w:tabs>
                <w:tab w:val="left" w:pos="4111"/>
              </w:tabs>
              <w:spacing w:before="0"/>
              <w:ind w:left="57"/>
              <w:rPr>
                <w:rFonts w:cstheme="minorHAnsi"/>
                <w:sz w:val="22"/>
                <w:szCs w:val="22"/>
              </w:rPr>
            </w:pPr>
            <w:hyperlink r:id="rId9" w:history="1">
              <w:r w:rsidRPr="00AA079C">
                <w:rPr>
                  <w:rStyle w:val="Hyperlink"/>
                  <w:rFonts w:cstheme="minorHAnsi"/>
                  <w:sz w:val="22"/>
                  <w:szCs w:val="22"/>
                </w:rPr>
                <w:t>tsbevents@itu.int</w:t>
              </w:r>
            </w:hyperlink>
          </w:p>
        </w:tc>
        <w:tc>
          <w:tcPr>
            <w:tcW w:w="5049" w:type="dxa"/>
            <w:vMerge/>
          </w:tcPr>
          <w:p w14:paraId="19762254" w14:textId="5341D3ED" w:rsidR="007462BE" w:rsidRPr="00AA079C" w:rsidRDefault="007462BE" w:rsidP="00AA079C">
            <w:pPr>
              <w:tabs>
                <w:tab w:val="clear" w:pos="794"/>
                <w:tab w:val="left" w:pos="4111"/>
              </w:tabs>
              <w:spacing w:before="0"/>
              <w:ind w:left="426" w:hanging="426"/>
              <w:rPr>
                <w:rFonts w:cstheme="minorHAnsi"/>
                <w:sz w:val="22"/>
                <w:szCs w:val="22"/>
              </w:rPr>
            </w:pPr>
          </w:p>
        </w:tc>
      </w:tr>
      <w:tr w:rsidR="00517A03" w:rsidRPr="00AA079C" w14:paraId="5435C04A" w14:textId="77777777" w:rsidTr="00AA079C">
        <w:trPr>
          <w:cantSplit/>
          <w:trHeight w:val="807"/>
        </w:trPr>
        <w:tc>
          <w:tcPr>
            <w:tcW w:w="0" w:type="auto"/>
          </w:tcPr>
          <w:p w14:paraId="2A0B9B4F" w14:textId="77777777" w:rsidR="00517A03" w:rsidRPr="00AA079C" w:rsidRDefault="00517A03" w:rsidP="00AA079C">
            <w:pPr>
              <w:tabs>
                <w:tab w:val="left" w:pos="4111"/>
              </w:tabs>
              <w:ind w:left="57"/>
              <w:rPr>
                <w:rFonts w:cstheme="minorHAnsi"/>
                <w:b/>
                <w:bCs/>
                <w:sz w:val="22"/>
                <w:szCs w:val="22"/>
              </w:rPr>
            </w:pPr>
            <w:proofErr w:type="gramStart"/>
            <w:r w:rsidRPr="00AA079C">
              <w:rPr>
                <w:rFonts w:cstheme="minorHAnsi"/>
                <w:b/>
                <w:bCs/>
                <w:sz w:val="22"/>
                <w:szCs w:val="22"/>
              </w:rPr>
              <w:t>Objet:</w:t>
            </w:r>
            <w:proofErr w:type="gramEnd"/>
          </w:p>
        </w:tc>
        <w:tc>
          <w:tcPr>
            <w:tcW w:w="0" w:type="auto"/>
            <w:gridSpan w:val="2"/>
          </w:tcPr>
          <w:p w14:paraId="1A51EE75" w14:textId="5F42B17C" w:rsidR="00517A03" w:rsidRPr="00AA079C" w:rsidRDefault="00DF68C0" w:rsidP="00AA079C">
            <w:pPr>
              <w:tabs>
                <w:tab w:val="left" w:pos="4111"/>
              </w:tabs>
              <w:spacing w:after="60"/>
              <w:ind w:left="58"/>
              <w:rPr>
                <w:rFonts w:cstheme="minorHAnsi"/>
                <w:b/>
                <w:bCs/>
                <w:sz w:val="22"/>
                <w:szCs w:val="22"/>
              </w:rPr>
            </w:pPr>
            <w:r w:rsidRPr="00AA079C">
              <w:rPr>
                <w:rFonts w:cstheme="minorHAnsi"/>
                <w:b/>
                <w:bCs/>
                <w:sz w:val="22"/>
                <w:szCs w:val="22"/>
              </w:rPr>
              <w:t xml:space="preserve">Édition de 2026 de l'Atelier de l'UIT-T sur la participation du secteur </w:t>
            </w:r>
            <w:proofErr w:type="gramStart"/>
            <w:r w:rsidRPr="00AA079C">
              <w:rPr>
                <w:rFonts w:cstheme="minorHAnsi"/>
                <w:b/>
                <w:bCs/>
                <w:sz w:val="22"/>
                <w:szCs w:val="22"/>
              </w:rPr>
              <w:t>privé:</w:t>
            </w:r>
            <w:proofErr w:type="gramEnd"/>
            <w:r w:rsidRPr="00AA079C">
              <w:rPr>
                <w:rFonts w:cstheme="minorHAnsi"/>
                <w:b/>
                <w:bCs/>
                <w:sz w:val="22"/>
                <w:szCs w:val="22"/>
              </w:rPr>
              <w:t xml:space="preserve"> Favoriser la réussite du secteur grâce à la normalisation</w:t>
            </w:r>
            <w:r w:rsidRPr="00AA079C">
              <w:rPr>
                <w:rFonts w:cstheme="minorHAnsi"/>
                <w:b/>
                <w:bCs/>
                <w:sz w:val="22"/>
                <w:szCs w:val="22"/>
              </w:rPr>
              <w:br/>
              <w:t>(Sophia Antipolis (France), 27 mars 2026)</w:t>
            </w:r>
          </w:p>
        </w:tc>
      </w:tr>
    </w:tbl>
    <w:p w14:paraId="2D1EC328" w14:textId="77777777" w:rsidR="00517A03" w:rsidRPr="00AA079C" w:rsidRDefault="00517A03" w:rsidP="00AA079C">
      <w:pPr>
        <w:rPr>
          <w:rFonts w:cstheme="minorHAnsi"/>
          <w:sz w:val="22"/>
          <w:szCs w:val="22"/>
        </w:rPr>
      </w:pPr>
      <w:bookmarkStart w:id="1" w:name="StartTyping_F"/>
      <w:bookmarkEnd w:id="1"/>
      <w:r w:rsidRPr="00AA079C">
        <w:rPr>
          <w:rFonts w:cstheme="minorHAnsi"/>
          <w:sz w:val="22"/>
          <w:szCs w:val="22"/>
        </w:rPr>
        <w:t>Madame, Monsieur,</w:t>
      </w:r>
    </w:p>
    <w:p w14:paraId="3D493162" w14:textId="471937CA" w:rsidR="00DF68C0" w:rsidRPr="00AA079C" w:rsidRDefault="00DF68C0" w:rsidP="00DF68C0">
      <w:pPr>
        <w:rPr>
          <w:rFonts w:cstheme="minorHAnsi"/>
          <w:bCs/>
          <w:sz w:val="22"/>
          <w:szCs w:val="22"/>
        </w:rPr>
      </w:pPr>
      <w:r w:rsidRPr="00AA079C">
        <w:rPr>
          <w:rFonts w:cstheme="minorHAnsi"/>
          <w:bCs/>
          <w:sz w:val="22"/>
          <w:szCs w:val="22"/>
        </w:rPr>
        <w:t>1</w:t>
      </w:r>
      <w:r w:rsidRPr="00AA079C">
        <w:rPr>
          <w:rFonts w:cstheme="minorHAnsi"/>
          <w:bCs/>
          <w:sz w:val="22"/>
          <w:szCs w:val="22"/>
        </w:rPr>
        <w:tab/>
        <w:t>J'ai l'honneur de vous informer que l'Union internationale des télécommunications (UIT) organise l'</w:t>
      </w:r>
      <w:r w:rsidRPr="00AA079C">
        <w:rPr>
          <w:rFonts w:cstheme="minorHAnsi"/>
          <w:b/>
          <w:sz w:val="22"/>
          <w:szCs w:val="22"/>
        </w:rPr>
        <w:t>Édition de 2026 de l'Atelier de l'UIT-T sur la participation du secteur privé sur le thème "Favoriser la réussite du secteur grâce à la normalisation", qui se tiendra le 27 mars 2026 à Sophia Antipolis (France)</w:t>
      </w:r>
      <w:r w:rsidRPr="00AA079C">
        <w:rPr>
          <w:rFonts w:cstheme="minorHAnsi"/>
          <w:bCs/>
          <w:sz w:val="22"/>
          <w:szCs w:val="22"/>
        </w:rPr>
        <w:t>. L'atelier se tiendra, à l'aimable invitation de l'Institut européen des normes de télécommunication (ETSI), en son siège dans la salle de réunion de l'</w:t>
      </w:r>
      <w:r w:rsidRPr="00AA079C">
        <w:rPr>
          <w:rFonts w:cstheme="minorHAnsi"/>
          <w:bCs/>
          <w:i/>
          <w:iCs/>
          <w:sz w:val="22"/>
          <w:szCs w:val="22"/>
        </w:rPr>
        <w:t>Amphi Athena</w:t>
      </w:r>
      <w:r w:rsidRPr="00AA079C">
        <w:rPr>
          <w:rFonts w:cstheme="minorHAnsi"/>
          <w:bCs/>
          <w:sz w:val="22"/>
          <w:szCs w:val="22"/>
        </w:rPr>
        <w:t>.</w:t>
      </w:r>
    </w:p>
    <w:p w14:paraId="3BF862E1" w14:textId="040101B0" w:rsidR="00DF68C0" w:rsidRPr="00AA079C" w:rsidRDefault="00DF68C0" w:rsidP="00DF68C0">
      <w:pPr>
        <w:rPr>
          <w:rFonts w:cstheme="minorHAnsi"/>
          <w:bCs/>
          <w:sz w:val="22"/>
          <w:szCs w:val="22"/>
        </w:rPr>
      </w:pPr>
      <w:r w:rsidRPr="00AA079C">
        <w:rPr>
          <w:rFonts w:cstheme="minorHAnsi"/>
          <w:bCs/>
          <w:sz w:val="22"/>
          <w:szCs w:val="22"/>
        </w:rPr>
        <w:t>2</w:t>
      </w:r>
      <w:r w:rsidRPr="00AA079C">
        <w:rPr>
          <w:rFonts w:cstheme="minorHAnsi"/>
          <w:bCs/>
          <w:sz w:val="22"/>
          <w:szCs w:val="22"/>
        </w:rPr>
        <w:tab/>
        <w:t>S'appuyant sur la dynamique du premier atelier consacré à la participation du secteur privé en 2024, cette deuxième édition portera sur l'analyse de la manière dont la normalisation peut favoriser la réussite du secteur dans un environnement de plus en plus numérique et axé sur l'emploi des logiciels. Il s'agira d'étudier comment l'UIT-T peut continuer de soutenir les technologies et les écosystèmes numériques émergents. Les discussions porteront sur les besoins du secteur, les expériences pratiques de déploiement et les nouveaux modèles de collaboration qui renforcent l'incidence et l'adoption des normes de l'UIT-T.</w:t>
      </w:r>
    </w:p>
    <w:p w14:paraId="42F62941" w14:textId="07CFAB3F" w:rsidR="00DF68C0" w:rsidRPr="00AA079C" w:rsidRDefault="00DF68C0" w:rsidP="00DF68C0">
      <w:pPr>
        <w:rPr>
          <w:rFonts w:cstheme="minorHAnsi"/>
          <w:bCs/>
          <w:sz w:val="22"/>
          <w:szCs w:val="22"/>
        </w:rPr>
      </w:pPr>
      <w:r w:rsidRPr="00AA079C">
        <w:rPr>
          <w:rFonts w:cstheme="minorHAnsi"/>
          <w:bCs/>
          <w:sz w:val="22"/>
          <w:szCs w:val="22"/>
        </w:rPr>
        <w:t>3</w:t>
      </w:r>
      <w:r w:rsidRPr="00AA079C">
        <w:rPr>
          <w:rFonts w:cstheme="minorHAnsi"/>
          <w:bCs/>
          <w:sz w:val="22"/>
          <w:szCs w:val="22"/>
        </w:rPr>
        <w:tab/>
        <w:t>Les résultats de l'atelier donneront au Groupe du Rapporteur des indications sur la participation du secteur privé et la planification stratégique et opérationnelle (RG-IES) du Groupe consultatif de la normalisation des télécommunications (GCNT).</w:t>
      </w:r>
    </w:p>
    <w:p w14:paraId="78998272" w14:textId="707D36FE" w:rsidR="00DF68C0" w:rsidRPr="00AA079C" w:rsidRDefault="00DF68C0" w:rsidP="00AA079C">
      <w:pPr>
        <w:rPr>
          <w:rFonts w:cstheme="minorHAnsi"/>
          <w:bCs/>
          <w:sz w:val="22"/>
          <w:szCs w:val="22"/>
        </w:rPr>
      </w:pPr>
      <w:r w:rsidRPr="00AA079C">
        <w:rPr>
          <w:rFonts w:cstheme="minorHAnsi"/>
          <w:bCs/>
          <w:sz w:val="22"/>
          <w:szCs w:val="22"/>
        </w:rPr>
        <w:t>4</w:t>
      </w:r>
      <w:r w:rsidRPr="00AA079C">
        <w:rPr>
          <w:rFonts w:cstheme="minorHAnsi"/>
          <w:bCs/>
          <w:sz w:val="22"/>
          <w:szCs w:val="22"/>
        </w:rPr>
        <w:tab/>
        <w:t>L'atelier s'adresse aux représentants d'organisations du secteur privé dans toutes les régions et de toutes les tailles, qui participent ou souhaitent participer aux travaux de l'UIT-T et à l'élaboration de normes internationales. La participation est ouverte à toutes les parties prenantes intéressées, notamment les États Membres, les Membres de Secteur, les Associés de l'UIT et les établissements universitaires participant à ses travaux, ainsi qu'à toute personne issue d'un État membre de l'UIT.</w:t>
      </w:r>
    </w:p>
    <w:p w14:paraId="342E3578" w14:textId="56F34D48" w:rsidR="00DF68C0" w:rsidRPr="00AA079C" w:rsidRDefault="00DF68C0" w:rsidP="00DF68C0">
      <w:pPr>
        <w:rPr>
          <w:rFonts w:cstheme="minorHAnsi"/>
          <w:bCs/>
          <w:sz w:val="22"/>
          <w:szCs w:val="22"/>
        </w:rPr>
      </w:pPr>
      <w:r w:rsidRPr="00AA079C">
        <w:rPr>
          <w:rFonts w:cstheme="minorHAnsi"/>
          <w:bCs/>
          <w:sz w:val="22"/>
          <w:szCs w:val="22"/>
        </w:rPr>
        <w:t>5</w:t>
      </w:r>
      <w:r w:rsidRPr="00AA079C">
        <w:rPr>
          <w:rFonts w:cstheme="minorHAnsi"/>
          <w:bCs/>
          <w:sz w:val="22"/>
          <w:szCs w:val="22"/>
        </w:rPr>
        <w:tab/>
        <w:t xml:space="preserve">Toutes les informations utiles concernant l'atelier (projet de programme, liste des intervenants, lien pour l'inscription) seront publiées sur la page web de la manifestation à l'adresse </w:t>
      </w:r>
      <w:hyperlink r:id="rId10" w:anchor="/fr" w:history="1">
        <w:r w:rsidRPr="00AA079C">
          <w:rPr>
            <w:rStyle w:val="Hyperlink"/>
            <w:rFonts w:cstheme="minorHAnsi"/>
            <w:bCs/>
            <w:sz w:val="22"/>
            <w:szCs w:val="22"/>
          </w:rPr>
          <w:t>https://www.itu.int/en/ITU-T/Workshops-and-Seminars/2026/0327/Pages/default.aspx</w:t>
        </w:r>
      </w:hyperlink>
      <w:r w:rsidRPr="00AA079C">
        <w:rPr>
          <w:rFonts w:cstheme="minorHAnsi"/>
          <w:bCs/>
          <w:sz w:val="22"/>
          <w:szCs w:val="22"/>
        </w:rPr>
        <w:t>. Cette page sera régulièrement actualisée à mesure que de plus amples informations seront mises à disposition, et les participants sont invités à la consulter périodiquement pour prendre connaissance des dernières mises à jour.</w:t>
      </w:r>
    </w:p>
    <w:p w14:paraId="6BC5FF5A" w14:textId="63449776" w:rsidR="00DF68C0" w:rsidRPr="00AA079C" w:rsidRDefault="00DF68C0" w:rsidP="00DF68C0">
      <w:pPr>
        <w:rPr>
          <w:rFonts w:cstheme="minorHAnsi"/>
          <w:bCs/>
          <w:sz w:val="22"/>
          <w:szCs w:val="22"/>
        </w:rPr>
      </w:pPr>
      <w:r w:rsidRPr="00AA079C">
        <w:rPr>
          <w:rFonts w:cstheme="minorHAnsi"/>
          <w:bCs/>
          <w:sz w:val="22"/>
          <w:szCs w:val="22"/>
        </w:rPr>
        <w:lastRenderedPageBreak/>
        <w:t>6</w:t>
      </w:r>
      <w:r w:rsidRPr="00AA079C">
        <w:rPr>
          <w:rFonts w:cstheme="minorHAnsi"/>
          <w:bCs/>
          <w:sz w:val="22"/>
          <w:szCs w:val="22"/>
        </w:rPr>
        <w:tab/>
        <w:t xml:space="preserve">Afin de permettre au TSB de prendre les dispositions nécessaires concernant l'organisation de cet atelier, nous vous saurions gré de bien vouloir vous inscrire à l'adresse </w:t>
      </w:r>
      <w:hyperlink r:id="rId11" w:history="1">
        <w:r w:rsidRPr="00AA079C">
          <w:rPr>
            <w:rStyle w:val="Hyperlink"/>
            <w:rFonts w:cstheme="minorHAnsi"/>
            <w:bCs/>
            <w:sz w:val="22"/>
            <w:szCs w:val="22"/>
          </w:rPr>
          <w:t>https://www.itu.int/net4/CRM/xreg/web/Registration.aspx?Event=C-00016295</w:t>
        </w:r>
      </w:hyperlink>
      <w:r w:rsidRPr="00AA079C">
        <w:rPr>
          <w:rFonts w:cstheme="minorHAnsi"/>
          <w:bCs/>
          <w:sz w:val="22"/>
          <w:szCs w:val="22"/>
        </w:rPr>
        <w:t xml:space="preserve"> dès que possible, d'ici au </w:t>
      </w:r>
      <w:r w:rsidRPr="00AA079C">
        <w:rPr>
          <w:rFonts w:cstheme="minorHAnsi"/>
          <w:b/>
          <w:sz w:val="22"/>
          <w:szCs w:val="22"/>
        </w:rPr>
        <w:t>23 mars 2026</w:t>
      </w:r>
      <w:r w:rsidRPr="00AA079C">
        <w:rPr>
          <w:rFonts w:cstheme="minorHAnsi"/>
          <w:bCs/>
          <w:sz w:val="22"/>
          <w:szCs w:val="22"/>
        </w:rPr>
        <w:t>. Veuillez noter que l'</w:t>
      </w:r>
      <w:r w:rsidRPr="00AA079C">
        <w:rPr>
          <w:rFonts w:cstheme="minorHAnsi"/>
          <w:b/>
          <w:sz w:val="22"/>
          <w:szCs w:val="22"/>
        </w:rPr>
        <w:t>inscription préalable des participants à l'atelier est obligatoire</w:t>
      </w:r>
      <w:r w:rsidRPr="00AA079C">
        <w:rPr>
          <w:rFonts w:cstheme="minorHAnsi"/>
          <w:bCs/>
          <w:sz w:val="22"/>
          <w:szCs w:val="22"/>
        </w:rPr>
        <w:t xml:space="preserve"> et se fait exclusivement en ligne.</w:t>
      </w:r>
    </w:p>
    <w:p w14:paraId="25E219D5" w14:textId="77777777" w:rsidR="00DF68C0" w:rsidRPr="00AA079C" w:rsidRDefault="00DF68C0" w:rsidP="00DF68C0">
      <w:pPr>
        <w:rPr>
          <w:rFonts w:cstheme="minorHAnsi"/>
          <w:bCs/>
          <w:sz w:val="22"/>
          <w:szCs w:val="22"/>
        </w:rPr>
      </w:pPr>
      <w:r w:rsidRPr="00AA079C">
        <w:rPr>
          <w:rFonts w:cstheme="minorHAnsi"/>
          <w:bCs/>
          <w:sz w:val="22"/>
          <w:szCs w:val="22"/>
        </w:rPr>
        <w:t>7</w:t>
      </w:r>
      <w:r w:rsidRPr="00AA079C">
        <w:rPr>
          <w:rFonts w:cstheme="minorHAnsi"/>
          <w:bCs/>
          <w:sz w:val="22"/>
          <w:szCs w:val="22"/>
        </w:rPr>
        <w:tab/>
        <w:t>Je tiens à vous rappeler que, pour les ressortissants de certains pays, l'entrée et le séjour, quelle qu'en soit la durée, sur le territoire français sont soumis à l'obtention d'un visa. Le visa doit être demandé au plus vite et obtenu auprès de la représentation de la France (ambassade ou consulat) dans votre pays ou, à défaut, dans le pays le plus proche de votre pays de départ. Des renseignements supplémentaires concernant les demandes de visa seront disponibles sur la page web de la manifestation, dans la rubrique "</w:t>
      </w:r>
      <w:r w:rsidRPr="00AA079C">
        <w:rPr>
          <w:rFonts w:cstheme="minorHAnsi"/>
          <w:b/>
          <w:sz w:val="22"/>
          <w:szCs w:val="22"/>
        </w:rPr>
        <w:t>Informations pratiques</w:t>
      </w:r>
      <w:r w:rsidRPr="00AA079C">
        <w:rPr>
          <w:rFonts w:cstheme="minorHAnsi"/>
          <w:bCs/>
          <w:sz w:val="22"/>
          <w:szCs w:val="22"/>
        </w:rPr>
        <w:t>".</w:t>
      </w:r>
    </w:p>
    <w:p w14:paraId="46F2C3C2" w14:textId="24BD622B" w:rsidR="00307FB4" w:rsidRPr="00AA079C" w:rsidRDefault="00DF68C0" w:rsidP="00DF68C0">
      <w:pPr>
        <w:rPr>
          <w:rFonts w:cstheme="minorHAnsi"/>
          <w:bCs/>
          <w:sz w:val="22"/>
          <w:szCs w:val="22"/>
        </w:rPr>
      </w:pPr>
      <w:r w:rsidRPr="00AA079C">
        <w:rPr>
          <w:rFonts w:cstheme="minorHAnsi"/>
          <w:bCs/>
          <w:sz w:val="22"/>
          <w:szCs w:val="22"/>
        </w:rPr>
        <w:t>Veuillez agréer, Madame, Monsieur, l'assurance de ma considération distinguée,</w:t>
      </w:r>
    </w:p>
    <w:p w14:paraId="73E47FC2" w14:textId="55E4AE99" w:rsidR="00D031B4" w:rsidRPr="00AA079C" w:rsidRDefault="00485031" w:rsidP="00AA079C">
      <w:pPr>
        <w:spacing w:before="720"/>
        <w:rPr>
          <w:rFonts w:cstheme="minorHAnsi"/>
          <w:sz w:val="22"/>
          <w:szCs w:val="22"/>
        </w:rPr>
      </w:pPr>
      <w:r>
        <w:rPr>
          <w:rFonts w:cstheme="minorHAnsi"/>
          <w:bCs/>
          <w:noProof/>
          <w:sz w:val="22"/>
          <w:szCs w:val="22"/>
        </w:rPr>
        <w:drawing>
          <wp:anchor distT="0" distB="0" distL="114300" distR="114300" simplePos="0" relativeHeight="251658240" behindDoc="1" locked="0" layoutInCell="1" allowOverlap="1" wp14:anchorId="410AFEFF" wp14:editId="6BB800E4">
            <wp:simplePos x="0" y="0"/>
            <wp:positionH relativeFrom="margin">
              <wp:align>left</wp:align>
            </wp:positionH>
            <wp:positionV relativeFrom="paragraph">
              <wp:posOffset>71755</wp:posOffset>
            </wp:positionV>
            <wp:extent cx="692186" cy="330217"/>
            <wp:effectExtent l="0" t="0" r="0" b="0"/>
            <wp:wrapNone/>
            <wp:docPr id="609618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18569" name="Picture 609618569"/>
                    <pic:cNvPicPr/>
                  </pic:nvPicPr>
                  <pic:blipFill>
                    <a:blip r:embed="rId12">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AA079C">
        <w:rPr>
          <w:rFonts w:cstheme="minorHAnsi"/>
          <w:bCs/>
          <w:sz w:val="22"/>
          <w:szCs w:val="22"/>
        </w:rPr>
        <w:t>Seizo Onoe</w:t>
      </w:r>
      <w:r w:rsidR="00B60868" w:rsidRPr="00AA079C">
        <w:rPr>
          <w:rFonts w:cstheme="minorHAnsi"/>
          <w:bCs/>
          <w:sz w:val="22"/>
          <w:szCs w:val="22"/>
        </w:rPr>
        <w:br/>
      </w:r>
      <w:r w:rsidR="00307FB4" w:rsidRPr="00AA079C">
        <w:rPr>
          <w:rFonts w:cstheme="minorHAnsi"/>
          <w:bCs/>
          <w:sz w:val="22"/>
          <w:szCs w:val="22"/>
        </w:rPr>
        <w:t>Directeur du Bureau de la normalisation</w:t>
      </w:r>
      <w:r w:rsidR="00B60868" w:rsidRPr="00AA079C">
        <w:rPr>
          <w:rFonts w:cstheme="minorHAnsi"/>
          <w:bCs/>
          <w:sz w:val="22"/>
          <w:szCs w:val="22"/>
        </w:rPr>
        <w:br/>
      </w:r>
      <w:r w:rsidR="00307FB4" w:rsidRPr="00AA079C">
        <w:rPr>
          <w:rFonts w:cstheme="minorHAnsi"/>
          <w:bCs/>
          <w:sz w:val="22"/>
          <w:szCs w:val="22"/>
        </w:rPr>
        <w:t>des télécommunications</w:t>
      </w:r>
    </w:p>
    <w:sectPr w:rsidR="00D031B4" w:rsidRPr="00AA079C" w:rsidSect="00A15179">
      <w:headerReference w:type="default" r:id="rId13"/>
      <w:footerReference w:type="first" r:id="rId14"/>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050C" w14:textId="77777777" w:rsidR="009C0172" w:rsidRDefault="009C0172">
      <w:r>
        <w:separator/>
      </w:r>
    </w:p>
  </w:endnote>
  <w:endnote w:type="continuationSeparator" w:id="0">
    <w:p w14:paraId="3011C3B6" w14:textId="77777777" w:rsidR="009C0172" w:rsidRDefault="009C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5E6782B1"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002B1BAC">
      <w:rPr>
        <w:color w:val="0070C0"/>
        <w:sz w:val="18"/>
        <w:szCs w:val="18"/>
        <w:lang w:val="fr-CH"/>
      </w:rPr>
      <w:t>Télécopie</w:t>
    </w:r>
    <w:r w:rsidRPr="003E66AD">
      <w:rPr>
        <w:color w:val="0070C0"/>
        <w:sz w:val="18"/>
        <w:szCs w:val="18"/>
        <w:lang w:val="fr-CH"/>
      </w:rPr>
      <w:t>:</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B9D9" w14:textId="77777777" w:rsidR="009C0172" w:rsidRDefault="009C0172">
      <w:r>
        <w:t>____________________</w:t>
      </w:r>
    </w:p>
  </w:footnote>
  <w:footnote w:type="continuationSeparator" w:id="0">
    <w:p w14:paraId="67496F2F" w14:textId="77777777" w:rsidR="009C0172" w:rsidRDefault="009C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28A939C0" w:rsidR="00697BC1" w:rsidRPr="00697BC1" w:rsidRDefault="00000000"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DF68C0">
      <w:rPr>
        <w:noProof/>
        <w:sz w:val="18"/>
        <w:szCs w:val="16"/>
      </w:rPr>
      <w:t>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8677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5633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FC7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387F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1837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DE4D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8E2F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02C2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8AA0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A47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1"/>
  </w:num>
  <w:num w:numId="2" w16cid:durableId="2119984868">
    <w:abstractNumId w:val="13"/>
  </w:num>
  <w:num w:numId="3" w16cid:durableId="2075545744">
    <w:abstractNumId w:val="12"/>
  </w:num>
  <w:num w:numId="4" w16cid:durableId="1871449755">
    <w:abstractNumId w:val="10"/>
  </w:num>
  <w:num w:numId="5" w16cid:durableId="1037003640">
    <w:abstractNumId w:val="9"/>
  </w:num>
  <w:num w:numId="6" w16cid:durableId="19400504">
    <w:abstractNumId w:val="7"/>
  </w:num>
  <w:num w:numId="7" w16cid:durableId="499657636">
    <w:abstractNumId w:val="6"/>
  </w:num>
  <w:num w:numId="8" w16cid:durableId="2084448642">
    <w:abstractNumId w:val="5"/>
  </w:num>
  <w:num w:numId="9" w16cid:durableId="60443506">
    <w:abstractNumId w:val="4"/>
  </w:num>
  <w:num w:numId="10" w16cid:durableId="530922983">
    <w:abstractNumId w:val="8"/>
  </w:num>
  <w:num w:numId="11" w16cid:durableId="1256286035">
    <w:abstractNumId w:val="3"/>
  </w:num>
  <w:num w:numId="12" w16cid:durableId="2097090077">
    <w:abstractNumId w:val="2"/>
  </w:num>
  <w:num w:numId="13" w16cid:durableId="2072463767">
    <w:abstractNumId w:val="1"/>
  </w:num>
  <w:num w:numId="14" w16cid:durableId="42755462">
    <w:abstractNumId w:val="0"/>
  </w:num>
  <w:num w:numId="15" w16cid:durableId="301543839">
    <w:abstractNumId w:val="8"/>
  </w:num>
  <w:num w:numId="16" w16cid:durableId="1170368209">
    <w:abstractNumId w:val="3"/>
  </w:num>
  <w:num w:numId="17" w16cid:durableId="1354114603">
    <w:abstractNumId w:val="2"/>
  </w:num>
  <w:num w:numId="18" w16cid:durableId="722755259">
    <w:abstractNumId w:val="1"/>
  </w:num>
  <w:num w:numId="19" w16cid:durableId="47692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A2FB8"/>
    <w:rsid w:val="001A7E0D"/>
    <w:rsid w:val="001B79A3"/>
    <w:rsid w:val="001C6993"/>
    <w:rsid w:val="002152A3"/>
    <w:rsid w:val="0023667A"/>
    <w:rsid w:val="002937DB"/>
    <w:rsid w:val="002B1BAC"/>
    <w:rsid w:val="002E395D"/>
    <w:rsid w:val="00307FB4"/>
    <w:rsid w:val="003131F0"/>
    <w:rsid w:val="00333A80"/>
    <w:rsid w:val="00341117"/>
    <w:rsid w:val="003514D2"/>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85031"/>
    <w:rsid w:val="004977C9"/>
    <w:rsid w:val="004B732E"/>
    <w:rsid w:val="004D51F4"/>
    <w:rsid w:val="004D64E0"/>
    <w:rsid w:val="005120A2"/>
    <w:rsid w:val="0051210D"/>
    <w:rsid w:val="005136D2"/>
    <w:rsid w:val="00517A03"/>
    <w:rsid w:val="005906C4"/>
    <w:rsid w:val="005A3DD9"/>
    <w:rsid w:val="005B1DFC"/>
    <w:rsid w:val="00601682"/>
    <w:rsid w:val="00603470"/>
    <w:rsid w:val="00625E79"/>
    <w:rsid w:val="006333F7"/>
    <w:rsid w:val="006427A1"/>
    <w:rsid w:val="00644741"/>
    <w:rsid w:val="00697BC1"/>
    <w:rsid w:val="006A6FFE"/>
    <w:rsid w:val="006C5A91"/>
    <w:rsid w:val="006F52F7"/>
    <w:rsid w:val="00716BBC"/>
    <w:rsid w:val="007321BC"/>
    <w:rsid w:val="007462BE"/>
    <w:rsid w:val="00760063"/>
    <w:rsid w:val="00775E4B"/>
    <w:rsid w:val="00790661"/>
    <w:rsid w:val="0079553B"/>
    <w:rsid w:val="00795679"/>
    <w:rsid w:val="007A40FE"/>
    <w:rsid w:val="00810105"/>
    <w:rsid w:val="008157E0"/>
    <w:rsid w:val="00827D0B"/>
    <w:rsid w:val="00850477"/>
    <w:rsid w:val="00854E1D"/>
    <w:rsid w:val="00887FA6"/>
    <w:rsid w:val="008C4397"/>
    <w:rsid w:val="008C465A"/>
    <w:rsid w:val="008F2C9B"/>
    <w:rsid w:val="00923CD6"/>
    <w:rsid w:val="00935AA8"/>
    <w:rsid w:val="00971C9A"/>
    <w:rsid w:val="009C0172"/>
    <w:rsid w:val="009D51FA"/>
    <w:rsid w:val="009F1E23"/>
    <w:rsid w:val="00A15179"/>
    <w:rsid w:val="00A51537"/>
    <w:rsid w:val="00A5280F"/>
    <w:rsid w:val="00A5645A"/>
    <w:rsid w:val="00A60FC1"/>
    <w:rsid w:val="00A9482A"/>
    <w:rsid w:val="00A97C37"/>
    <w:rsid w:val="00AA079C"/>
    <w:rsid w:val="00AA131B"/>
    <w:rsid w:val="00AC37B5"/>
    <w:rsid w:val="00AD752F"/>
    <w:rsid w:val="00AF08A4"/>
    <w:rsid w:val="00AF0D7D"/>
    <w:rsid w:val="00AF3449"/>
    <w:rsid w:val="00B13272"/>
    <w:rsid w:val="00B27B41"/>
    <w:rsid w:val="00B357ED"/>
    <w:rsid w:val="00B42659"/>
    <w:rsid w:val="00B46F2D"/>
    <w:rsid w:val="00B527BE"/>
    <w:rsid w:val="00B60868"/>
    <w:rsid w:val="00B8573E"/>
    <w:rsid w:val="00B96CAC"/>
    <w:rsid w:val="00BB24C0"/>
    <w:rsid w:val="00BD6ECF"/>
    <w:rsid w:val="00BE45D4"/>
    <w:rsid w:val="00C238C4"/>
    <w:rsid w:val="00C26F2E"/>
    <w:rsid w:val="00C302E3"/>
    <w:rsid w:val="00C41B89"/>
    <w:rsid w:val="00C45376"/>
    <w:rsid w:val="00C9028F"/>
    <w:rsid w:val="00CA0416"/>
    <w:rsid w:val="00CB1125"/>
    <w:rsid w:val="00CB4E80"/>
    <w:rsid w:val="00CD042E"/>
    <w:rsid w:val="00CE5543"/>
    <w:rsid w:val="00CF2560"/>
    <w:rsid w:val="00CF5B46"/>
    <w:rsid w:val="00D031B4"/>
    <w:rsid w:val="00D075BC"/>
    <w:rsid w:val="00D46B68"/>
    <w:rsid w:val="00D542A5"/>
    <w:rsid w:val="00DC3D47"/>
    <w:rsid w:val="00DD77DA"/>
    <w:rsid w:val="00DF68C0"/>
    <w:rsid w:val="00E06C61"/>
    <w:rsid w:val="00E0784C"/>
    <w:rsid w:val="00E13DB3"/>
    <w:rsid w:val="00E2408B"/>
    <w:rsid w:val="00E62CEA"/>
    <w:rsid w:val="00E72AE1"/>
    <w:rsid w:val="00ED6A7A"/>
    <w:rsid w:val="00EE4C36"/>
    <w:rsid w:val="00EF6A23"/>
    <w:rsid w:val="00F30E73"/>
    <w:rsid w:val="00F346CE"/>
    <w:rsid w:val="00F34F98"/>
    <w:rsid w:val="00F40540"/>
    <w:rsid w:val="00F67402"/>
    <w:rsid w:val="00F766A2"/>
    <w:rsid w:val="00F93113"/>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link w:val="BodyTextChar"/>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rsid w:val="00D031B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1A2FB8"/>
    <w:rPr>
      <w:rFonts w:asciiTheme="minorHAnsi" w:hAnsiTheme="minorHAnsi"/>
      <w:sz w:val="24"/>
      <w:lang w:val="fr-FR" w:eastAsia="en-US"/>
    </w:rPr>
  </w:style>
  <w:style w:type="paragraph" w:styleId="Revision">
    <w:name w:val="Revision"/>
    <w:hidden/>
    <w:uiPriority w:val="99"/>
    <w:semiHidden/>
    <w:rsid w:val="00B96CAC"/>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78955">
      <w:bodyDiv w:val="1"/>
      <w:marLeft w:val="0"/>
      <w:marRight w:val="0"/>
      <w:marTop w:val="0"/>
      <w:marBottom w:val="0"/>
      <w:divBdr>
        <w:top w:val="none" w:sz="0" w:space="0" w:color="auto"/>
        <w:left w:val="none" w:sz="0" w:space="0" w:color="auto"/>
        <w:bottom w:val="none" w:sz="0" w:space="0" w:color="auto"/>
        <w:right w:val="none" w:sz="0" w:space="0" w:color="auto"/>
      </w:divBdr>
    </w:div>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net4/CRM/xreg/web/Registration.aspx?Event=C-00016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ITU-T/Workshops-and-Seminars/2026/0327/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4674</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Chaudhary, Manvi</cp:lastModifiedBy>
  <cp:revision>2</cp:revision>
  <cp:lastPrinted>2026-02-17T10:13:00Z</cp:lastPrinted>
  <dcterms:created xsi:type="dcterms:W3CDTF">2026-02-17T10:39:00Z</dcterms:created>
  <dcterms:modified xsi:type="dcterms:W3CDTF">2026-02-17T10:39:00Z</dcterms:modified>
</cp:coreProperties>
</file>