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90" w:tblpY="401"/>
        <w:tblW w:w="9961" w:type="dxa"/>
        <w:tblLayout w:type="fixed"/>
        <w:tblLook w:val="0000" w:firstRow="0" w:lastRow="0" w:firstColumn="0" w:lastColumn="0" w:noHBand="0" w:noVBand="0"/>
      </w:tblPr>
      <w:tblGrid>
        <w:gridCol w:w="1314"/>
        <w:gridCol w:w="142"/>
        <w:gridCol w:w="3386"/>
        <w:gridCol w:w="3135"/>
        <w:gridCol w:w="1984"/>
      </w:tblGrid>
      <w:tr w:rsidR="00F648F7" w:rsidRPr="00D7384A" w14:paraId="1560B55B" w14:textId="77777777" w:rsidTr="00F648F7">
        <w:trPr>
          <w:trHeight w:val="1282"/>
        </w:trPr>
        <w:tc>
          <w:tcPr>
            <w:tcW w:w="1456" w:type="dxa"/>
            <w:gridSpan w:val="2"/>
            <w:tcMar>
              <w:left w:w="0" w:type="dxa"/>
              <w:right w:w="0" w:type="dxa"/>
            </w:tcMar>
            <w:vAlign w:val="center"/>
          </w:tcPr>
          <w:p w14:paraId="1F40F07D" w14:textId="77777777" w:rsidR="00F648F7" w:rsidRPr="00D7384A" w:rsidRDefault="00F648F7" w:rsidP="00F648F7">
            <w:pPr>
              <w:pStyle w:val="Tabletext"/>
              <w:jc w:val="center"/>
            </w:pPr>
            <w:r>
              <w:rPr>
                <w:noProof/>
              </w:rPr>
              <w:drawing>
                <wp:inline distT="0" distB="0" distL="0" distR="0" wp14:anchorId="30F94CD7" wp14:editId="6705A420">
                  <wp:extent cx="808990" cy="808990"/>
                  <wp:effectExtent l="0" t="0" r="0" b="0"/>
                  <wp:docPr id="1" name="Picture 2" descr="C:\Users\clarker\AppData\Local\Temp\7zE04E6E9AC\ITU official logo_blue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1956A781" w14:textId="77777777" w:rsidR="00F648F7" w:rsidRPr="00D7384A" w:rsidRDefault="00F648F7" w:rsidP="00F648F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D7384A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C64CD44" w14:textId="77777777" w:rsidR="00F648F7" w:rsidRPr="00D7384A" w:rsidRDefault="00F648F7" w:rsidP="00F648F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D7384A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2237588" w14:textId="77777777" w:rsidR="00F648F7" w:rsidRPr="00D7384A" w:rsidRDefault="00F648F7" w:rsidP="00F648F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648F7" w:rsidRPr="001E399F" w14:paraId="40A24E2D" w14:textId="77777777" w:rsidTr="00F648F7">
        <w:trPr>
          <w:trHeight w:val="446"/>
        </w:trPr>
        <w:tc>
          <w:tcPr>
            <w:tcW w:w="4842" w:type="dxa"/>
            <w:gridSpan w:val="3"/>
            <w:vAlign w:val="center"/>
          </w:tcPr>
          <w:p w14:paraId="3A1A1A75" w14:textId="77777777" w:rsidR="00F648F7" w:rsidRPr="001F4132" w:rsidRDefault="00F648F7" w:rsidP="00F648F7">
            <w:pPr>
              <w:pStyle w:val="Tabletext"/>
              <w:spacing w:after="60"/>
              <w:jc w:val="right"/>
              <w:rPr>
                <w:rFonts w:cs="Calibri"/>
                <w:sz w:val="22"/>
                <w:szCs w:val="22"/>
              </w:rPr>
            </w:pPr>
          </w:p>
        </w:tc>
        <w:tc>
          <w:tcPr>
            <w:tcW w:w="5119" w:type="dxa"/>
            <w:gridSpan w:val="2"/>
            <w:vAlign w:val="center"/>
          </w:tcPr>
          <w:p w14:paraId="1675CF67" w14:textId="77777777" w:rsidR="00F648F7" w:rsidRPr="001F4132" w:rsidRDefault="00F648F7" w:rsidP="00F648F7">
            <w:pPr>
              <w:pStyle w:val="Tabletext"/>
              <w:spacing w:before="0" w:after="60"/>
              <w:rPr>
                <w:rFonts w:cs="Calibri"/>
                <w:sz w:val="22"/>
                <w:szCs w:val="22"/>
              </w:rPr>
            </w:pPr>
            <w:r w:rsidRPr="001F4132">
              <w:rPr>
                <w:sz w:val="22"/>
                <w:szCs w:val="22"/>
              </w:rPr>
              <w:t xml:space="preserve">Geneva, </w:t>
            </w:r>
            <w:r>
              <w:rPr>
                <w:sz w:val="22"/>
                <w:szCs w:val="22"/>
              </w:rPr>
              <w:t>18 December 2025</w:t>
            </w:r>
          </w:p>
        </w:tc>
      </w:tr>
      <w:tr w:rsidR="00F648F7" w:rsidRPr="001E399F" w14:paraId="56C1F163" w14:textId="77777777" w:rsidTr="00F648F7">
        <w:trPr>
          <w:trHeight w:val="746"/>
        </w:trPr>
        <w:tc>
          <w:tcPr>
            <w:tcW w:w="1314" w:type="dxa"/>
          </w:tcPr>
          <w:p w14:paraId="2D9DF12F" w14:textId="77777777" w:rsidR="00F648F7" w:rsidRPr="001F4132" w:rsidRDefault="00F648F7" w:rsidP="00F648F7">
            <w:pPr>
              <w:pStyle w:val="Tabletext"/>
              <w:ind w:left="-20"/>
              <w:rPr>
                <w:rFonts w:cs="Calibri"/>
                <w:sz w:val="22"/>
                <w:szCs w:val="22"/>
              </w:rPr>
            </w:pPr>
            <w:r w:rsidRPr="001F4132">
              <w:rPr>
                <w:rFonts w:cs="Calibri"/>
                <w:b/>
                <w:sz w:val="22"/>
                <w:szCs w:val="22"/>
              </w:rPr>
              <w:t>Ref:</w:t>
            </w:r>
          </w:p>
        </w:tc>
        <w:tc>
          <w:tcPr>
            <w:tcW w:w="3528" w:type="dxa"/>
            <w:gridSpan w:val="2"/>
          </w:tcPr>
          <w:p w14:paraId="1F3A73F0" w14:textId="77777777" w:rsidR="00F648F7" w:rsidRPr="001F4132" w:rsidRDefault="00F648F7" w:rsidP="00F648F7">
            <w:pPr>
              <w:pStyle w:val="Tabletext"/>
              <w:rPr>
                <w:rFonts w:cs="Calibri"/>
                <w:b/>
                <w:bCs/>
                <w:sz w:val="22"/>
                <w:szCs w:val="22"/>
              </w:rPr>
            </w:pPr>
            <w:r w:rsidRPr="001F4132">
              <w:rPr>
                <w:rFonts w:cs="Calibri"/>
                <w:b/>
                <w:bCs/>
                <w:sz w:val="22"/>
                <w:szCs w:val="22"/>
              </w:rPr>
              <w:t>TSB Circular 97</w:t>
            </w:r>
          </w:p>
          <w:p w14:paraId="207E8C31" w14:textId="77777777" w:rsidR="00F648F7" w:rsidRPr="001F4132" w:rsidRDefault="00F648F7" w:rsidP="00F648F7">
            <w:pPr>
              <w:pStyle w:val="Tabletext"/>
              <w:rPr>
                <w:rFonts w:cs="Calibri"/>
                <w:sz w:val="22"/>
                <w:szCs w:val="22"/>
              </w:rPr>
            </w:pPr>
            <w:r w:rsidRPr="001F4132">
              <w:rPr>
                <w:rFonts w:cs="Calibri"/>
                <w:sz w:val="22"/>
                <w:szCs w:val="22"/>
              </w:rPr>
              <w:t>SG17/XY</w:t>
            </w:r>
          </w:p>
        </w:tc>
        <w:tc>
          <w:tcPr>
            <w:tcW w:w="5119" w:type="dxa"/>
            <w:gridSpan w:val="2"/>
            <w:vMerge w:val="restart"/>
          </w:tcPr>
          <w:p w14:paraId="31D4EAA6" w14:textId="77777777" w:rsidR="00F648F7" w:rsidRPr="001F4132" w:rsidRDefault="00F648F7" w:rsidP="00F648F7">
            <w:pPr>
              <w:pStyle w:val="Tabletext"/>
              <w:spacing w:before="20"/>
              <w:rPr>
                <w:rFonts w:cs="Calibri"/>
                <w:sz w:val="22"/>
                <w:szCs w:val="22"/>
              </w:rPr>
            </w:pPr>
            <w:r w:rsidRPr="001F4132">
              <w:rPr>
                <w:rFonts w:cs="Calibri"/>
                <w:b/>
                <w:sz w:val="22"/>
                <w:szCs w:val="22"/>
              </w:rPr>
              <w:t>To:</w:t>
            </w:r>
          </w:p>
          <w:p w14:paraId="503ABAA5" w14:textId="77777777" w:rsidR="00F648F7" w:rsidRDefault="00F648F7" w:rsidP="00F648F7">
            <w:pPr>
              <w:pStyle w:val="Tabletext"/>
              <w:spacing w:before="20"/>
              <w:ind w:left="283" w:hanging="283"/>
            </w:pPr>
            <w:r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ab/>
              <w:t xml:space="preserve">Administrations of Member States of the </w:t>
            </w:r>
            <w:proofErr w:type="gramStart"/>
            <w:r>
              <w:rPr>
                <w:sz w:val="22"/>
                <w:szCs w:val="18"/>
              </w:rPr>
              <w:t>Union;</w:t>
            </w:r>
            <w:proofErr w:type="gramEnd"/>
          </w:p>
          <w:p w14:paraId="78172BB2" w14:textId="77777777" w:rsidR="00F648F7" w:rsidRDefault="00F648F7" w:rsidP="00F648F7">
            <w:pPr>
              <w:pStyle w:val="Tabletext"/>
              <w:spacing w:before="20"/>
              <w:ind w:left="283" w:hanging="283"/>
            </w:pPr>
            <w:r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ab/>
              <w:t>The State of Palestine (Res. 99 (Rev. Dubai, 2018))</w:t>
            </w:r>
          </w:p>
          <w:p w14:paraId="2BF4511D" w14:textId="77777777" w:rsidR="00F648F7" w:rsidRPr="001F4132" w:rsidRDefault="00F648F7" w:rsidP="00F648F7">
            <w:pPr>
              <w:pStyle w:val="Tabletext"/>
              <w:spacing w:before="20"/>
              <w:rPr>
                <w:rFonts w:cs="Calibri"/>
                <w:sz w:val="22"/>
                <w:szCs w:val="22"/>
              </w:rPr>
            </w:pPr>
            <w:r w:rsidRPr="001F4132">
              <w:rPr>
                <w:rFonts w:cs="Calibri"/>
                <w:b/>
                <w:sz w:val="22"/>
                <w:szCs w:val="22"/>
              </w:rPr>
              <w:t>Copy to:</w:t>
            </w:r>
          </w:p>
          <w:p w14:paraId="56D88C57" w14:textId="77777777" w:rsidR="00F648F7" w:rsidRDefault="00F648F7" w:rsidP="00F648F7">
            <w:pPr>
              <w:pStyle w:val="Tabletext"/>
              <w:spacing w:before="20"/>
              <w:ind w:left="283" w:hanging="283"/>
            </w:pPr>
            <w:r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ab/>
              <w:t xml:space="preserve">ITU-T Sector </w:t>
            </w:r>
            <w:proofErr w:type="gramStart"/>
            <w:r>
              <w:rPr>
                <w:sz w:val="22"/>
                <w:szCs w:val="18"/>
              </w:rPr>
              <w:t>Members;</w:t>
            </w:r>
            <w:proofErr w:type="gramEnd"/>
          </w:p>
          <w:p w14:paraId="4C8CD865" w14:textId="77777777" w:rsidR="00F648F7" w:rsidRDefault="00F648F7" w:rsidP="00F648F7">
            <w:pPr>
              <w:pStyle w:val="Tabletext"/>
              <w:spacing w:before="20"/>
              <w:ind w:left="283" w:hanging="283"/>
            </w:pPr>
            <w:r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ab/>
              <w:t xml:space="preserve">Associates of ITU-T </w:t>
            </w:r>
            <w:proofErr w:type="spellStart"/>
            <w:r>
              <w:rPr>
                <w:sz w:val="22"/>
                <w:szCs w:val="18"/>
              </w:rPr>
              <w:t>ITU-T</w:t>
            </w:r>
            <w:proofErr w:type="spellEnd"/>
            <w:r>
              <w:rPr>
                <w:sz w:val="22"/>
                <w:szCs w:val="18"/>
              </w:rPr>
              <w:t xml:space="preserve"> Study Group </w:t>
            </w:r>
            <w:proofErr w:type="gramStart"/>
            <w:r>
              <w:rPr>
                <w:sz w:val="22"/>
                <w:szCs w:val="18"/>
              </w:rPr>
              <w:t>17;</w:t>
            </w:r>
            <w:proofErr w:type="gramEnd"/>
          </w:p>
          <w:p w14:paraId="52567F05" w14:textId="77777777" w:rsidR="00F648F7" w:rsidRDefault="00F648F7" w:rsidP="00F648F7">
            <w:pPr>
              <w:pStyle w:val="Tabletext"/>
              <w:spacing w:before="20"/>
              <w:ind w:left="283" w:hanging="283"/>
            </w:pPr>
            <w:r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ab/>
              <w:t xml:space="preserve">ITU </w:t>
            </w:r>
            <w:proofErr w:type="gramStart"/>
            <w:r>
              <w:rPr>
                <w:sz w:val="22"/>
                <w:szCs w:val="18"/>
              </w:rPr>
              <w:t>Academia;</w:t>
            </w:r>
            <w:proofErr w:type="gramEnd"/>
          </w:p>
          <w:p w14:paraId="5B53C4F9" w14:textId="77777777" w:rsidR="00F648F7" w:rsidRDefault="00F648F7" w:rsidP="00F648F7">
            <w:pPr>
              <w:pStyle w:val="Tabletext"/>
              <w:spacing w:before="20"/>
              <w:ind w:left="283" w:hanging="283"/>
            </w:pPr>
            <w:r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ab/>
              <w:t xml:space="preserve">The Chair and Vice-Chairs of ITU-T Study Group </w:t>
            </w:r>
            <w:proofErr w:type="gramStart"/>
            <w:r>
              <w:rPr>
                <w:sz w:val="22"/>
                <w:szCs w:val="18"/>
              </w:rPr>
              <w:t>17;</w:t>
            </w:r>
            <w:proofErr w:type="gramEnd"/>
          </w:p>
          <w:p w14:paraId="37B85C59" w14:textId="77777777" w:rsidR="00F648F7" w:rsidRDefault="00F648F7" w:rsidP="00F648F7">
            <w:pPr>
              <w:pStyle w:val="Tabletext"/>
              <w:spacing w:before="20"/>
              <w:ind w:left="283" w:hanging="283"/>
            </w:pPr>
            <w:r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ab/>
              <w:t xml:space="preserve">The Director of the Telecommunication Development </w:t>
            </w:r>
            <w:proofErr w:type="gramStart"/>
            <w:r>
              <w:rPr>
                <w:sz w:val="22"/>
                <w:szCs w:val="18"/>
              </w:rPr>
              <w:t>Bureau;</w:t>
            </w:r>
            <w:proofErr w:type="gramEnd"/>
          </w:p>
          <w:p w14:paraId="36BB9EA5" w14:textId="77777777" w:rsidR="00F648F7" w:rsidRDefault="00F648F7" w:rsidP="00F648F7">
            <w:pPr>
              <w:pStyle w:val="Tabletext"/>
              <w:spacing w:before="20"/>
              <w:ind w:left="283" w:hanging="283"/>
            </w:pPr>
            <w:r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ab/>
              <w:t>The Director of the Radiocommunication Bureau</w:t>
            </w:r>
          </w:p>
        </w:tc>
      </w:tr>
      <w:tr w:rsidR="00F648F7" w:rsidRPr="001E399F" w14:paraId="76D279A6" w14:textId="77777777" w:rsidTr="00F648F7">
        <w:trPr>
          <w:trHeight w:val="221"/>
        </w:trPr>
        <w:tc>
          <w:tcPr>
            <w:tcW w:w="1314" w:type="dxa"/>
          </w:tcPr>
          <w:p w14:paraId="69564DCF" w14:textId="77777777" w:rsidR="00F648F7" w:rsidRPr="00F648F7" w:rsidRDefault="00F648F7" w:rsidP="00F648F7">
            <w:pPr>
              <w:pStyle w:val="Tabletext"/>
              <w:ind w:left="-20"/>
              <w:rPr>
                <w:rFonts w:cs="Calibri"/>
                <w:bCs/>
                <w:sz w:val="22"/>
                <w:szCs w:val="22"/>
              </w:rPr>
            </w:pPr>
            <w:r w:rsidRPr="00F648F7">
              <w:rPr>
                <w:rFonts w:cs="Calibri"/>
                <w:bCs/>
                <w:sz w:val="22"/>
                <w:szCs w:val="22"/>
              </w:rPr>
              <w:t>Tel:</w:t>
            </w:r>
          </w:p>
        </w:tc>
        <w:tc>
          <w:tcPr>
            <w:tcW w:w="3528" w:type="dxa"/>
            <w:gridSpan w:val="2"/>
          </w:tcPr>
          <w:p w14:paraId="2EF3FF27" w14:textId="77777777" w:rsidR="00F648F7" w:rsidRPr="001F4132" w:rsidRDefault="00F648F7" w:rsidP="00F648F7">
            <w:pPr>
              <w:pStyle w:val="Tabletext"/>
              <w:rPr>
                <w:rFonts w:cs="Calibri"/>
                <w:b/>
                <w:sz w:val="22"/>
                <w:szCs w:val="22"/>
              </w:rPr>
            </w:pPr>
            <w:r w:rsidRPr="001F4132">
              <w:rPr>
                <w:rFonts w:cs="Calibri"/>
                <w:sz w:val="22"/>
                <w:szCs w:val="22"/>
              </w:rPr>
              <w:t>+41 22 730 6206</w:t>
            </w:r>
          </w:p>
        </w:tc>
        <w:tc>
          <w:tcPr>
            <w:tcW w:w="5119" w:type="dxa"/>
            <w:gridSpan w:val="2"/>
            <w:vMerge/>
          </w:tcPr>
          <w:p w14:paraId="619045CB" w14:textId="77777777" w:rsidR="00F648F7" w:rsidRPr="001F4132" w:rsidRDefault="00F648F7" w:rsidP="00F648F7">
            <w:pPr>
              <w:pStyle w:val="Tabletext"/>
              <w:ind w:left="283" w:hanging="283"/>
              <w:rPr>
                <w:rFonts w:cs="Calibri"/>
                <w:sz w:val="22"/>
                <w:szCs w:val="22"/>
              </w:rPr>
            </w:pPr>
          </w:p>
        </w:tc>
      </w:tr>
      <w:tr w:rsidR="00F648F7" w:rsidRPr="001E399F" w14:paraId="6B39E5A1" w14:textId="77777777" w:rsidTr="00F648F7">
        <w:trPr>
          <w:trHeight w:val="282"/>
        </w:trPr>
        <w:tc>
          <w:tcPr>
            <w:tcW w:w="1314" w:type="dxa"/>
          </w:tcPr>
          <w:p w14:paraId="0391CDA5" w14:textId="77777777" w:rsidR="00F648F7" w:rsidRPr="00F648F7" w:rsidRDefault="00F648F7" w:rsidP="00F648F7">
            <w:pPr>
              <w:pStyle w:val="Tabletext"/>
              <w:ind w:left="-20"/>
              <w:rPr>
                <w:rFonts w:cs="Calibri"/>
                <w:bCs/>
                <w:sz w:val="22"/>
                <w:szCs w:val="22"/>
              </w:rPr>
            </w:pPr>
            <w:r w:rsidRPr="00F648F7">
              <w:rPr>
                <w:rFonts w:cs="Calibri"/>
                <w:bCs/>
                <w:sz w:val="22"/>
                <w:szCs w:val="22"/>
              </w:rPr>
              <w:t>Fax:</w:t>
            </w:r>
          </w:p>
        </w:tc>
        <w:tc>
          <w:tcPr>
            <w:tcW w:w="3528" w:type="dxa"/>
            <w:gridSpan w:val="2"/>
          </w:tcPr>
          <w:p w14:paraId="0B8ADBA2" w14:textId="77777777" w:rsidR="00F648F7" w:rsidRPr="001F4132" w:rsidRDefault="00F648F7" w:rsidP="00F648F7">
            <w:pPr>
              <w:pStyle w:val="Tabletext"/>
              <w:rPr>
                <w:rFonts w:cs="Calibri"/>
                <w:b/>
                <w:sz w:val="22"/>
                <w:szCs w:val="22"/>
              </w:rPr>
            </w:pPr>
            <w:r w:rsidRPr="001F4132">
              <w:rPr>
                <w:rFonts w:cs="Calibri"/>
                <w:sz w:val="22"/>
                <w:szCs w:val="22"/>
              </w:rPr>
              <w:t>+41 22 730 5853</w:t>
            </w:r>
          </w:p>
        </w:tc>
        <w:tc>
          <w:tcPr>
            <w:tcW w:w="5119" w:type="dxa"/>
            <w:gridSpan w:val="2"/>
            <w:vMerge/>
          </w:tcPr>
          <w:p w14:paraId="69187B2A" w14:textId="77777777" w:rsidR="00F648F7" w:rsidRPr="001F4132" w:rsidRDefault="00F648F7" w:rsidP="00F648F7">
            <w:pPr>
              <w:pStyle w:val="Tabletext"/>
              <w:ind w:left="283" w:hanging="283"/>
              <w:rPr>
                <w:rFonts w:cs="Calibri"/>
                <w:sz w:val="22"/>
                <w:szCs w:val="22"/>
              </w:rPr>
            </w:pPr>
          </w:p>
        </w:tc>
      </w:tr>
      <w:tr w:rsidR="00F648F7" w:rsidRPr="001E399F" w14:paraId="65856273" w14:textId="77777777" w:rsidTr="00F648F7">
        <w:trPr>
          <w:trHeight w:val="1967"/>
        </w:trPr>
        <w:tc>
          <w:tcPr>
            <w:tcW w:w="1314" w:type="dxa"/>
          </w:tcPr>
          <w:p w14:paraId="272B367E" w14:textId="77777777" w:rsidR="00F648F7" w:rsidRPr="00F648F7" w:rsidRDefault="00F648F7" w:rsidP="00F648F7">
            <w:pPr>
              <w:pStyle w:val="Tabletext"/>
              <w:ind w:left="-20"/>
              <w:rPr>
                <w:rFonts w:cs="Calibri"/>
                <w:bCs/>
                <w:sz w:val="22"/>
                <w:szCs w:val="22"/>
              </w:rPr>
            </w:pPr>
            <w:r w:rsidRPr="00F648F7">
              <w:rPr>
                <w:rFonts w:cs="Calibri"/>
                <w:bCs/>
                <w:sz w:val="22"/>
                <w:szCs w:val="22"/>
              </w:rPr>
              <w:t>E-mail:</w:t>
            </w:r>
          </w:p>
        </w:tc>
        <w:tc>
          <w:tcPr>
            <w:tcW w:w="3528" w:type="dxa"/>
            <w:gridSpan w:val="2"/>
          </w:tcPr>
          <w:p w14:paraId="3FD653EB" w14:textId="77777777" w:rsidR="00F648F7" w:rsidRPr="001F4132" w:rsidRDefault="00F648F7" w:rsidP="00F648F7">
            <w:pPr>
              <w:pStyle w:val="Tabletext"/>
              <w:rPr>
                <w:rFonts w:cs="Calibri"/>
                <w:sz w:val="22"/>
                <w:szCs w:val="22"/>
              </w:rPr>
            </w:pPr>
            <w:hyperlink r:id="rId8" w:history="1">
              <w:r w:rsidRPr="000657AC">
                <w:rPr>
                  <w:rStyle w:val="Hyperlink"/>
                  <w:sz w:val="22"/>
                  <w:szCs w:val="22"/>
                </w:rPr>
                <w:t>tsbsg17@itu.int</w:t>
              </w:r>
            </w:hyperlink>
          </w:p>
        </w:tc>
        <w:tc>
          <w:tcPr>
            <w:tcW w:w="5119" w:type="dxa"/>
            <w:gridSpan w:val="2"/>
            <w:vMerge/>
          </w:tcPr>
          <w:p w14:paraId="1C5E378A" w14:textId="77777777" w:rsidR="00F648F7" w:rsidRDefault="00F648F7" w:rsidP="00F648F7">
            <w:pPr>
              <w:pStyle w:val="Tabletext"/>
              <w:ind w:left="283" w:hanging="283"/>
            </w:pPr>
          </w:p>
        </w:tc>
      </w:tr>
      <w:tr w:rsidR="00F648F7" w:rsidRPr="001E399F" w14:paraId="27F65A77" w14:textId="77777777" w:rsidTr="00F648F7">
        <w:trPr>
          <w:trHeight w:val="618"/>
        </w:trPr>
        <w:tc>
          <w:tcPr>
            <w:tcW w:w="1314" w:type="dxa"/>
          </w:tcPr>
          <w:p w14:paraId="491ED442" w14:textId="77777777" w:rsidR="00F648F7" w:rsidRPr="001F4132" w:rsidRDefault="00F648F7" w:rsidP="00F648F7">
            <w:pPr>
              <w:pStyle w:val="Tabletext"/>
              <w:ind w:left="-20"/>
              <w:rPr>
                <w:rFonts w:cs="Calibri"/>
                <w:sz w:val="22"/>
                <w:szCs w:val="22"/>
              </w:rPr>
            </w:pPr>
            <w:r w:rsidRPr="001F4132">
              <w:rPr>
                <w:rFonts w:cs="Calibr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14:paraId="3EC1B2D5" w14:textId="77777777" w:rsidR="00F648F7" w:rsidRPr="001F4132" w:rsidRDefault="00F648F7" w:rsidP="00F648F7">
            <w:pPr>
              <w:pStyle w:val="Tabletext"/>
              <w:rPr>
                <w:rFonts w:cs="Calibri"/>
                <w:sz w:val="22"/>
                <w:szCs w:val="22"/>
              </w:rPr>
            </w:pPr>
            <w:r w:rsidRPr="001F4132">
              <w:rPr>
                <w:rFonts w:cs="Calibri"/>
                <w:b/>
                <w:sz w:val="22"/>
                <w:szCs w:val="22"/>
              </w:rPr>
              <w:t xml:space="preserve">Status of Recommendations X.1062 (ex </w:t>
            </w:r>
            <w:proofErr w:type="spellStart"/>
            <w:r w:rsidRPr="001F4132">
              <w:rPr>
                <w:rFonts w:cs="Calibri"/>
                <w:b/>
                <w:sz w:val="22"/>
                <w:szCs w:val="22"/>
              </w:rPr>
              <w:t>X.shcd</w:t>
            </w:r>
            <w:proofErr w:type="spellEnd"/>
            <w:r w:rsidRPr="001F4132">
              <w:rPr>
                <w:rFonts w:cs="Calibri"/>
                <w:b/>
                <w:sz w:val="22"/>
                <w:szCs w:val="22"/>
              </w:rPr>
              <w:t>), X.1128 (ex X.mt-feature), X.1129 (ex X.mt-integrity), X.1130 (ex X.tg-</w:t>
            </w:r>
            <w:proofErr w:type="spellStart"/>
            <w:r w:rsidRPr="001F4132">
              <w:rPr>
                <w:rFonts w:cs="Calibri"/>
                <w:b/>
                <w:sz w:val="22"/>
                <w:szCs w:val="22"/>
              </w:rPr>
              <w:t>fdma</w:t>
            </w:r>
            <w:proofErr w:type="spellEnd"/>
            <w:r w:rsidRPr="001F4132">
              <w:rPr>
                <w:rFonts w:cs="Calibri"/>
                <w:b/>
                <w:sz w:val="22"/>
                <w:szCs w:val="22"/>
              </w:rPr>
              <w:t xml:space="preserve">), X.1238 (ex </w:t>
            </w:r>
            <w:proofErr w:type="spellStart"/>
            <w:r w:rsidRPr="001F4132">
              <w:rPr>
                <w:rFonts w:cs="Calibri"/>
                <w:b/>
                <w:sz w:val="22"/>
                <w:szCs w:val="22"/>
              </w:rPr>
              <w:t>X.sgc-rcs</w:t>
            </w:r>
            <w:proofErr w:type="spellEnd"/>
            <w:r w:rsidRPr="001F4132">
              <w:rPr>
                <w:rFonts w:cs="Calibri"/>
                <w:b/>
                <w:sz w:val="22"/>
                <w:szCs w:val="22"/>
              </w:rPr>
              <w:t xml:space="preserve">), X.1250, X.1457 (ex </w:t>
            </w:r>
            <w:proofErr w:type="spellStart"/>
            <w:r w:rsidRPr="001F4132">
              <w:rPr>
                <w:rFonts w:cs="Calibri"/>
                <w:b/>
                <w:sz w:val="22"/>
                <w:szCs w:val="22"/>
              </w:rPr>
              <w:t>X.str-irs</w:t>
            </w:r>
            <w:proofErr w:type="spellEnd"/>
            <w:r w:rsidRPr="001F4132">
              <w:rPr>
                <w:rFonts w:cs="Calibri"/>
                <w:b/>
                <w:sz w:val="22"/>
                <w:szCs w:val="22"/>
              </w:rPr>
              <w:t xml:space="preserve">), X.1631, X.1649 (ex </w:t>
            </w:r>
            <w:proofErr w:type="spellStart"/>
            <w:r w:rsidRPr="001F4132">
              <w:rPr>
                <w:rFonts w:cs="Calibri"/>
                <w:b/>
                <w:sz w:val="22"/>
                <w:szCs w:val="22"/>
              </w:rPr>
              <w:t>X.sgmc</w:t>
            </w:r>
            <w:proofErr w:type="spellEnd"/>
            <w:r w:rsidRPr="001F4132">
              <w:rPr>
                <w:rFonts w:cs="Calibri"/>
                <w:b/>
                <w:sz w:val="22"/>
                <w:szCs w:val="22"/>
              </w:rPr>
              <w:t xml:space="preserve">), X.1753 (ex </w:t>
            </w:r>
            <w:proofErr w:type="spellStart"/>
            <w:r w:rsidRPr="001F4132">
              <w:rPr>
                <w:rFonts w:cs="Calibri"/>
                <w:b/>
                <w:sz w:val="22"/>
                <w:szCs w:val="22"/>
              </w:rPr>
              <w:t>X.gdsml</w:t>
            </w:r>
            <w:proofErr w:type="spellEnd"/>
            <w:r w:rsidRPr="001F4132">
              <w:rPr>
                <w:rFonts w:cs="Calibri"/>
                <w:b/>
                <w:sz w:val="22"/>
                <w:szCs w:val="22"/>
              </w:rPr>
              <w:t xml:space="preserve">) after ITU-T Study Group 17 meeting </w:t>
            </w:r>
            <w:r>
              <w:rPr>
                <w:rFonts w:cs="Calibri"/>
                <w:b/>
                <w:sz w:val="22"/>
                <w:szCs w:val="22"/>
              </w:rPr>
              <w:br/>
            </w:r>
            <w:r w:rsidRPr="001F4132">
              <w:rPr>
                <w:rFonts w:cs="Calibri"/>
                <w:b/>
                <w:sz w:val="22"/>
                <w:szCs w:val="22"/>
              </w:rPr>
              <w:t>(Geneva, 3-11 December 2025)</w:t>
            </w:r>
          </w:p>
        </w:tc>
      </w:tr>
    </w:tbl>
    <w:p w14:paraId="556F5985" w14:textId="77777777" w:rsidR="004D34A4" w:rsidRPr="00EE70FC" w:rsidRDefault="00F76161">
      <w:pPr>
        <w:rPr>
          <w:rFonts w:cs="Calibri"/>
          <w:sz w:val="22"/>
          <w:szCs w:val="22"/>
        </w:rPr>
      </w:pPr>
      <w:r w:rsidRPr="00EE70FC">
        <w:rPr>
          <w:rFonts w:cs="Calibri"/>
          <w:sz w:val="22"/>
          <w:szCs w:val="22"/>
        </w:rPr>
        <w:t>Dear Sir/Madam,</w:t>
      </w:r>
    </w:p>
    <w:p w14:paraId="0590A4E7" w14:textId="3882E130" w:rsidR="004D34A4" w:rsidRPr="00EE70FC" w:rsidRDefault="00F76161" w:rsidP="00F648F7">
      <w:pPr>
        <w:spacing w:after="120"/>
        <w:rPr>
          <w:rFonts w:cs="Calibri"/>
          <w:sz w:val="22"/>
          <w:szCs w:val="22"/>
        </w:rPr>
      </w:pPr>
      <w:r w:rsidRPr="00EE70FC">
        <w:rPr>
          <w:rFonts w:cs="Calibri"/>
          <w:bCs/>
          <w:sz w:val="22"/>
          <w:szCs w:val="22"/>
        </w:rPr>
        <w:t>1</w:t>
      </w:r>
      <w:r w:rsidRPr="00EE70FC">
        <w:rPr>
          <w:rFonts w:cs="Calibri"/>
          <w:sz w:val="22"/>
          <w:szCs w:val="22"/>
        </w:rPr>
        <w:tab/>
        <w:t xml:space="preserve">Further to TSB Circular </w:t>
      </w:r>
      <w:hyperlink r:id="rId9" w:history="1">
        <w:r w:rsidRPr="00EE70FC">
          <w:rPr>
            <w:rStyle w:val="Hyperlink"/>
            <w:rFonts w:cs="Calibri"/>
            <w:sz w:val="22"/>
            <w:szCs w:val="22"/>
          </w:rPr>
          <w:t>50</w:t>
        </w:r>
      </w:hyperlink>
      <w:r w:rsidRPr="00EE70FC">
        <w:rPr>
          <w:rFonts w:cs="Calibri"/>
          <w:sz w:val="22"/>
          <w:szCs w:val="22"/>
        </w:rPr>
        <w:t xml:space="preserve"> of 23 </w:t>
      </w:r>
      <w:r w:rsidR="0076613C" w:rsidRPr="00EE70FC">
        <w:rPr>
          <w:rFonts w:cs="Calibri"/>
          <w:sz w:val="22"/>
          <w:szCs w:val="22"/>
        </w:rPr>
        <w:t>July</w:t>
      </w:r>
      <w:r w:rsidRPr="00EE70FC">
        <w:rPr>
          <w:rFonts w:cs="Calibri"/>
          <w:sz w:val="22"/>
          <w:szCs w:val="22"/>
        </w:rPr>
        <w:t xml:space="preserve"> 2025,  and pursuant to clause 9.5-9.6 of Resolution 1 </w:t>
      </w:r>
      <w:r w:rsidR="00F648F7">
        <w:rPr>
          <w:rFonts w:cs="Calibri"/>
          <w:sz w:val="22"/>
          <w:szCs w:val="22"/>
        </w:rPr>
        <w:br/>
      </w:r>
      <w:r w:rsidRPr="00EE70FC">
        <w:rPr>
          <w:rFonts w:cs="Calibri"/>
          <w:sz w:val="22"/>
          <w:szCs w:val="22"/>
        </w:rPr>
        <w:t>(Rev. Geneva, 2022), I hereby inform you that ITU-T Study Group 17 reached the following decisions during its Plenary session held on 11 December 2025 concerning the following draft texts: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684"/>
        <w:gridCol w:w="5369"/>
        <w:gridCol w:w="2050"/>
      </w:tblGrid>
      <w:tr w:rsidR="00EE70FC" w:rsidRPr="00EE70FC" w14:paraId="2BC23967" w14:textId="77777777" w:rsidTr="00EE70FC">
        <w:trPr>
          <w:cantSplit/>
          <w:tblHeader/>
          <w:jc w:val="center"/>
        </w:trPr>
        <w:tc>
          <w:tcPr>
            <w:tcW w:w="307" w:type="pct"/>
          </w:tcPr>
          <w:p w14:paraId="3329D811" w14:textId="327EE818" w:rsidR="00EE70FC" w:rsidRPr="00EE70FC" w:rsidRDefault="00EE70FC">
            <w:pPr>
              <w:pStyle w:val="Tablehead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#</w:t>
            </w:r>
          </w:p>
        </w:tc>
        <w:tc>
          <w:tcPr>
            <w:tcW w:w="868" w:type="pct"/>
            <w:tcBorders>
              <w:bottom w:val="single" w:sz="12" w:space="0" w:color="auto"/>
            </w:tcBorders>
          </w:tcPr>
          <w:p w14:paraId="1912EA1E" w14:textId="574CAA30" w:rsidR="00EE70FC" w:rsidRPr="00EE70FC" w:rsidRDefault="00EE70FC" w:rsidP="006D360F">
            <w:pPr>
              <w:pStyle w:val="Tablehead"/>
              <w:jc w:val="lef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Number</w:t>
            </w:r>
          </w:p>
        </w:tc>
        <w:tc>
          <w:tcPr>
            <w:tcW w:w="2768" w:type="pct"/>
            <w:tcBorders>
              <w:bottom w:val="single" w:sz="12" w:space="0" w:color="auto"/>
            </w:tcBorders>
          </w:tcPr>
          <w:p w14:paraId="05AC3D38" w14:textId="77777777" w:rsidR="00EE70FC" w:rsidRPr="00EE70FC" w:rsidRDefault="00EE70FC">
            <w:pPr>
              <w:pStyle w:val="Tablehead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Title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14:paraId="3BB54949" w14:textId="77777777" w:rsidR="00EE70FC" w:rsidRPr="00EE70FC" w:rsidRDefault="00EE70FC" w:rsidP="00EE70FC">
            <w:pPr>
              <w:pStyle w:val="Tablehead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Decision</w:t>
            </w:r>
          </w:p>
        </w:tc>
      </w:tr>
      <w:tr w:rsidR="00EE70FC" w:rsidRPr="00EE70FC" w14:paraId="5BBD80D0" w14:textId="77777777" w:rsidTr="00EE70FC">
        <w:trPr>
          <w:cantSplit/>
          <w:jc w:val="center"/>
        </w:trPr>
        <w:tc>
          <w:tcPr>
            <w:tcW w:w="307" w:type="pct"/>
          </w:tcPr>
          <w:p w14:paraId="70C8B4DF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5520F69D" w14:textId="1D2D6DE0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</w:rPr>
            </w:pPr>
            <w:hyperlink r:id="rId10" w:history="1"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 xml:space="preserve">X.1062 </w:t>
              </w:r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br/>
                <w:t xml:space="preserve">(ex </w:t>
              </w:r>
              <w:proofErr w:type="spellStart"/>
              <w:proofErr w:type="gramStart"/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X.shcd</w:t>
              </w:r>
              <w:proofErr w:type="spellEnd"/>
              <w:proofErr w:type="gramEnd"/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)</w:t>
              </w:r>
            </w:hyperlink>
          </w:p>
        </w:tc>
        <w:tc>
          <w:tcPr>
            <w:tcW w:w="2768" w:type="pct"/>
          </w:tcPr>
          <w:p w14:paraId="6CA1C8D6" w14:textId="77777777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Framework for human capability development in information security</w:t>
            </w:r>
          </w:p>
        </w:tc>
        <w:tc>
          <w:tcPr>
            <w:tcW w:w="1057" w:type="pct"/>
            <w:vAlign w:val="center"/>
          </w:tcPr>
          <w:p w14:paraId="15A2B7D9" w14:textId="0070F6C8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EE70FC" w:rsidRPr="00EE70FC" w14:paraId="6E461F6F" w14:textId="77777777" w:rsidTr="00EE70FC">
        <w:trPr>
          <w:cantSplit/>
          <w:jc w:val="center"/>
        </w:trPr>
        <w:tc>
          <w:tcPr>
            <w:tcW w:w="307" w:type="pct"/>
          </w:tcPr>
          <w:p w14:paraId="47D29149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741C85BE" w14:textId="22EC2FAF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  <w:lang w:val="fr-CH"/>
              </w:rPr>
            </w:pPr>
            <w:hyperlink r:id="rId11" w:history="1"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t>X.1238</w:t>
              </w:r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br/>
                <w:t xml:space="preserve">(ex </w:t>
              </w:r>
              <w:proofErr w:type="spellStart"/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t>X.sgc-rcs</w:t>
              </w:r>
              <w:proofErr w:type="spellEnd"/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t>)</w:t>
              </w:r>
            </w:hyperlink>
          </w:p>
        </w:tc>
        <w:tc>
          <w:tcPr>
            <w:tcW w:w="2768" w:type="pct"/>
          </w:tcPr>
          <w:p w14:paraId="0543BD44" w14:textId="3702E2BD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Guidelines for countering spam over rich communication service (RCS) messaging</w:t>
            </w:r>
          </w:p>
        </w:tc>
        <w:tc>
          <w:tcPr>
            <w:tcW w:w="1057" w:type="pct"/>
            <w:vAlign w:val="center"/>
          </w:tcPr>
          <w:p w14:paraId="12C09B45" w14:textId="151C468A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EE70FC" w:rsidRPr="00EE70FC" w14:paraId="580BD26F" w14:textId="77777777" w:rsidTr="00EE70FC">
        <w:trPr>
          <w:cantSplit/>
          <w:jc w:val="center"/>
        </w:trPr>
        <w:tc>
          <w:tcPr>
            <w:tcW w:w="307" w:type="pct"/>
          </w:tcPr>
          <w:p w14:paraId="65E59BCC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1003918B" w14:textId="1A6805B1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  <w:lang w:val="fr-FR"/>
              </w:rPr>
            </w:pPr>
            <w:hyperlink r:id="rId12" w:history="1"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t>X.1128</w:t>
              </w:r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br/>
                <w:t>(</w:t>
              </w:r>
              <w:proofErr w:type="gramStart"/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t>ex X</w:t>
              </w:r>
              <w:proofErr w:type="gramEnd"/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t>.mt-</w:t>
              </w:r>
              <w:proofErr w:type="spellStart"/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t>feature</w:t>
              </w:r>
              <w:proofErr w:type="spellEnd"/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68" w:type="pct"/>
          </w:tcPr>
          <w:p w14:paraId="73F33D23" w14:textId="77777777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Security features to assess mobile terminal security</w:t>
            </w:r>
          </w:p>
        </w:tc>
        <w:tc>
          <w:tcPr>
            <w:tcW w:w="1057" w:type="pct"/>
            <w:vAlign w:val="center"/>
          </w:tcPr>
          <w:p w14:paraId="557D5808" w14:textId="195300D9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EE70FC" w:rsidRPr="00EE70FC" w14:paraId="7AE4C549" w14:textId="77777777" w:rsidTr="00EE70FC">
        <w:trPr>
          <w:cantSplit/>
          <w:jc w:val="center"/>
        </w:trPr>
        <w:tc>
          <w:tcPr>
            <w:tcW w:w="307" w:type="pct"/>
          </w:tcPr>
          <w:p w14:paraId="1740DA6C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5894DA18" w14:textId="0D9941D4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  <w:lang w:val="es-ES"/>
              </w:rPr>
            </w:pPr>
            <w:hyperlink r:id="rId13" w:history="1">
              <w:r w:rsidRPr="00EE70FC">
                <w:rPr>
                  <w:rStyle w:val="Hyperlink"/>
                  <w:rFonts w:cs="Calibri"/>
                  <w:sz w:val="22"/>
                  <w:szCs w:val="22"/>
                  <w:lang w:val="es-ES"/>
                </w:rPr>
                <w:t>X.1129</w:t>
              </w:r>
              <w:r w:rsidRPr="00EE70FC">
                <w:rPr>
                  <w:rStyle w:val="Hyperlink"/>
                  <w:rFonts w:cs="Calibri"/>
                  <w:sz w:val="22"/>
                  <w:szCs w:val="22"/>
                  <w:lang w:val="es-ES"/>
                </w:rPr>
                <w:br/>
                <w:t>(ex X.mt-</w:t>
              </w:r>
              <w:proofErr w:type="spellStart"/>
              <w:r w:rsidRPr="00EE70FC">
                <w:rPr>
                  <w:rStyle w:val="Hyperlink"/>
                  <w:rFonts w:cs="Calibri"/>
                  <w:sz w:val="22"/>
                  <w:szCs w:val="22"/>
                  <w:lang w:val="es-ES"/>
                </w:rPr>
                <w:t>integrity</w:t>
              </w:r>
              <w:proofErr w:type="spellEnd"/>
              <w:r w:rsidRPr="00EE70FC">
                <w:rPr>
                  <w:rStyle w:val="Hyperlink"/>
                  <w:rFonts w:cs="Calibri"/>
                  <w:sz w:val="22"/>
                  <w:szCs w:val="22"/>
                  <w:lang w:val="es-ES"/>
                </w:rPr>
                <w:t>)</w:t>
              </w:r>
            </w:hyperlink>
          </w:p>
        </w:tc>
        <w:tc>
          <w:tcPr>
            <w:tcW w:w="2768" w:type="pct"/>
          </w:tcPr>
          <w:p w14:paraId="617FA887" w14:textId="77777777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Security guidelines for mobile terminal integrity protection</w:t>
            </w:r>
          </w:p>
        </w:tc>
        <w:tc>
          <w:tcPr>
            <w:tcW w:w="1057" w:type="pct"/>
            <w:vAlign w:val="center"/>
          </w:tcPr>
          <w:p w14:paraId="79712CC3" w14:textId="5CAD2197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EE70FC" w:rsidRPr="00EE70FC" w14:paraId="1B81A3DD" w14:textId="77777777" w:rsidTr="00EE70FC">
        <w:trPr>
          <w:cantSplit/>
          <w:jc w:val="center"/>
        </w:trPr>
        <w:tc>
          <w:tcPr>
            <w:tcW w:w="307" w:type="pct"/>
          </w:tcPr>
          <w:p w14:paraId="0B7908F8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357186BE" w14:textId="6892EFF9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  <w:lang w:val="fr-CH"/>
              </w:rPr>
            </w:pPr>
            <w:hyperlink r:id="rId14" w:history="1"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t>X.1130</w:t>
              </w:r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br/>
                <w:t>(</w:t>
              </w:r>
              <w:proofErr w:type="gramStart"/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t>ex X</w:t>
              </w:r>
              <w:proofErr w:type="gramEnd"/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t>.tg-</w:t>
              </w:r>
              <w:proofErr w:type="spellStart"/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t>fdma</w:t>
              </w:r>
              <w:proofErr w:type="spellEnd"/>
              <w:r w:rsidRPr="00EE70FC">
                <w:rPr>
                  <w:rStyle w:val="Hyperlink"/>
                  <w:rFonts w:cs="Calibri"/>
                  <w:sz w:val="22"/>
                  <w:szCs w:val="22"/>
                  <w:lang w:val="fr-CH"/>
                </w:rPr>
                <w:t>)</w:t>
              </w:r>
            </w:hyperlink>
          </w:p>
        </w:tc>
        <w:tc>
          <w:tcPr>
            <w:tcW w:w="2768" w:type="pct"/>
          </w:tcPr>
          <w:p w14:paraId="5F4AFF5D" w14:textId="77777777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 xml:space="preserve">Technical guidelines for detecting malicious activities of mobile applications </w:t>
            </w:r>
          </w:p>
        </w:tc>
        <w:tc>
          <w:tcPr>
            <w:tcW w:w="1057" w:type="pct"/>
            <w:vAlign w:val="center"/>
          </w:tcPr>
          <w:p w14:paraId="5B33728B" w14:textId="71DF9D66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EE70FC" w:rsidRPr="00EE70FC" w14:paraId="0DDAB784" w14:textId="77777777" w:rsidTr="00EE70FC">
        <w:trPr>
          <w:cantSplit/>
          <w:jc w:val="center"/>
        </w:trPr>
        <w:tc>
          <w:tcPr>
            <w:tcW w:w="307" w:type="pct"/>
          </w:tcPr>
          <w:p w14:paraId="5B0E811D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061B6D4B" w14:textId="595D703D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  <w:lang w:val="fr-FR"/>
              </w:rPr>
            </w:pPr>
            <w:hyperlink r:id="rId15" w:history="1"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t>X.1457</w:t>
              </w:r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br/>
                <w:t xml:space="preserve">(ex </w:t>
              </w:r>
              <w:proofErr w:type="spellStart"/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t>X.str-irs</w:t>
              </w:r>
              <w:proofErr w:type="spellEnd"/>
              <w:r w:rsidRPr="00EE70FC">
                <w:rPr>
                  <w:rStyle w:val="Hyperlink"/>
                  <w:rFonts w:cs="Calibri"/>
                  <w:sz w:val="22"/>
                  <w:szCs w:val="22"/>
                  <w:lang w:val="fr-FR"/>
                </w:rPr>
                <w:t>)</w:t>
              </w:r>
            </w:hyperlink>
          </w:p>
        </w:tc>
        <w:tc>
          <w:tcPr>
            <w:tcW w:w="2768" w:type="pct"/>
          </w:tcPr>
          <w:p w14:paraId="653C9CAD" w14:textId="77777777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Security threats and requirements for information recommendation service</w:t>
            </w:r>
          </w:p>
        </w:tc>
        <w:tc>
          <w:tcPr>
            <w:tcW w:w="1057" w:type="pct"/>
            <w:vAlign w:val="center"/>
          </w:tcPr>
          <w:p w14:paraId="61538F28" w14:textId="376528CD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EE70FC" w:rsidRPr="00EE70FC" w14:paraId="21C4E23A" w14:textId="77777777" w:rsidTr="00EE70FC">
        <w:trPr>
          <w:cantSplit/>
          <w:jc w:val="center"/>
        </w:trPr>
        <w:tc>
          <w:tcPr>
            <w:tcW w:w="307" w:type="pct"/>
          </w:tcPr>
          <w:p w14:paraId="762BBFA3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0763B7D8" w14:textId="70151644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</w:rPr>
            </w:pPr>
            <w:hyperlink r:id="rId16" w:history="1"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X.1649</w:t>
              </w:r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br/>
                <w:t xml:space="preserve">(ex </w:t>
              </w:r>
              <w:proofErr w:type="spellStart"/>
              <w:proofErr w:type="gramStart"/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X.sgmc</w:t>
              </w:r>
              <w:proofErr w:type="spellEnd"/>
              <w:proofErr w:type="gramEnd"/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)</w:t>
              </w:r>
            </w:hyperlink>
          </w:p>
        </w:tc>
        <w:tc>
          <w:tcPr>
            <w:tcW w:w="2768" w:type="pct"/>
          </w:tcPr>
          <w:p w14:paraId="1790950A" w14:textId="68272812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Security guidelines for multi-cloud</w:t>
            </w:r>
          </w:p>
        </w:tc>
        <w:tc>
          <w:tcPr>
            <w:tcW w:w="1057" w:type="pct"/>
            <w:vAlign w:val="center"/>
          </w:tcPr>
          <w:p w14:paraId="20B2639F" w14:textId="766AC249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EE70FC" w:rsidRPr="00EE70FC" w14:paraId="097194A0" w14:textId="77777777" w:rsidTr="00EE70FC">
        <w:trPr>
          <w:cantSplit/>
          <w:jc w:val="center"/>
        </w:trPr>
        <w:tc>
          <w:tcPr>
            <w:tcW w:w="307" w:type="pct"/>
          </w:tcPr>
          <w:p w14:paraId="731E483F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1ABF0617" w14:textId="5F434F21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</w:rPr>
            </w:pPr>
            <w:hyperlink r:id="rId17" w:history="1"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X.1753</w:t>
              </w:r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br/>
                <w:t xml:space="preserve">(ex </w:t>
              </w:r>
              <w:proofErr w:type="spellStart"/>
              <w:proofErr w:type="gramStart"/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X.gdsml</w:t>
              </w:r>
              <w:proofErr w:type="spellEnd"/>
              <w:proofErr w:type="gramEnd"/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)</w:t>
              </w:r>
            </w:hyperlink>
          </w:p>
        </w:tc>
        <w:tc>
          <w:tcPr>
            <w:tcW w:w="2768" w:type="pct"/>
          </w:tcPr>
          <w:p w14:paraId="2D59709B" w14:textId="6C38F6D8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Guidelines for data security using machine learning in big data infrastructure</w:t>
            </w:r>
          </w:p>
        </w:tc>
        <w:tc>
          <w:tcPr>
            <w:tcW w:w="1057" w:type="pct"/>
            <w:vAlign w:val="center"/>
          </w:tcPr>
          <w:p w14:paraId="5B41B263" w14:textId="055F7CCF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EE70FC" w:rsidRPr="00EE70FC" w14:paraId="481A2443" w14:textId="77777777" w:rsidTr="00EE70FC">
        <w:trPr>
          <w:cantSplit/>
          <w:jc w:val="center"/>
        </w:trPr>
        <w:tc>
          <w:tcPr>
            <w:tcW w:w="307" w:type="pct"/>
          </w:tcPr>
          <w:p w14:paraId="3CE0599F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655F8049" w14:textId="5AB596AF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</w:rPr>
            </w:pPr>
            <w:hyperlink r:id="rId18" w:history="1"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X.1631</w:t>
              </w:r>
            </w:hyperlink>
          </w:p>
        </w:tc>
        <w:tc>
          <w:tcPr>
            <w:tcW w:w="2768" w:type="pct"/>
          </w:tcPr>
          <w:p w14:paraId="1BC97044" w14:textId="036296E3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Information security, cybersecurity and privacy protection — Information security controls based on ISO/IEC 27002 for cloud services</w:t>
            </w:r>
          </w:p>
        </w:tc>
        <w:tc>
          <w:tcPr>
            <w:tcW w:w="1057" w:type="pct"/>
            <w:vAlign w:val="center"/>
          </w:tcPr>
          <w:p w14:paraId="19E49FA5" w14:textId="316437F4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EE70FC" w:rsidRPr="00EE70FC" w14:paraId="620A8F26" w14:textId="77777777" w:rsidTr="00EE70FC">
        <w:trPr>
          <w:cantSplit/>
          <w:jc w:val="center"/>
        </w:trPr>
        <w:tc>
          <w:tcPr>
            <w:tcW w:w="307" w:type="pct"/>
          </w:tcPr>
          <w:p w14:paraId="3BB53A00" w14:textId="77777777" w:rsidR="00EE70FC" w:rsidRPr="00EE70FC" w:rsidRDefault="00EE70FC" w:rsidP="002F2762">
            <w:pPr>
              <w:pStyle w:val="Tabletext"/>
              <w:numPr>
                <w:ilvl w:val="0"/>
                <w:numId w:val="13"/>
              </w:numPr>
              <w:rPr>
                <w:rFonts w:cs="Calibri"/>
                <w:sz w:val="22"/>
                <w:szCs w:val="22"/>
              </w:rPr>
            </w:pPr>
          </w:p>
        </w:tc>
        <w:tc>
          <w:tcPr>
            <w:tcW w:w="868" w:type="pct"/>
          </w:tcPr>
          <w:p w14:paraId="2DEDFFAC" w14:textId="15896ACD" w:rsidR="00EE70FC" w:rsidRPr="00EE70FC" w:rsidRDefault="00EE70FC" w:rsidP="002F2762">
            <w:pPr>
              <w:pStyle w:val="Tabletext"/>
              <w:jc w:val="center"/>
              <w:rPr>
                <w:rFonts w:cs="Calibri"/>
                <w:sz w:val="22"/>
                <w:szCs w:val="22"/>
              </w:rPr>
            </w:pPr>
            <w:hyperlink r:id="rId19" w:history="1">
              <w:r w:rsidRPr="00EE70FC">
                <w:rPr>
                  <w:rStyle w:val="Hyperlink"/>
                  <w:rFonts w:cs="Calibri"/>
                  <w:sz w:val="22"/>
                  <w:szCs w:val="22"/>
                </w:rPr>
                <w:t>X.1250</w:t>
              </w:r>
            </w:hyperlink>
          </w:p>
        </w:tc>
        <w:tc>
          <w:tcPr>
            <w:tcW w:w="2768" w:type="pct"/>
          </w:tcPr>
          <w:p w14:paraId="1E764174" w14:textId="53D2FD9C" w:rsidR="00EE70FC" w:rsidRPr="00EE70FC" w:rsidRDefault="00EE70FC" w:rsidP="002F2762">
            <w:pPr>
              <w:pStyle w:val="Tabletext"/>
              <w:rPr>
                <w:rFonts w:cs="Calibri"/>
                <w:sz w:val="22"/>
                <w:szCs w:val="22"/>
              </w:rPr>
            </w:pPr>
            <w:r w:rsidRPr="00EE70FC">
              <w:rPr>
                <w:rFonts w:cs="Calibri"/>
                <w:sz w:val="22"/>
                <w:szCs w:val="22"/>
              </w:rPr>
              <w:t>Baseline capabilities for enhanced identity management and interoperability</w:t>
            </w:r>
          </w:p>
        </w:tc>
        <w:tc>
          <w:tcPr>
            <w:tcW w:w="1057" w:type="pct"/>
            <w:vAlign w:val="center"/>
          </w:tcPr>
          <w:p w14:paraId="39B9BC0F" w14:textId="1C391277" w:rsidR="00EE70FC" w:rsidRPr="00EE70FC" w:rsidRDefault="00EE70FC" w:rsidP="00EE70FC">
            <w:pPr>
              <w:pStyle w:val="Tabletext"/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EE70FC">
              <w:rPr>
                <w:rFonts w:cs="Calibri"/>
                <w:sz w:val="22"/>
                <w:szCs w:val="22"/>
              </w:rPr>
              <w:t>Approved</w:t>
            </w:r>
          </w:p>
        </w:tc>
      </w:tr>
    </w:tbl>
    <w:p w14:paraId="4A22A23C" w14:textId="77777777" w:rsidR="004D34A4" w:rsidRPr="00EE70FC" w:rsidRDefault="00F76161">
      <w:pPr>
        <w:rPr>
          <w:rFonts w:cs="Calibri"/>
          <w:sz w:val="22"/>
          <w:szCs w:val="22"/>
        </w:rPr>
      </w:pPr>
      <w:r w:rsidRPr="00EE70FC">
        <w:rPr>
          <w:rFonts w:cs="Calibri"/>
          <w:sz w:val="22"/>
          <w:szCs w:val="22"/>
        </w:rPr>
        <w:lastRenderedPageBreak/>
        <w:t>2</w:t>
      </w:r>
      <w:r w:rsidRPr="00EE70FC">
        <w:rPr>
          <w:rFonts w:cs="Calibri"/>
          <w:sz w:val="22"/>
          <w:szCs w:val="22"/>
        </w:rPr>
        <w:tab/>
        <w:t>Available patent information can be accessed on</w:t>
      </w:r>
      <w:r w:rsidRPr="00EE70FC">
        <w:rPr>
          <w:rFonts w:cs="Calibri"/>
          <w:sz w:val="22"/>
          <w:szCs w:val="22"/>
        </w:rPr>
        <w:noBreakHyphen/>
        <w:t xml:space="preserve">line via the </w:t>
      </w:r>
      <w:hyperlink r:id="rId20" w:history="1">
        <w:r w:rsidRPr="00EE70FC">
          <w:rPr>
            <w:rStyle w:val="Hyperlink"/>
            <w:rFonts w:cs="Calibri"/>
            <w:sz w:val="22"/>
            <w:szCs w:val="22"/>
          </w:rPr>
          <w:t>ITU-T website</w:t>
        </w:r>
      </w:hyperlink>
      <w:r w:rsidRPr="00EE70FC">
        <w:rPr>
          <w:rFonts w:cs="Calibri"/>
          <w:sz w:val="22"/>
          <w:szCs w:val="22"/>
        </w:rPr>
        <w:t>.</w:t>
      </w:r>
    </w:p>
    <w:p w14:paraId="2DB6B42F" w14:textId="77777777" w:rsidR="004D34A4" w:rsidRPr="00EE70FC" w:rsidRDefault="00F76161">
      <w:pPr>
        <w:rPr>
          <w:rFonts w:cs="Calibri"/>
          <w:sz w:val="22"/>
          <w:szCs w:val="22"/>
        </w:rPr>
      </w:pPr>
      <w:r w:rsidRPr="00EE70FC">
        <w:rPr>
          <w:rFonts w:cs="Calibri"/>
          <w:sz w:val="22"/>
          <w:szCs w:val="22"/>
        </w:rPr>
        <w:t>3</w:t>
      </w:r>
      <w:r w:rsidRPr="00EE70FC">
        <w:rPr>
          <w:rFonts w:cs="Calibri"/>
          <w:sz w:val="22"/>
          <w:szCs w:val="22"/>
        </w:rPr>
        <w:tab/>
        <w:t xml:space="preserve">The texts of the pre-published Recommendations will soon be available on the ITU-T website at </w:t>
      </w:r>
      <w:hyperlink r:id="rId21" w:history="1">
        <w:r w:rsidRPr="00EE70FC">
          <w:rPr>
            <w:rStyle w:val="Hyperlink"/>
            <w:rFonts w:cs="Calibri"/>
            <w:sz w:val="22"/>
            <w:szCs w:val="22"/>
          </w:rPr>
          <w:t>http://itu.int/itu-t/recommendations/</w:t>
        </w:r>
      </w:hyperlink>
      <w:r w:rsidRPr="00EE70FC">
        <w:rPr>
          <w:rFonts w:cs="Calibri"/>
          <w:sz w:val="22"/>
          <w:szCs w:val="22"/>
        </w:rPr>
        <w:t>.</w:t>
      </w:r>
    </w:p>
    <w:p w14:paraId="552B477D" w14:textId="77777777" w:rsidR="004D34A4" w:rsidRPr="00EE70FC" w:rsidRDefault="00F76161">
      <w:pPr>
        <w:rPr>
          <w:rFonts w:cs="Calibri"/>
          <w:sz w:val="22"/>
          <w:szCs w:val="22"/>
        </w:rPr>
      </w:pPr>
      <w:r w:rsidRPr="00EE70FC">
        <w:rPr>
          <w:rFonts w:cs="Calibri"/>
          <w:bCs/>
          <w:sz w:val="22"/>
          <w:szCs w:val="22"/>
        </w:rPr>
        <w:t>4</w:t>
      </w:r>
      <w:r w:rsidRPr="00EE70FC">
        <w:rPr>
          <w:rFonts w:cs="Calibri"/>
          <w:sz w:val="22"/>
          <w:szCs w:val="22"/>
        </w:rPr>
        <w:tab/>
        <w:t>The texts of these Recommendations will be published by ITU as soon as possible.</w:t>
      </w:r>
    </w:p>
    <w:p w14:paraId="0F437771" w14:textId="42CB83EA" w:rsidR="00EE70FC" w:rsidRPr="00EE70FC" w:rsidRDefault="00F76161" w:rsidP="00F648F7">
      <w:pPr>
        <w:rPr>
          <w:rFonts w:cs="Calibri"/>
          <w:sz w:val="22"/>
          <w:szCs w:val="22"/>
        </w:rPr>
      </w:pPr>
      <w:r w:rsidRPr="00EE70FC">
        <w:rPr>
          <w:rFonts w:cs="Calibri"/>
          <w:sz w:val="22"/>
          <w:szCs w:val="22"/>
        </w:rPr>
        <w:t>Yours faithfully,</w:t>
      </w:r>
    </w:p>
    <w:p w14:paraId="2DC7150C" w14:textId="14907DBB" w:rsidR="00EE70FC" w:rsidRPr="00EE70FC" w:rsidRDefault="00020E39" w:rsidP="00F648F7">
      <w:pPr>
        <w:spacing w:before="720"/>
        <w:rPr>
          <w:rFonts w:cs="Calibri"/>
          <w:sz w:val="22"/>
          <w:szCs w:val="22"/>
        </w:rPr>
      </w:pPr>
      <w:r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268B20D" wp14:editId="07B7BDF2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711237" cy="368319"/>
            <wp:effectExtent l="0" t="0" r="0" b="0"/>
            <wp:wrapNone/>
            <wp:docPr id="580256247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56247" name="Picture 2" descr="A black text on a white background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161" w:rsidRPr="00EE70FC">
        <w:rPr>
          <w:rFonts w:cs="Calibri"/>
          <w:sz w:val="22"/>
          <w:szCs w:val="22"/>
        </w:rPr>
        <w:t>Seizo Onoe</w:t>
      </w:r>
      <w:r w:rsidR="00F76161" w:rsidRPr="00EE70FC">
        <w:rPr>
          <w:rFonts w:cs="Calibri"/>
          <w:sz w:val="22"/>
          <w:szCs w:val="22"/>
        </w:rPr>
        <w:br/>
        <w:t>Director of the Telecommunication</w:t>
      </w:r>
      <w:r w:rsidR="00F76161" w:rsidRPr="00EE70FC">
        <w:rPr>
          <w:rFonts w:cs="Calibri"/>
          <w:sz w:val="22"/>
          <w:szCs w:val="22"/>
        </w:rPr>
        <w:br/>
        <w:t>Standardization Bureau</w:t>
      </w:r>
    </w:p>
    <w:sectPr w:rsidR="00EE70FC" w:rsidRPr="00EE70FC" w:rsidSect="00F648F7">
      <w:headerReference w:type="default" r:id="rId23"/>
      <w:footerReference w:type="first" r:id="rId24"/>
      <w:type w:val="continuous"/>
      <w:pgSz w:w="11907" w:h="16840"/>
      <w:pgMar w:top="1134" w:right="1089" w:bottom="720" w:left="1089" w:header="567" w:footer="35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1FFA" w14:textId="77777777" w:rsidR="00346E50" w:rsidRDefault="00346E50">
      <w:r>
        <w:separator/>
      </w:r>
    </w:p>
  </w:endnote>
  <w:endnote w:type="continuationSeparator" w:id="0">
    <w:p w14:paraId="74F24AB7" w14:textId="77777777" w:rsidR="00346E50" w:rsidRDefault="003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DF25" w14:textId="77777777" w:rsidR="008F14F3" w:rsidRPr="00F763C8" w:rsidRDefault="008F14F3" w:rsidP="00F763C8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>International Telecommunication Union • Place des Nations • CH-1211 Geneva 20 • Switzerland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Tel: +41 22 730 5111 • Fax: +41 22 733 7256 • E-mail: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0E75" w14:textId="77777777" w:rsidR="00346E50" w:rsidRDefault="00346E50">
      <w:r>
        <w:t>____________________</w:t>
      </w:r>
    </w:p>
  </w:footnote>
  <w:footnote w:type="continuationSeparator" w:id="0">
    <w:p w14:paraId="7BAE3E7B" w14:textId="77777777" w:rsidR="00346E50" w:rsidRDefault="0034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E5D8" w14:textId="77777777" w:rsidR="008F14F3" w:rsidRDefault="008F14F3" w:rsidP="00F763C8">
    <w:pPr>
      <w:pStyle w:val="Header"/>
    </w:pPr>
    <w:r>
      <w:t xml:space="preserve">- </w:t>
    </w:r>
    <w:r w:rsidR="004D34A4">
      <w:fldChar w:fldCharType="begin"/>
    </w:r>
    <w:r>
      <w:instrText xml:space="preserve"> PAGE   \* MERGEFORMAT </w:instrText>
    </w:r>
    <w:r w:rsidR="004D34A4">
      <w:fldChar w:fldCharType="separate"/>
    </w:r>
    <w:r w:rsidR="00425273">
      <w:rPr>
        <w:noProof/>
      </w:rPr>
      <w:t>4</w:t>
    </w:r>
    <w:r w:rsidR="004D34A4"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br/>
    </w:r>
    <w:r>
      <w:t>TSB Circular 97</w:t>
    </w:r>
  </w:p>
  <w:p w14:paraId="2B147838" w14:textId="77777777" w:rsidR="008F14F3" w:rsidRDefault="008F14F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12FA5"/>
    <w:multiLevelType w:val="hybridMultilevel"/>
    <w:tmpl w:val="12080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E33A0"/>
    <w:multiLevelType w:val="hybridMultilevel"/>
    <w:tmpl w:val="F55A412A"/>
    <w:lvl w:ilvl="0" w:tplc="56324BB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39333196">
    <w:abstractNumId w:val="9"/>
  </w:num>
  <w:num w:numId="2" w16cid:durableId="2011442304">
    <w:abstractNumId w:val="7"/>
  </w:num>
  <w:num w:numId="3" w16cid:durableId="1437213568">
    <w:abstractNumId w:val="6"/>
  </w:num>
  <w:num w:numId="4" w16cid:durableId="1915309714">
    <w:abstractNumId w:val="5"/>
  </w:num>
  <w:num w:numId="5" w16cid:durableId="1274945969">
    <w:abstractNumId w:val="4"/>
  </w:num>
  <w:num w:numId="6" w16cid:durableId="1469856860">
    <w:abstractNumId w:val="8"/>
  </w:num>
  <w:num w:numId="7" w16cid:durableId="506870321">
    <w:abstractNumId w:val="3"/>
  </w:num>
  <w:num w:numId="8" w16cid:durableId="54161275">
    <w:abstractNumId w:val="2"/>
  </w:num>
  <w:num w:numId="9" w16cid:durableId="829951630">
    <w:abstractNumId w:val="1"/>
  </w:num>
  <w:num w:numId="10" w16cid:durableId="1712345057">
    <w:abstractNumId w:val="0"/>
  </w:num>
  <w:num w:numId="11" w16cid:durableId="301351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3405292">
    <w:abstractNumId w:val="10"/>
  </w:num>
  <w:num w:numId="13" w16cid:durableId="1582328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AC"/>
    <w:rsid w:val="0001652F"/>
    <w:rsid w:val="00020E39"/>
    <w:rsid w:val="00041231"/>
    <w:rsid w:val="000528FF"/>
    <w:rsid w:val="000657AC"/>
    <w:rsid w:val="0006765F"/>
    <w:rsid w:val="00067FDC"/>
    <w:rsid w:val="00076B60"/>
    <w:rsid w:val="00087690"/>
    <w:rsid w:val="000E7066"/>
    <w:rsid w:val="00157A6F"/>
    <w:rsid w:val="0016049B"/>
    <w:rsid w:val="00164419"/>
    <w:rsid w:val="0018039E"/>
    <w:rsid w:val="0018632F"/>
    <w:rsid w:val="001B1770"/>
    <w:rsid w:val="001E17EA"/>
    <w:rsid w:val="001E32E7"/>
    <w:rsid w:val="001E399F"/>
    <w:rsid w:val="001F3BDD"/>
    <w:rsid w:val="001F4132"/>
    <w:rsid w:val="001F426F"/>
    <w:rsid w:val="001F4FBE"/>
    <w:rsid w:val="002414F2"/>
    <w:rsid w:val="00290976"/>
    <w:rsid w:val="002A4977"/>
    <w:rsid w:val="002B3E1F"/>
    <w:rsid w:val="002E0E8B"/>
    <w:rsid w:val="002F2762"/>
    <w:rsid w:val="00331DB2"/>
    <w:rsid w:val="00334A43"/>
    <w:rsid w:val="00346E50"/>
    <w:rsid w:val="003C7BEF"/>
    <w:rsid w:val="003D4331"/>
    <w:rsid w:val="003E07CD"/>
    <w:rsid w:val="003F1773"/>
    <w:rsid w:val="00425273"/>
    <w:rsid w:val="00440CB5"/>
    <w:rsid w:val="0045007E"/>
    <w:rsid w:val="00450779"/>
    <w:rsid w:val="0045092F"/>
    <w:rsid w:val="004B1587"/>
    <w:rsid w:val="004B50B2"/>
    <w:rsid w:val="004D34A4"/>
    <w:rsid w:val="004D6DD0"/>
    <w:rsid w:val="004E1841"/>
    <w:rsid w:val="00520612"/>
    <w:rsid w:val="00524224"/>
    <w:rsid w:val="005461BD"/>
    <w:rsid w:val="005709D9"/>
    <w:rsid w:val="005D124E"/>
    <w:rsid w:val="005D297E"/>
    <w:rsid w:val="00607E07"/>
    <w:rsid w:val="00612D12"/>
    <w:rsid w:val="00626967"/>
    <w:rsid w:val="00630BA3"/>
    <w:rsid w:val="006812CD"/>
    <w:rsid w:val="00691DAA"/>
    <w:rsid w:val="00692261"/>
    <w:rsid w:val="006A2FAB"/>
    <w:rsid w:val="006D360F"/>
    <w:rsid w:val="006D7724"/>
    <w:rsid w:val="006E5B4D"/>
    <w:rsid w:val="006E7431"/>
    <w:rsid w:val="0072062B"/>
    <w:rsid w:val="00720A5D"/>
    <w:rsid w:val="007311BA"/>
    <w:rsid w:val="00733B5C"/>
    <w:rsid w:val="00763B08"/>
    <w:rsid w:val="00765253"/>
    <w:rsid w:val="0076613C"/>
    <w:rsid w:val="00770EF1"/>
    <w:rsid w:val="00780D16"/>
    <w:rsid w:val="007A0105"/>
    <w:rsid w:val="007C7DA8"/>
    <w:rsid w:val="007F76BF"/>
    <w:rsid w:val="00805760"/>
    <w:rsid w:val="00831BAA"/>
    <w:rsid w:val="00850C20"/>
    <w:rsid w:val="00852B82"/>
    <w:rsid w:val="00860AE1"/>
    <w:rsid w:val="00886781"/>
    <w:rsid w:val="008A540B"/>
    <w:rsid w:val="008A779C"/>
    <w:rsid w:val="008E5C2F"/>
    <w:rsid w:val="008F14F3"/>
    <w:rsid w:val="00901734"/>
    <w:rsid w:val="00944A88"/>
    <w:rsid w:val="0094539E"/>
    <w:rsid w:val="00964A6B"/>
    <w:rsid w:val="00985B35"/>
    <w:rsid w:val="009A1A66"/>
    <w:rsid w:val="009B63C8"/>
    <w:rsid w:val="009B72DB"/>
    <w:rsid w:val="009F7B79"/>
    <w:rsid w:val="00A271AB"/>
    <w:rsid w:val="00A432F0"/>
    <w:rsid w:val="00A4376F"/>
    <w:rsid w:val="00A43CA0"/>
    <w:rsid w:val="00B33034"/>
    <w:rsid w:val="00B45C37"/>
    <w:rsid w:val="00B6629C"/>
    <w:rsid w:val="00B84AE5"/>
    <w:rsid w:val="00B86BF0"/>
    <w:rsid w:val="00B86D06"/>
    <w:rsid w:val="00B94A59"/>
    <w:rsid w:val="00BA28E3"/>
    <w:rsid w:val="00BC4AC3"/>
    <w:rsid w:val="00BE47ED"/>
    <w:rsid w:val="00C007D7"/>
    <w:rsid w:val="00C13D40"/>
    <w:rsid w:val="00C23D2B"/>
    <w:rsid w:val="00C50517"/>
    <w:rsid w:val="00C51F4B"/>
    <w:rsid w:val="00C56EC0"/>
    <w:rsid w:val="00C65B9E"/>
    <w:rsid w:val="00CF3418"/>
    <w:rsid w:val="00D02492"/>
    <w:rsid w:val="00D22D78"/>
    <w:rsid w:val="00D62CEF"/>
    <w:rsid w:val="00D7384A"/>
    <w:rsid w:val="00D92917"/>
    <w:rsid w:val="00DB770A"/>
    <w:rsid w:val="00DF1780"/>
    <w:rsid w:val="00DF664C"/>
    <w:rsid w:val="00E2662F"/>
    <w:rsid w:val="00E32F10"/>
    <w:rsid w:val="00E36B12"/>
    <w:rsid w:val="00E54801"/>
    <w:rsid w:val="00E55E1F"/>
    <w:rsid w:val="00E5707D"/>
    <w:rsid w:val="00E57D9A"/>
    <w:rsid w:val="00E72D24"/>
    <w:rsid w:val="00EA3D68"/>
    <w:rsid w:val="00ED76A0"/>
    <w:rsid w:val="00EE70FC"/>
    <w:rsid w:val="00F11BC5"/>
    <w:rsid w:val="00F21679"/>
    <w:rsid w:val="00F648F7"/>
    <w:rsid w:val="00F751B3"/>
    <w:rsid w:val="00F76161"/>
    <w:rsid w:val="00F763C8"/>
    <w:rsid w:val="00F96117"/>
    <w:rsid w:val="00FB2510"/>
    <w:rsid w:val="00FC56DF"/>
    <w:rsid w:val="00FE4386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DDFB2"/>
  <w15:docId w15:val="{F4C5D951-8AE5-4592-9B31-0716510E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C7DA8"/>
    <w:rPr>
      <w:b/>
      <w:bCs/>
    </w:rPr>
  </w:style>
  <w:style w:type="character" w:customStyle="1" w:styleId="CommentSubjectChar">
    <w:name w:val="Comment Subject Char"/>
    <w:link w:val="CommentSubject"/>
    <w:rsid w:val="007C7DA8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rsid w:val="009A1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rsid w:val="00692261"/>
    <w:rPr>
      <w:rFonts w:ascii="Calibri" w:hAnsi="Calibri"/>
      <w:sz w:val="24"/>
    </w:rPr>
  </w:style>
  <w:style w:type="character" w:styleId="PlaceholderText">
    <w:name w:val="Placeholder Text"/>
    <w:rsid w:val="000657AC"/>
    <w:rPr>
      <w:color w:val="666666"/>
    </w:rPr>
  </w:style>
  <w:style w:type="character" w:styleId="UnresolvedMention">
    <w:name w:val="Unresolved Mention"/>
    <w:rsid w:val="004D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7@itu.int" TargetMode="External"/><Relationship Id="rId13" Type="http://schemas.openxmlformats.org/officeDocument/2006/relationships/hyperlink" Target="http://www.itu.int/ITU-T/workprog/wp_item.aspx?isn=21716" TargetMode="External"/><Relationship Id="rId18" Type="http://schemas.openxmlformats.org/officeDocument/2006/relationships/hyperlink" Target="http://www.itu.int/ITU-T/workprog/wp_item.aspx?isn=2175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tu.int/itu-t/recommendation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tu.int/ITU-T/workprog/wp_item.aspx?isn=21715" TargetMode="External"/><Relationship Id="rId17" Type="http://schemas.openxmlformats.org/officeDocument/2006/relationships/hyperlink" Target="http://www.itu.int/ITU-T/workprog/wp_item.aspx?isn=2174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tu.int/ITU-T/workprog/wp_item.aspx?isn=21739" TargetMode="External"/><Relationship Id="rId20" Type="http://schemas.openxmlformats.org/officeDocument/2006/relationships/hyperlink" Target="http://www.itu.int/net4/ipr/search.aspx?sector=ITU&amp;class=P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workprog/wp_item.aspx?isn=2170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workprog/wp_item.aspx?isn=21736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itu.int/ITU-T/workprog/wp_item.aspx?isn=21702" TargetMode="External"/><Relationship Id="rId19" Type="http://schemas.openxmlformats.org/officeDocument/2006/relationships/hyperlink" Target="http://www.itu.int/ITU-T/workprog/wp_item.aspx?isn=217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T25-TSB-CIR-0050" TargetMode="External"/><Relationship Id="rId14" Type="http://schemas.openxmlformats.org/officeDocument/2006/relationships/hyperlink" Target="http://www.itu.int/ITU-T/workprog/wp_item.aspx?isn=21731" TargetMode="External"/><Relationship Id="rId22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tano\AppData\Roaming\Microsoft\Templates\ITU-T%20SG\TSB_Circular_TAP_MS_Consultation-E_v202203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TSB_Circular_TAP_MS_Consultation-E_v20220322.dotx</Template>
  <TotalTime>18</TotalTime>
  <Pages>2</Pages>
  <Words>531</Words>
  <Characters>3028</Characters>
  <Application>Microsoft Office Word</Application>
  <DocSecurity>0</DocSecurity>
  <Lines>25</Lines>
  <Paragraphs>7</Paragraphs>
  <ScaleCrop>false</ScaleCrop>
  <Company>ITU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/>
  <cp:lastModifiedBy>Braud, Olivia</cp:lastModifiedBy>
  <cp:revision>10</cp:revision>
  <cp:lastPrinted>2025-12-18T10:04:00Z</cp:lastPrinted>
  <dcterms:created xsi:type="dcterms:W3CDTF">2025-12-15T11:57:00Z</dcterms:created>
  <dcterms:modified xsi:type="dcterms:W3CDTF">2025-12-18T10:05:00Z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</Properties>
</file>