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260"/>
        <w:gridCol w:w="16"/>
        <w:gridCol w:w="3240"/>
        <w:gridCol w:w="3281"/>
        <w:gridCol w:w="1984"/>
      </w:tblGrid>
      <w:tr w:rsidR="00FA46A0" w:rsidRPr="00D33C15" w14:paraId="254945A5" w14:textId="77777777" w:rsidTr="3A29DA54">
        <w:trPr>
          <w:trHeight w:val="1282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29EA04C3" w14:textId="77777777" w:rsidR="00FA46A0" w:rsidRPr="00D33C15" w:rsidRDefault="009747C5">
            <w:pPr>
              <w:pStyle w:val="Tabletext"/>
              <w:jc w:val="center"/>
              <w:rPr>
                <w:noProof/>
              </w:rPr>
            </w:pPr>
            <w:r w:rsidRPr="00D33C15">
              <w:rPr>
                <w:noProof/>
                <w:lang w:eastAsia="zh-CN"/>
              </w:rPr>
              <w:drawing>
                <wp:inline distT="0" distB="0" distL="0" distR="0" wp14:anchorId="40073A62" wp14:editId="7057A122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11C5723A" w14:textId="77777777" w:rsidR="00FA46A0" w:rsidRPr="00D33C15" w:rsidRDefault="00B61012">
            <w:pPr>
              <w:spacing w:before="0"/>
              <w:rPr>
                <w:rFonts w:cs="Times New Roman Bold"/>
                <w:b/>
                <w:bCs/>
                <w:smallCaps/>
                <w:noProof/>
                <w:sz w:val="26"/>
                <w:szCs w:val="26"/>
              </w:rPr>
            </w:pPr>
            <w:r w:rsidRPr="00D33C15">
              <w:rPr>
                <w:rFonts w:cs="Times New Roman Bold"/>
                <w:b/>
                <w:bCs/>
                <w:smallCaps/>
                <w:noProof/>
                <w:sz w:val="36"/>
                <w:szCs w:val="36"/>
              </w:rPr>
              <w:t>International telecommunication union</w:t>
            </w:r>
          </w:p>
          <w:p w14:paraId="5EBBD630" w14:textId="77777777" w:rsidR="00FA46A0" w:rsidRPr="00D33C15" w:rsidRDefault="00B61012">
            <w:pPr>
              <w:spacing w:before="0"/>
              <w:rPr>
                <w:rFonts w:ascii="Verdana" w:hAnsi="Verdana"/>
                <w:noProof/>
                <w:color w:val="FFFFFF"/>
                <w:sz w:val="26"/>
                <w:szCs w:val="26"/>
              </w:rPr>
            </w:pPr>
            <w:r w:rsidRPr="00D33C15">
              <w:rPr>
                <w:rFonts w:cs="Times New Roman Bold"/>
                <w:b/>
                <w:bCs/>
                <w:iCs/>
                <w:smallCaps/>
                <w:noProof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6714D557" w14:textId="77777777" w:rsidR="00FA46A0" w:rsidRPr="00D33C15" w:rsidRDefault="00FA46A0">
            <w:pPr>
              <w:spacing w:before="0"/>
              <w:jc w:val="right"/>
              <w:rPr>
                <w:rFonts w:ascii="Verdana" w:hAnsi="Verdana"/>
                <w:noProof/>
                <w:color w:val="FFFFFF"/>
                <w:sz w:val="26"/>
                <w:szCs w:val="26"/>
              </w:rPr>
            </w:pPr>
          </w:p>
        </w:tc>
      </w:tr>
      <w:tr w:rsidR="00FA46A0" w:rsidRPr="00D33C15" w14:paraId="44CFA512" w14:textId="77777777" w:rsidTr="3A29DA54">
        <w:trPr>
          <w:cantSplit/>
          <w:trHeight w:val="80"/>
        </w:trPr>
        <w:tc>
          <w:tcPr>
            <w:tcW w:w="4516" w:type="dxa"/>
            <w:gridSpan w:val="3"/>
            <w:vAlign w:val="center"/>
          </w:tcPr>
          <w:p w14:paraId="07019905" w14:textId="77777777" w:rsidR="00FA46A0" w:rsidRPr="00D33C15" w:rsidRDefault="00FA46A0">
            <w:pPr>
              <w:pStyle w:val="Tabletext"/>
              <w:jc w:val="right"/>
              <w:rPr>
                <w:noProof/>
              </w:rPr>
            </w:pPr>
          </w:p>
        </w:tc>
        <w:tc>
          <w:tcPr>
            <w:tcW w:w="5265" w:type="dxa"/>
            <w:gridSpan w:val="2"/>
            <w:vAlign w:val="center"/>
          </w:tcPr>
          <w:p w14:paraId="635812A1" w14:textId="1509B2C6" w:rsidR="00FA46A0" w:rsidRPr="0063667E" w:rsidRDefault="5CC5C160" w:rsidP="3A29DA54">
            <w:pPr>
              <w:pStyle w:val="Tabletext"/>
              <w:spacing w:before="240" w:after="120"/>
              <w:ind w:left="-90" w:firstLine="90"/>
              <w:rPr>
                <w:noProof/>
                <w:sz w:val="22"/>
                <w:szCs w:val="22"/>
              </w:rPr>
            </w:pPr>
            <w:r w:rsidRPr="3A29DA54">
              <w:rPr>
                <w:noProof/>
                <w:sz w:val="22"/>
                <w:szCs w:val="22"/>
              </w:rPr>
              <w:t xml:space="preserve">Geneva, </w:t>
            </w:r>
            <w:r w:rsidR="00AF0243">
              <w:rPr>
                <w:noProof/>
                <w:sz w:val="22"/>
                <w:szCs w:val="22"/>
              </w:rPr>
              <w:t>3</w:t>
            </w:r>
            <w:r w:rsidR="00DC23FE">
              <w:rPr>
                <w:noProof/>
                <w:sz w:val="22"/>
                <w:szCs w:val="22"/>
              </w:rPr>
              <w:t xml:space="preserve"> December</w:t>
            </w:r>
            <w:r w:rsidR="398F78D5" w:rsidRPr="3A29DA54">
              <w:rPr>
                <w:noProof/>
                <w:sz w:val="22"/>
                <w:szCs w:val="22"/>
              </w:rPr>
              <w:t xml:space="preserve"> </w:t>
            </w:r>
            <w:r w:rsidR="048D82D9" w:rsidRPr="3A29DA54">
              <w:rPr>
                <w:noProof/>
                <w:sz w:val="22"/>
                <w:szCs w:val="22"/>
              </w:rPr>
              <w:t>20</w:t>
            </w:r>
            <w:r w:rsidR="3CEFBE5D" w:rsidRPr="3A29DA54">
              <w:rPr>
                <w:noProof/>
                <w:sz w:val="22"/>
                <w:szCs w:val="22"/>
              </w:rPr>
              <w:t>2</w:t>
            </w:r>
            <w:r w:rsidR="6D41F52B" w:rsidRPr="3A29DA54">
              <w:rPr>
                <w:noProof/>
                <w:sz w:val="22"/>
                <w:szCs w:val="22"/>
              </w:rPr>
              <w:t>5</w:t>
            </w:r>
          </w:p>
        </w:tc>
      </w:tr>
      <w:tr w:rsidR="005A2667" w:rsidRPr="00170A94" w14:paraId="078A4B0C" w14:textId="77777777" w:rsidTr="004F4F35">
        <w:trPr>
          <w:cantSplit/>
          <w:trHeight w:val="627"/>
        </w:trPr>
        <w:tc>
          <w:tcPr>
            <w:tcW w:w="1260" w:type="dxa"/>
          </w:tcPr>
          <w:p w14:paraId="701D59FF" w14:textId="23B7C3F9" w:rsidR="005A2667" w:rsidRPr="008431B9" w:rsidRDefault="005A2667" w:rsidP="00DC23FE">
            <w:pPr>
              <w:pStyle w:val="Tabletext"/>
              <w:ind w:left="-110"/>
              <w:rPr>
                <w:noProof/>
                <w:sz w:val="22"/>
                <w:szCs w:val="22"/>
              </w:rPr>
            </w:pPr>
            <w:r w:rsidRPr="005A2667">
              <w:rPr>
                <w:b/>
                <w:bCs/>
                <w:noProof/>
                <w:sz w:val="22"/>
                <w:szCs w:val="22"/>
              </w:rPr>
              <w:t>Ref</w:t>
            </w:r>
            <w:r w:rsidRPr="008431B9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3256" w:type="dxa"/>
            <w:gridSpan w:val="2"/>
          </w:tcPr>
          <w:p w14:paraId="2EDC30D1" w14:textId="1E2F5708" w:rsidR="005A2667" w:rsidRPr="008431B9" w:rsidRDefault="005A2667" w:rsidP="00DC23FE">
            <w:pPr>
              <w:pStyle w:val="Tabletext"/>
              <w:rPr>
                <w:bCs/>
                <w:noProof/>
                <w:sz w:val="22"/>
                <w:szCs w:val="22"/>
                <w:lang w:val="pt-BR"/>
              </w:rPr>
            </w:pPr>
            <w:r w:rsidRPr="328A441A">
              <w:rPr>
                <w:b/>
                <w:bCs/>
                <w:noProof/>
                <w:sz w:val="22"/>
                <w:szCs w:val="22"/>
                <w:lang w:val="pt-BR"/>
              </w:rPr>
              <w:t xml:space="preserve">TSB Circular </w:t>
            </w:r>
            <w:r w:rsidR="00DC23FE">
              <w:rPr>
                <w:b/>
                <w:bCs/>
                <w:noProof/>
                <w:sz w:val="22"/>
                <w:szCs w:val="22"/>
                <w:lang w:val="pt-BR"/>
              </w:rPr>
              <w:t>9</w:t>
            </w:r>
            <w:r>
              <w:rPr>
                <w:b/>
                <w:bCs/>
                <w:noProof/>
                <w:sz w:val="22"/>
                <w:szCs w:val="22"/>
                <w:lang w:val="pt-BR"/>
              </w:rPr>
              <w:t>6</w:t>
            </w:r>
            <w:r>
              <w:br/>
            </w:r>
            <w:r w:rsidR="00DC23FE">
              <w:rPr>
                <w:noProof/>
                <w:sz w:val="22"/>
                <w:szCs w:val="22"/>
                <w:lang w:val="pt-BR"/>
              </w:rPr>
              <w:t>SG11/DA</w:t>
            </w:r>
          </w:p>
        </w:tc>
        <w:tc>
          <w:tcPr>
            <w:tcW w:w="5265" w:type="dxa"/>
            <w:gridSpan w:val="2"/>
            <w:vMerge w:val="restart"/>
          </w:tcPr>
          <w:p w14:paraId="0271820F" w14:textId="2B892527" w:rsidR="005A2667" w:rsidRDefault="005A2667" w:rsidP="3A29DA54">
            <w:pPr>
              <w:spacing w:before="40" w:after="40"/>
              <w:ind w:left="283" w:hanging="283"/>
            </w:pPr>
            <w:r w:rsidRPr="3A29DA54">
              <w:rPr>
                <w:rFonts w:eastAsia="Calibri" w:cs="Calibri"/>
                <w:b/>
                <w:bCs/>
                <w:sz w:val="22"/>
                <w:szCs w:val="22"/>
              </w:rPr>
              <w:t>To:</w:t>
            </w:r>
          </w:p>
          <w:p w14:paraId="19437EA6" w14:textId="3CC8D69B" w:rsidR="005A2667" w:rsidRDefault="005A2667" w:rsidP="3A29DA54">
            <w:pPr>
              <w:spacing w:before="40" w:after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sz w:val="22"/>
                <w:szCs w:val="22"/>
              </w:rPr>
              <w:t>Administrations of Member States of the Union;</w:t>
            </w:r>
          </w:p>
          <w:p w14:paraId="73BDDC89" w14:textId="7FDDDD88" w:rsidR="005A2667" w:rsidRDefault="005A2667" w:rsidP="3A29DA54">
            <w:pPr>
              <w:spacing w:before="40" w:after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sz w:val="22"/>
                <w:szCs w:val="22"/>
              </w:rPr>
              <w:t>The State of Palestine (Res. 99 (Rev. Dubai, 2018));</w:t>
            </w:r>
          </w:p>
          <w:p w14:paraId="4C230838" w14:textId="7D88B9D1" w:rsidR="005A2667" w:rsidRPr="00D75E56" w:rsidRDefault="005A2667" w:rsidP="3A29DA54">
            <w:pPr>
              <w:spacing w:before="40" w:after="40"/>
              <w:ind w:left="283" w:hanging="283"/>
              <w:rPr>
                <w:lang w:val="fr-CH"/>
              </w:rPr>
            </w:pPr>
            <w:r w:rsidRPr="3A29DA54">
              <w:rPr>
                <w:rFonts w:eastAsia="Calibri" w:cs="Calibri"/>
                <w:sz w:val="22"/>
                <w:szCs w:val="22"/>
                <w:lang w:val="fr-CH"/>
              </w:rPr>
              <w:t>-</w:t>
            </w:r>
            <w:r w:rsidRPr="00D75E56">
              <w:rPr>
                <w:lang w:val="fr-CH"/>
              </w:rPr>
              <w:tab/>
            </w:r>
            <w:r w:rsidRPr="3A29DA54">
              <w:rPr>
                <w:rFonts w:eastAsia="Calibri" w:cs="Calibri"/>
                <w:color w:val="000000" w:themeColor="text1"/>
                <w:sz w:val="22"/>
                <w:szCs w:val="22"/>
                <w:lang w:val="fr-CH"/>
              </w:rPr>
              <w:t>ITU-T Sector Members;</w:t>
            </w:r>
          </w:p>
          <w:p w14:paraId="58FDF540" w14:textId="014D7A3F" w:rsidR="005A2667" w:rsidRDefault="005A2667" w:rsidP="3A29DA54">
            <w:pPr>
              <w:spacing w:before="40" w:after="40"/>
              <w:ind w:left="283" w:hanging="283"/>
              <w:rPr>
                <w:rFonts w:eastAsia="Calibri" w:cs="Calibri"/>
                <w:color w:val="000000" w:themeColor="text1"/>
                <w:sz w:val="22"/>
                <w:szCs w:val="22"/>
                <w:lang w:val="fr-CH"/>
              </w:rPr>
            </w:pPr>
            <w:r w:rsidRPr="3A29DA54">
              <w:rPr>
                <w:rFonts w:eastAsia="Calibri" w:cs="Calibri"/>
                <w:sz w:val="22"/>
                <w:szCs w:val="22"/>
                <w:lang w:val="fr-CH"/>
              </w:rPr>
              <w:t>-</w:t>
            </w:r>
            <w:r w:rsidRPr="00D75E56">
              <w:rPr>
                <w:lang w:val="fr-CH"/>
              </w:rPr>
              <w:tab/>
            </w:r>
            <w:r w:rsidRPr="3A29DA54">
              <w:rPr>
                <w:rFonts w:eastAsia="Calibri" w:cs="Calibri"/>
                <w:color w:val="000000" w:themeColor="text1"/>
                <w:sz w:val="22"/>
                <w:szCs w:val="22"/>
                <w:lang w:val="fr-CH"/>
              </w:rPr>
              <w:t>ITU-T Associates;</w:t>
            </w:r>
          </w:p>
          <w:p w14:paraId="7235955E" w14:textId="145764FB" w:rsidR="005A2667" w:rsidRDefault="005A2667" w:rsidP="3A29DA54">
            <w:pPr>
              <w:spacing w:before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color w:val="000000" w:themeColor="text1"/>
                <w:sz w:val="22"/>
                <w:szCs w:val="22"/>
              </w:rPr>
              <w:t>ITU Academia</w:t>
            </w:r>
          </w:p>
          <w:p w14:paraId="0CB01975" w14:textId="77777777" w:rsidR="005A2667" w:rsidRDefault="005A2667" w:rsidP="3A29DA54">
            <w:pPr>
              <w:spacing w:before="0" w:after="40"/>
            </w:pPr>
            <w:r w:rsidRPr="3A29DA54">
              <w:rPr>
                <w:rFonts w:eastAsia="Calibri" w:cs="Calibri"/>
                <w:b/>
                <w:bCs/>
                <w:sz w:val="22"/>
                <w:szCs w:val="22"/>
              </w:rPr>
              <w:t>Copy to:</w:t>
            </w:r>
          </w:p>
          <w:p w14:paraId="5ACD5CF8" w14:textId="611357A5" w:rsidR="005A2667" w:rsidRDefault="005A2667" w:rsidP="3A29DA54">
            <w:pPr>
              <w:tabs>
                <w:tab w:val="left" w:pos="720"/>
              </w:tabs>
              <w:spacing w:before="40" w:after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sz w:val="22"/>
                <w:szCs w:val="22"/>
              </w:rPr>
              <w:t>The Chairs and Vice-Chairs of ITU-T Study Groups;</w:t>
            </w:r>
          </w:p>
          <w:p w14:paraId="13746A2B" w14:textId="615DEB48" w:rsidR="005A2667" w:rsidRDefault="005A2667" w:rsidP="3A29DA54">
            <w:pPr>
              <w:tabs>
                <w:tab w:val="left" w:pos="720"/>
              </w:tabs>
              <w:spacing w:before="40" w:after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sz w:val="22"/>
                <w:szCs w:val="22"/>
              </w:rPr>
              <w:t>The Director of the Telecommunication Development Bureau;</w:t>
            </w:r>
          </w:p>
          <w:p w14:paraId="5B084B79" w14:textId="7F92C0A2" w:rsidR="005A2667" w:rsidRDefault="005A2667" w:rsidP="005A2667">
            <w:pPr>
              <w:tabs>
                <w:tab w:val="left" w:pos="720"/>
              </w:tabs>
              <w:spacing w:before="40" w:after="40"/>
              <w:ind w:left="283" w:hanging="283"/>
            </w:pPr>
            <w:r w:rsidRPr="3A29DA54">
              <w:rPr>
                <w:rFonts w:eastAsia="Calibri" w:cs="Calibri"/>
                <w:sz w:val="22"/>
                <w:szCs w:val="22"/>
              </w:rPr>
              <w:t>-</w:t>
            </w:r>
            <w:r>
              <w:tab/>
            </w:r>
            <w:r w:rsidRPr="3A29DA54">
              <w:rPr>
                <w:rFonts w:eastAsia="Calibri" w:cs="Calibri"/>
                <w:sz w:val="22"/>
                <w:szCs w:val="22"/>
              </w:rPr>
              <w:t>The Director of the Radiocommunication Bureau</w:t>
            </w:r>
          </w:p>
        </w:tc>
      </w:tr>
      <w:tr w:rsidR="005A2667" w:rsidRPr="00170A94" w14:paraId="61E5A015" w14:textId="77777777" w:rsidTr="005A2667">
        <w:trPr>
          <w:cantSplit/>
          <w:trHeight w:val="221"/>
        </w:trPr>
        <w:tc>
          <w:tcPr>
            <w:tcW w:w="1260" w:type="dxa"/>
          </w:tcPr>
          <w:p w14:paraId="5F6DB6D1" w14:textId="77777777" w:rsidR="005A2667" w:rsidRPr="008C5291" w:rsidRDefault="005A2667" w:rsidP="005A2667">
            <w:pPr>
              <w:pStyle w:val="Tabletext"/>
              <w:ind w:left="-110"/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Tel:</w:t>
            </w:r>
          </w:p>
        </w:tc>
        <w:tc>
          <w:tcPr>
            <w:tcW w:w="3256" w:type="dxa"/>
            <w:gridSpan w:val="2"/>
          </w:tcPr>
          <w:p w14:paraId="0F0B5741" w14:textId="61EE0F66" w:rsidR="005A2667" w:rsidRPr="008C5291" w:rsidRDefault="005A2667" w:rsidP="00C95BF6">
            <w:pPr>
              <w:pStyle w:val="Tabletext"/>
              <w:rPr>
                <w:b/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+41 22 730 5</w:t>
            </w:r>
            <w:r w:rsidR="00167FDE" w:rsidRPr="008C5291">
              <w:rPr>
                <w:noProof/>
                <w:sz w:val="22"/>
                <w:szCs w:val="22"/>
              </w:rPr>
              <w:t>780</w:t>
            </w:r>
          </w:p>
        </w:tc>
        <w:tc>
          <w:tcPr>
            <w:tcW w:w="5265" w:type="dxa"/>
            <w:gridSpan w:val="2"/>
            <w:vMerge/>
          </w:tcPr>
          <w:p w14:paraId="411F1E99" w14:textId="77777777" w:rsidR="005A2667" w:rsidRPr="008431B9" w:rsidRDefault="005A2667" w:rsidP="002B265B">
            <w:pPr>
              <w:tabs>
                <w:tab w:val="left" w:pos="720"/>
              </w:tabs>
              <w:spacing w:before="40" w:after="40"/>
              <w:rPr>
                <w:noProof/>
                <w:sz w:val="22"/>
                <w:szCs w:val="22"/>
              </w:rPr>
            </w:pPr>
          </w:p>
        </w:tc>
      </w:tr>
      <w:tr w:rsidR="005A2667" w:rsidRPr="00170A94" w14:paraId="5D479830" w14:textId="77777777" w:rsidTr="005A2667">
        <w:trPr>
          <w:cantSplit/>
          <w:trHeight w:val="282"/>
        </w:trPr>
        <w:tc>
          <w:tcPr>
            <w:tcW w:w="1260" w:type="dxa"/>
          </w:tcPr>
          <w:p w14:paraId="413B30ED" w14:textId="77777777" w:rsidR="005A2667" w:rsidRPr="008C5291" w:rsidRDefault="005A2667" w:rsidP="005A2667">
            <w:pPr>
              <w:pStyle w:val="Tabletext"/>
              <w:ind w:left="-110"/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Fax:</w:t>
            </w:r>
          </w:p>
        </w:tc>
        <w:tc>
          <w:tcPr>
            <w:tcW w:w="3256" w:type="dxa"/>
            <w:gridSpan w:val="2"/>
          </w:tcPr>
          <w:p w14:paraId="16D0D223" w14:textId="058C42F5" w:rsidR="005A2667" w:rsidRPr="008C5291" w:rsidRDefault="005A2667">
            <w:pPr>
              <w:pStyle w:val="Tabletext"/>
              <w:rPr>
                <w:b/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+41 22 730 5853</w:t>
            </w:r>
          </w:p>
        </w:tc>
        <w:tc>
          <w:tcPr>
            <w:tcW w:w="5265" w:type="dxa"/>
            <w:gridSpan w:val="2"/>
            <w:vMerge/>
          </w:tcPr>
          <w:p w14:paraId="641A3A9D" w14:textId="77777777" w:rsidR="005A2667" w:rsidRPr="008431B9" w:rsidRDefault="005A2667" w:rsidP="002B265B">
            <w:pPr>
              <w:tabs>
                <w:tab w:val="left" w:pos="720"/>
              </w:tabs>
              <w:spacing w:before="40" w:after="40"/>
              <w:rPr>
                <w:noProof/>
                <w:sz w:val="22"/>
                <w:szCs w:val="22"/>
              </w:rPr>
            </w:pPr>
          </w:p>
        </w:tc>
      </w:tr>
      <w:tr w:rsidR="005A2667" w:rsidRPr="00F42CB1" w14:paraId="6856BDF7" w14:textId="77777777" w:rsidTr="004F4F35">
        <w:trPr>
          <w:cantSplit/>
          <w:trHeight w:val="2184"/>
        </w:trPr>
        <w:tc>
          <w:tcPr>
            <w:tcW w:w="1260" w:type="dxa"/>
          </w:tcPr>
          <w:p w14:paraId="1EA64CA5" w14:textId="77777777" w:rsidR="005A2667" w:rsidRPr="008C5291" w:rsidRDefault="005A2667" w:rsidP="005A2667">
            <w:pPr>
              <w:pStyle w:val="Tabletext"/>
              <w:ind w:left="-110"/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E-mail:</w:t>
            </w:r>
          </w:p>
        </w:tc>
        <w:tc>
          <w:tcPr>
            <w:tcW w:w="3256" w:type="dxa"/>
            <w:gridSpan w:val="2"/>
          </w:tcPr>
          <w:p w14:paraId="6CD71C4C" w14:textId="6560E09B" w:rsidR="005A2667" w:rsidRPr="008C5291" w:rsidRDefault="00E64715" w:rsidP="00FC1C19">
            <w:pPr>
              <w:pStyle w:val="Tabletext"/>
              <w:rPr>
                <w:noProof/>
                <w:sz w:val="22"/>
                <w:szCs w:val="22"/>
              </w:rPr>
            </w:pPr>
            <w:hyperlink r:id="rId11" w:history="1">
              <w:r w:rsidRPr="008C5291">
                <w:rPr>
                  <w:rStyle w:val="Hyperlink"/>
                  <w:sz w:val="22"/>
                  <w:szCs w:val="22"/>
                  <w:lang w:val="en-US"/>
                </w:rPr>
                <w:t>tsbsg11@itu.int</w:t>
              </w:r>
            </w:hyperlink>
          </w:p>
        </w:tc>
        <w:tc>
          <w:tcPr>
            <w:tcW w:w="5265" w:type="dxa"/>
            <w:gridSpan w:val="2"/>
            <w:vMerge/>
          </w:tcPr>
          <w:p w14:paraId="378700EC" w14:textId="4B4A595C" w:rsidR="005A2667" w:rsidRDefault="005A2667" w:rsidP="005A2667">
            <w:pPr>
              <w:tabs>
                <w:tab w:val="left" w:pos="720"/>
              </w:tabs>
              <w:spacing w:before="40" w:after="40"/>
              <w:rPr>
                <w:rFonts w:eastAsia="Calibri" w:cs="Calibri"/>
                <w:sz w:val="22"/>
                <w:szCs w:val="22"/>
              </w:rPr>
            </w:pPr>
          </w:p>
        </w:tc>
      </w:tr>
      <w:tr w:rsidR="00FA46A0" w:rsidRPr="00F42CB1" w14:paraId="0154FE49" w14:textId="77777777" w:rsidTr="004F4F35">
        <w:trPr>
          <w:cantSplit/>
          <w:trHeight w:val="690"/>
        </w:trPr>
        <w:tc>
          <w:tcPr>
            <w:tcW w:w="1260" w:type="dxa"/>
          </w:tcPr>
          <w:p w14:paraId="62C2993A" w14:textId="2D0A25D7" w:rsidR="00FA46A0" w:rsidRPr="00F42CB1" w:rsidRDefault="00A71DAE" w:rsidP="005A2667">
            <w:pPr>
              <w:pStyle w:val="Tabletext"/>
              <w:spacing w:after="0"/>
              <w:ind w:left="-110"/>
              <w:rPr>
                <w:noProof/>
                <w:sz w:val="22"/>
                <w:szCs w:val="22"/>
              </w:rPr>
            </w:pPr>
            <w:r w:rsidRPr="00F42CB1">
              <w:rPr>
                <w:b/>
                <w:noProof/>
                <w:sz w:val="22"/>
                <w:szCs w:val="22"/>
              </w:rPr>
              <w:t>Subject:</w:t>
            </w:r>
          </w:p>
        </w:tc>
        <w:tc>
          <w:tcPr>
            <w:tcW w:w="8521" w:type="dxa"/>
            <w:gridSpan w:val="4"/>
          </w:tcPr>
          <w:p w14:paraId="5E7D2082" w14:textId="5A2BBF17" w:rsidR="00D05C75" w:rsidRPr="00F42CB1" w:rsidRDefault="00167FDE" w:rsidP="328A441A">
            <w:pPr>
              <w:pStyle w:val="Tabletext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ITU survey</w:t>
            </w:r>
            <w:r w:rsidR="00CE087B">
              <w:rPr>
                <w:b/>
                <w:bCs/>
                <w:noProof/>
                <w:sz w:val="22"/>
                <w:szCs w:val="22"/>
              </w:rPr>
              <w:t xml:space="preserve"> on </w:t>
            </w:r>
            <w:r w:rsidR="000A1772" w:rsidRPr="000A1772">
              <w:rPr>
                <w:b/>
                <w:bCs/>
                <w:noProof/>
                <w:sz w:val="22"/>
                <w:szCs w:val="22"/>
              </w:rPr>
              <w:t>the use of ITU-T Recommendations in national conformity assessment framework</w:t>
            </w:r>
            <w:r w:rsidR="00BD2CC8">
              <w:rPr>
                <w:b/>
                <w:bCs/>
                <w:noProof/>
                <w:sz w:val="22"/>
                <w:szCs w:val="22"/>
              </w:rPr>
              <w:t>s</w:t>
            </w:r>
            <w:r w:rsidR="000A1772" w:rsidRPr="000A1772">
              <w:rPr>
                <w:b/>
                <w:bCs/>
                <w:noProof/>
                <w:sz w:val="22"/>
                <w:szCs w:val="22"/>
              </w:rPr>
              <w:t>, including type approval</w:t>
            </w:r>
          </w:p>
        </w:tc>
      </w:tr>
      <w:tr w:rsidR="00D42B15" w:rsidRPr="00F42CB1" w14:paraId="5D74EA16" w14:textId="77777777" w:rsidTr="004F4F35">
        <w:trPr>
          <w:cantSplit/>
          <w:trHeight w:val="753"/>
        </w:trPr>
        <w:tc>
          <w:tcPr>
            <w:tcW w:w="1260" w:type="dxa"/>
          </w:tcPr>
          <w:p w14:paraId="5D7C6F6C" w14:textId="5A0601F2" w:rsidR="00D42B15" w:rsidRPr="00F42CB1" w:rsidRDefault="00D42B15" w:rsidP="005A2667">
            <w:pPr>
              <w:pStyle w:val="Tabletext"/>
              <w:spacing w:after="0"/>
              <w:ind w:left="-11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Action:</w:t>
            </w:r>
          </w:p>
        </w:tc>
        <w:tc>
          <w:tcPr>
            <w:tcW w:w="8521" w:type="dxa"/>
            <w:gridSpan w:val="4"/>
          </w:tcPr>
          <w:p w14:paraId="09CB75DA" w14:textId="55155407" w:rsidR="00D42B15" w:rsidRPr="00DC17DD" w:rsidRDefault="00D42B15" w:rsidP="328A441A">
            <w:pPr>
              <w:pStyle w:val="Tabletext"/>
              <w:rPr>
                <w:b/>
                <w:bCs/>
                <w:noProof/>
                <w:sz w:val="22"/>
                <w:szCs w:val="22"/>
              </w:rPr>
            </w:pPr>
            <w:r w:rsidRPr="00DC17DD">
              <w:rPr>
                <w:b/>
                <w:bCs/>
                <w:noProof/>
                <w:sz w:val="22"/>
                <w:szCs w:val="22"/>
              </w:rPr>
              <w:t xml:space="preserve">ITU-T Members </w:t>
            </w:r>
            <w:r w:rsidR="00C03902" w:rsidRPr="00DC17DD">
              <w:rPr>
                <w:b/>
                <w:bCs/>
                <w:noProof/>
                <w:sz w:val="22"/>
                <w:szCs w:val="22"/>
              </w:rPr>
              <w:t xml:space="preserve">are invited to complete </w:t>
            </w:r>
            <w:r w:rsidR="006637BB" w:rsidRPr="00DC17DD">
              <w:rPr>
                <w:b/>
                <w:bCs/>
                <w:noProof/>
                <w:sz w:val="22"/>
                <w:szCs w:val="22"/>
              </w:rPr>
              <w:t>the online questionnaire by 23 February 2026 at the latest</w:t>
            </w:r>
          </w:p>
        </w:tc>
      </w:tr>
      <w:tr w:rsidR="005C5857" w:rsidRPr="00F42CB1" w14:paraId="58CA45FF" w14:textId="77777777" w:rsidTr="0030347E">
        <w:trPr>
          <w:cantSplit/>
          <w:trHeight w:val="753"/>
        </w:trPr>
        <w:tc>
          <w:tcPr>
            <w:tcW w:w="9781" w:type="dxa"/>
            <w:gridSpan w:val="5"/>
          </w:tcPr>
          <w:p w14:paraId="548DB1D2" w14:textId="77777777" w:rsidR="005C5857" w:rsidRDefault="005C5857" w:rsidP="005C5857">
            <w:pPr>
              <w:rPr>
                <w:noProof/>
                <w:sz w:val="22"/>
                <w:szCs w:val="22"/>
              </w:rPr>
            </w:pPr>
            <w:r w:rsidRPr="00F915F1">
              <w:rPr>
                <w:noProof/>
                <w:sz w:val="22"/>
                <w:szCs w:val="22"/>
              </w:rPr>
              <w:t>Dear Sir/Madam,</w:t>
            </w:r>
          </w:p>
          <w:p w14:paraId="123AC6DD" w14:textId="76E540F1" w:rsidR="006F2E36" w:rsidRPr="008C5291" w:rsidRDefault="005C5857" w:rsidP="005C5857">
            <w:pPr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ITU-T Study Group 11 at its last meeting (17-26 November 202</w:t>
            </w:r>
            <w:r w:rsidR="00E22E1F">
              <w:rPr>
                <w:noProof/>
                <w:sz w:val="22"/>
                <w:szCs w:val="22"/>
              </w:rPr>
              <w:t>5</w:t>
            </w:r>
            <w:r w:rsidRPr="008C5291">
              <w:rPr>
                <w:noProof/>
                <w:sz w:val="22"/>
                <w:szCs w:val="22"/>
              </w:rPr>
              <w:t>, Geneva) agreed to conduct a survey on the use of ITU-T Recommendations in national conformity assessment framework</w:t>
            </w:r>
            <w:r>
              <w:rPr>
                <w:noProof/>
                <w:sz w:val="22"/>
                <w:szCs w:val="22"/>
              </w:rPr>
              <w:t>s</w:t>
            </w:r>
            <w:r w:rsidRPr="008C5291">
              <w:rPr>
                <w:noProof/>
                <w:sz w:val="22"/>
                <w:szCs w:val="22"/>
              </w:rPr>
              <w:t>, including type approval.</w:t>
            </w:r>
          </w:p>
          <w:p w14:paraId="1F27456D" w14:textId="757E5901" w:rsidR="005C5857" w:rsidRPr="008C5291" w:rsidRDefault="005C5857" w:rsidP="005C5857">
            <w:pPr>
              <w:rPr>
                <w:rFonts w:cs="Calibri"/>
                <w:color w:val="000000"/>
                <w:sz w:val="22"/>
                <w:szCs w:val="22"/>
              </w:rPr>
            </w:pPr>
            <w:r w:rsidRPr="008C5291">
              <w:rPr>
                <w:rFonts w:cs="Calibri"/>
                <w:color w:val="000000"/>
                <w:sz w:val="22"/>
                <w:szCs w:val="22"/>
              </w:rPr>
              <w:t>The objective is to identify existing practices and adoption of the ITU-T Recommendations</w:t>
            </w:r>
            <w:r w:rsidR="00BD2CC8">
              <w:rPr>
                <w:rFonts w:cs="Calibri"/>
                <w:color w:val="000000"/>
                <w:sz w:val="22"/>
                <w:szCs w:val="22"/>
              </w:rPr>
              <w:t>,</w:t>
            </w:r>
            <w:r w:rsidRPr="008C5291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F94981">
              <w:rPr>
                <w:rFonts w:cs="Calibri"/>
                <w:color w:val="000000"/>
                <w:sz w:val="22"/>
                <w:szCs w:val="22"/>
              </w:rPr>
              <w:t xml:space="preserve">including levels of awareness about </w:t>
            </w:r>
            <w:r w:rsidRPr="008C5291">
              <w:rPr>
                <w:rFonts w:cs="Calibri"/>
                <w:color w:val="000000"/>
                <w:sz w:val="22"/>
                <w:szCs w:val="22"/>
              </w:rPr>
              <w:t>specific ISO/IEC standards within testing, certification, and accreditation systems. The collected data will assist the Conformity Assessment Steering Committee (CASC)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of the International Telecommunication Union (ITU)</w:t>
            </w:r>
            <w:r w:rsidRPr="008C5291">
              <w:rPr>
                <w:rFonts w:cs="Calibri"/>
                <w:color w:val="000000"/>
                <w:sz w:val="22"/>
                <w:szCs w:val="22"/>
              </w:rPr>
              <w:t xml:space="preserve"> in evaluating </w:t>
            </w:r>
            <w:r w:rsidR="000E5384" w:rsidRPr="006238DE">
              <w:rPr>
                <w:rFonts w:cs="Calibri"/>
                <w:color w:val="000000"/>
                <w:sz w:val="22"/>
                <w:szCs w:val="22"/>
              </w:rPr>
              <w:t xml:space="preserve">the adoption of international conformity assessment standards and understanding national </w:t>
            </w:r>
            <w:r w:rsidR="00E01F86">
              <w:rPr>
                <w:rFonts w:cs="Calibri"/>
                <w:color w:val="000000"/>
                <w:sz w:val="22"/>
                <w:szCs w:val="22"/>
              </w:rPr>
              <w:t>needs</w:t>
            </w:r>
            <w:r w:rsidR="000E5384" w:rsidRPr="006238D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A22B35">
              <w:rPr>
                <w:rFonts w:cs="Calibri"/>
                <w:color w:val="000000"/>
                <w:sz w:val="22"/>
                <w:szCs w:val="22"/>
              </w:rPr>
              <w:t>regarding</w:t>
            </w:r>
            <w:r w:rsidR="000E5384" w:rsidRPr="006238DE">
              <w:rPr>
                <w:rFonts w:cs="Calibri"/>
                <w:color w:val="000000"/>
                <w:sz w:val="22"/>
                <w:szCs w:val="22"/>
              </w:rPr>
              <w:t xml:space="preserve"> testing laboratories and certification practices in relation to ITU-T Recommendations.</w:t>
            </w:r>
          </w:p>
          <w:p w14:paraId="409F28AF" w14:textId="2DE84DA1" w:rsidR="005C5857" w:rsidRPr="008C5291" w:rsidRDefault="005C5857" w:rsidP="005C5857">
            <w:pPr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 xml:space="preserve">In this regard, I encourage you to participate in this survey (ITU account with TIES service is required) and would appreciate if you would complete the questionnaire no later than </w:t>
            </w:r>
            <w:r w:rsidRPr="008C5291">
              <w:rPr>
                <w:b/>
                <w:bCs/>
                <w:noProof/>
                <w:sz w:val="22"/>
                <w:szCs w:val="22"/>
              </w:rPr>
              <w:t>23 February 2026</w:t>
            </w:r>
            <w:r w:rsidRPr="008C5291">
              <w:rPr>
                <w:noProof/>
                <w:sz w:val="22"/>
                <w:szCs w:val="22"/>
              </w:rPr>
              <w:t xml:space="preserve">: </w:t>
            </w:r>
            <w:hyperlink r:id="rId12" w:history="1">
              <w:r w:rsidRPr="008C5291">
                <w:rPr>
                  <w:rStyle w:val="Hyperlink"/>
                  <w:sz w:val="22"/>
                  <w:szCs w:val="22"/>
                </w:rPr>
                <w:t>https://itu.int/go/CASC-QS-2025</w:t>
              </w:r>
            </w:hyperlink>
            <w:r w:rsidRPr="008C5291">
              <w:rPr>
                <w:noProof/>
                <w:sz w:val="22"/>
                <w:szCs w:val="22"/>
              </w:rPr>
              <w:t>.</w:t>
            </w:r>
          </w:p>
          <w:p w14:paraId="34E8A35B" w14:textId="19E90CE9" w:rsidR="005C5857" w:rsidRPr="008C5291" w:rsidRDefault="005C5857" w:rsidP="005C5857">
            <w:pPr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 xml:space="preserve">The outcomes will be considered at the next SG11 meeting planned to be held in Geneva from 3 to 11 March 2026. More details about the upcoming SG11 meeting will be made available on its webpage at: </w:t>
            </w:r>
            <w:hyperlink r:id="rId13" w:history="1">
              <w:r w:rsidRPr="008C5291">
                <w:rPr>
                  <w:rStyle w:val="Hyperlink"/>
                  <w:noProof/>
                  <w:sz w:val="22"/>
                  <w:szCs w:val="22"/>
                </w:rPr>
                <w:t>https://itu.int/go/tsg11</w:t>
              </w:r>
            </w:hyperlink>
            <w:r w:rsidRPr="008C5291">
              <w:rPr>
                <w:noProof/>
                <w:sz w:val="22"/>
                <w:szCs w:val="22"/>
              </w:rPr>
              <w:t>.</w:t>
            </w:r>
          </w:p>
          <w:p w14:paraId="5BCFB578" w14:textId="12CDD662" w:rsidR="005C5857" w:rsidRPr="008C5291" w:rsidRDefault="005C5857" w:rsidP="005C5857">
            <w:pPr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>I wish to thank you in advance for your valuable feedback.</w:t>
            </w:r>
          </w:p>
          <w:p w14:paraId="4A71AD83" w14:textId="5CBB2B01" w:rsidR="005C5857" w:rsidRDefault="005C5857" w:rsidP="005C5857">
            <w:pPr>
              <w:rPr>
                <w:noProof/>
                <w:sz w:val="22"/>
                <w:szCs w:val="22"/>
              </w:rPr>
            </w:pPr>
            <w:r w:rsidRPr="008C5291">
              <w:rPr>
                <w:noProof/>
                <w:sz w:val="22"/>
                <w:szCs w:val="22"/>
              </w:rPr>
              <w:t xml:space="preserve">Yours faithfully, </w:t>
            </w:r>
          </w:p>
          <w:p w14:paraId="5ED78A0C" w14:textId="5ACDAEAC" w:rsidR="00BD2CC8" w:rsidRDefault="004E08A5" w:rsidP="005C585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890F7AE" wp14:editId="1FB2D880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254635</wp:posOffset>
                  </wp:positionV>
                  <wp:extent cx="732155" cy="309272"/>
                  <wp:effectExtent l="0" t="0" r="0" b="0"/>
                  <wp:wrapNone/>
                  <wp:docPr id="643802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02113" name="Picture 64380211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30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3CB83E" w14:textId="30C1FD4D" w:rsidR="00BD2CC8" w:rsidRDefault="00BD2CC8" w:rsidP="005C5857">
            <w:pPr>
              <w:rPr>
                <w:noProof/>
                <w:sz w:val="22"/>
                <w:szCs w:val="22"/>
              </w:rPr>
            </w:pPr>
          </w:p>
          <w:p w14:paraId="2D611916" w14:textId="77777777" w:rsidR="00BD2CC8" w:rsidRPr="008C5291" w:rsidRDefault="00BD2CC8" w:rsidP="005C5857">
            <w:pPr>
              <w:rPr>
                <w:noProof/>
                <w:sz w:val="22"/>
                <w:szCs w:val="22"/>
              </w:rPr>
            </w:pPr>
          </w:p>
          <w:p w14:paraId="061A4A2B" w14:textId="77777777" w:rsidR="005C5857" w:rsidRDefault="005C5857" w:rsidP="00BD2CC8">
            <w:pPr>
              <w:spacing w:before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Seizo Onoe</w:t>
            </w:r>
          </w:p>
          <w:p w14:paraId="6C92DA36" w14:textId="010C1A8B" w:rsidR="005C5857" w:rsidRPr="00DC17DD" w:rsidRDefault="005C5857" w:rsidP="00BD2CC8">
            <w:pPr>
              <w:spacing w:before="0"/>
              <w:rPr>
                <w:b/>
                <w:bCs/>
                <w:noProof/>
                <w:sz w:val="22"/>
                <w:szCs w:val="22"/>
              </w:rPr>
            </w:pPr>
            <w:r w:rsidRPr="00170A94">
              <w:rPr>
                <w:noProof/>
                <w:sz w:val="22"/>
                <w:szCs w:val="22"/>
              </w:rPr>
              <w:t>Director of the Telecommunicatio</w:t>
            </w:r>
            <w:r w:rsidRPr="00170A94">
              <w:rPr>
                <w:noProof/>
                <w:sz w:val="22"/>
                <w:szCs w:val="22"/>
              </w:rPr>
              <w:br/>
              <w:t>Standardization Bureau</w:t>
            </w:r>
          </w:p>
        </w:tc>
      </w:tr>
    </w:tbl>
    <w:p w14:paraId="5D7080BA" w14:textId="3D53D7E1" w:rsidR="00063830" w:rsidRPr="003D27F9" w:rsidRDefault="00063830" w:rsidP="005C5857">
      <w:pPr>
        <w:rPr>
          <w:noProof/>
          <w:sz w:val="22"/>
          <w:szCs w:val="22"/>
        </w:rPr>
      </w:pPr>
    </w:p>
    <w:sectPr w:rsidR="00063830" w:rsidRPr="003D27F9" w:rsidSect="00DA1F03">
      <w:headerReference w:type="default" r:id="rId15"/>
      <w:footerReference w:type="first" r:id="rId16"/>
      <w:type w:val="oddPage"/>
      <w:pgSz w:w="11907" w:h="16834" w:code="9"/>
      <w:pgMar w:top="567" w:right="1089" w:bottom="567" w:left="1089" w:header="567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5AD9" w14:textId="77777777" w:rsidR="00B60B64" w:rsidRDefault="00B60B64">
      <w:r>
        <w:separator/>
      </w:r>
    </w:p>
    <w:p w14:paraId="15CCECC9" w14:textId="77777777" w:rsidR="00B60B64" w:rsidRDefault="00B60B64"/>
  </w:endnote>
  <w:endnote w:type="continuationSeparator" w:id="0">
    <w:p w14:paraId="4FB97E4B" w14:textId="77777777" w:rsidR="00B60B64" w:rsidRDefault="00B60B64">
      <w:r>
        <w:continuationSeparator/>
      </w:r>
    </w:p>
    <w:p w14:paraId="1A2EDDFD" w14:textId="77777777" w:rsidR="00B60B64" w:rsidRDefault="00B60B64"/>
  </w:endnote>
  <w:endnote w:type="continuationNotice" w:id="1">
    <w:p w14:paraId="0A9057D7" w14:textId="77777777" w:rsidR="00B60B64" w:rsidRDefault="00B60B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23EB" w14:textId="2A213E1B" w:rsidR="00FA46A0" w:rsidRPr="00333A08" w:rsidRDefault="00170A94" w:rsidP="00170A94">
    <w:pPr>
      <w:pStyle w:val="FirstFooter"/>
      <w:ind w:left="-397" w:right="-397"/>
      <w:jc w:val="center"/>
      <w:rPr>
        <w:color w:val="3E8EDE"/>
        <w:sz w:val="18"/>
        <w:szCs w:val="18"/>
      </w:rPr>
    </w:pPr>
    <w:r w:rsidRPr="00333A08">
      <w:rPr>
        <w:color w:val="3E8EDE"/>
        <w:sz w:val="18"/>
        <w:szCs w:val="18"/>
      </w:rPr>
      <w:t>International Telecommunication Union • Place des Nations, CH</w:t>
    </w:r>
    <w:r w:rsidRPr="00333A08">
      <w:rPr>
        <w:color w:val="3E8EDE"/>
        <w:sz w:val="18"/>
        <w:szCs w:val="18"/>
      </w:rPr>
      <w:noBreakHyphen/>
      <w:t xml:space="preserve">1211 Geneva 20, Switzerland </w:t>
    </w:r>
    <w:r w:rsidRPr="00333A08">
      <w:rPr>
        <w:color w:val="3E8EDE"/>
        <w:sz w:val="18"/>
        <w:szCs w:val="18"/>
      </w:rPr>
      <w:br/>
      <w:t xml:space="preserve">Tel: +41 22 730 5111 • Fax: +41 22 733 7256 • E-mail: </w:t>
    </w:r>
    <w:hyperlink r:id="rId1" w:history="1">
      <w:r w:rsidRPr="00333A08">
        <w:rPr>
          <w:color w:val="3E8EDE"/>
          <w:sz w:val="18"/>
          <w:szCs w:val="18"/>
        </w:rPr>
        <w:t>itumail@itu.int</w:t>
      </w:r>
    </w:hyperlink>
    <w:r w:rsidRPr="00333A08">
      <w:rPr>
        <w:color w:val="3E8EDE"/>
        <w:sz w:val="18"/>
        <w:szCs w:val="18"/>
      </w:rPr>
      <w:t xml:space="preserve"> • </w:t>
    </w:r>
    <w:hyperlink r:id="rId2" w:history="1">
      <w:r w:rsidRPr="00333A08">
        <w:rPr>
          <w:color w:val="3E8EDE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EEA8" w14:textId="77777777" w:rsidR="00B60B64" w:rsidRDefault="00B60B64">
      <w:r>
        <w:t>____________________</w:t>
      </w:r>
    </w:p>
    <w:p w14:paraId="45FA645E" w14:textId="77777777" w:rsidR="00B60B64" w:rsidRDefault="00B60B64"/>
  </w:footnote>
  <w:footnote w:type="continuationSeparator" w:id="0">
    <w:p w14:paraId="5F20F8B7" w14:textId="77777777" w:rsidR="00B60B64" w:rsidRDefault="00B60B64">
      <w:r>
        <w:continuationSeparator/>
      </w:r>
    </w:p>
    <w:p w14:paraId="0EF271A8" w14:textId="77777777" w:rsidR="00B60B64" w:rsidRDefault="00B60B64"/>
  </w:footnote>
  <w:footnote w:type="continuationNotice" w:id="1">
    <w:p w14:paraId="1DE7DD0D" w14:textId="77777777" w:rsidR="00B60B64" w:rsidRDefault="00B60B6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DCBA" w14:textId="636AC3D7" w:rsidR="00754231" w:rsidRDefault="00B61012" w:rsidP="00754231">
    <w:pPr>
      <w:pStyle w:val="Header"/>
      <w:rPr>
        <w:noProof/>
      </w:rPr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45246D">
      <w:rPr>
        <w:noProof/>
      </w:rPr>
      <w:t>4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4366F8">
      <w:rPr>
        <w:noProof/>
      </w:rPr>
      <w:t>56</w:t>
    </w:r>
  </w:p>
  <w:p w14:paraId="59C2738D" w14:textId="77777777" w:rsidR="00A71DAE" w:rsidRDefault="00A71DAE" w:rsidP="00A71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72493"/>
    <w:multiLevelType w:val="hybridMultilevel"/>
    <w:tmpl w:val="B908025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067E0A"/>
    <w:multiLevelType w:val="hybridMultilevel"/>
    <w:tmpl w:val="7CDEF55E"/>
    <w:lvl w:ilvl="0" w:tplc="DB4A49D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969EE"/>
    <w:multiLevelType w:val="hybridMultilevel"/>
    <w:tmpl w:val="272AC004"/>
    <w:lvl w:ilvl="0" w:tplc="38A80AD2">
      <w:numFmt w:val="bullet"/>
      <w:lvlText w:val="–"/>
      <w:lvlJc w:val="left"/>
      <w:pPr>
        <w:ind w:left="720" w:hanging="360"/>
      </w:pPr>
      <w:rPr>
        <w:rFonts w:ascii="Calibri" w:eastAsiaTheme="majorEastAsia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630AA"/>
    <w:multiLevelType w:val="hybridMultilevel"/>
    <w:tmpl w:val="62641F9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40D92"/>
    <w:multiLevelType w:val="hybridMultilevel"/>
    <w:tmpl w:val="9DE87ED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56B71"/>
    <w:multiLevelType w:val="hybridMultilevel"/>
    <w:tmpl w:val="417EF47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092DBF"/>
    <w:multiLevelType w:val="hybridMultilevel"/>
    <w:tmpl w:val="6C44F96E"/>
    <w:lvl w:ilvl="0" w:tplc="6AA243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76447"/>
    <w:multiLevelType w:val="hybridMultilevel"/>
    <w:tmpl w:val="9B6E758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A4F18"/>
    <w:multiLevelType w:val="hybridMultilevel"/>
    <w:tmpl w:val="0072769A"/>
    <w:lvl w:ilvl="0" w:tplc="58D69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A3784"/>
    <w:multiLevelType w:val="hybridMultilevel"/>
    <w:tmpl w:val="0F8CB136"/>
    <w:lvl w:ilvl="0" w:tplc="8BE6A1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1034">
    <w:abstractNumId w:val="9"/>
  </w:num>
  <w:num w:numId="2" w16cid:durableId="693380142">
    <w:abstractNumId w:val="7"/>
  </w:num>
  <w:num w:numId="3" w16cid:durableId="1110930127">
    <w:abstractNumId w:val="6"/>
  </w:num>
  <w:num w:numId="4" w16cid:durableId="1079667940">
    <w:abstractNumId w:val="5"/>
  </w:num>
  <w:num w:numId="5" w16cid:durableId="208802095">
    <w:abstractNumId w:val="4"/>
  </w:num>
  <w:num w:numId="6" w16cid:durableId="1422066917">
    <w:abstractNumId w:val="8"/>
  </w:num>
  <w:num w:numId="7" w16cid:durableId="1228761073">
    <w:abstractNumId w:val="3"/>
  </w:num>
  <w:num w:numId="8" w16cid:durableId="1829784147">
    <w:abstractNumId w:val="2"/>
  </w:num>
  <w:num w:numId="9" w16cid:durableId="1870793785">
    <w:abstractNumId w:val="1"/>
  </w:num>
  <w:num w:numId="10" w16cid:durableId="2005086503">
    <w:abstractNumId w:val="0"/>
  </w:num>
  <w:num w:numId="11" w16cid:durableId="296574453">
    <w:abstractNumId w:val="16"/>
  </w:num>
  <w:num w:numId="12" w16cid:durableId="784158620">
    <w:abstractNumId w:val="15"/>
  </w:num>
  <w:num w:numId="13" w16cid:durableId="54937095">
    <w:abstractNumId w:val="13"/>
  </w:num>
  <w:num w:numId="14" w16cid:durableId="1728411435">
    <w:abstractNumId w:val="17"/>
  </w:num>
  <w:num w:numId="15" w16cid:durableId="2107653338">
    <w:abstractNumId w:val="14"/>
  </w:num>
  <w:num w:numId="16" w16cid:durableId="1151409221">
    <w:abstractNumId w:val="10"/>
  </w:num>
  <w:num w:numId="17" w16cid:durableId="766921568">
    <w:abstractNumId w:val="18"/>
  </w:num>
  <w:num w:numId="18" w16cid:durableId="759712952">
    <w:abstractNumId w:val="11"/>
  </w:num>
  <w:num w:numId="19" w16cid:durableId="1450734024">
    <w:abstractNumId w:val="12"/>
  </w:num>
  <w:num w:numId="20" w16cid:durableId="439766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23"/>
    <w:rsid w:val="00003B62"/>
    <w:rsid w:val="00007BE0"/>
    <w:rsid w:val="000114A8"/>
    <w:rsid w:val="000119F4"/>
    <w:rsid w:val="000125EE"/>
    <w:rsid w:val="00016891"/>
    <w:rsid w:val="00022E6B"/>
    <w:rsid w:val="00023C58"/>
    <w:rsid w:val="000273AE"/>
    <w:rsid w:val="000324F2"/>
    <w:rsid w:val="0003312A"/>
    <w:rsid w:val="00040C30"/>
    <w:rsid w:val="00041916"/>
    <w:rsid w:val="000439DD"/>
    <w:rsid w:val="00050654"/>
    <w:rsid w:val="00054FA2"/>
    <w:rsid w:val="00055C1D"/>
    <w:rsid w:val="00056832"/>
    <w:rsid w:val="000625FD"/>
    <w:rsid w:val="000628F9"/>
    <w:rsid w:val="00063830"/>
    <w:rsid w:val="00072A10"/>
    <w:rsid w:val="000752D0"/>
    <w:rsid w:val="0009074B"/>
    <w:rsid w:val="000920A3"/>
    <w:rsid w:val="0009402B"/>
    <w:rsid w:val="00097A65"/>
    <w:rsid w:val="000A1772"/>
    <w:rsid w:val="000A2051"/>
    <w:rsid w:val="000A5DA7"/>
    <w:rsid w:val="000A7DAB"/>
    <w:rsid w:val="000B15C8"/>
    <w:rsid w:val="000C1C00"/>
    <w:rsid w:val="000C344C"/>
    <w:rsid w:val="000D760B"/>
    <w:rsid w:val="000E0A56"/>
    <w:rsid w:val="000E5384"/>
    <w:rsid w:val="000E6505"/>
    <w:rsid w:val="000F051E"/>
    <w:rsid w:val="000F190C"/>
    <w:rsid w:val="000F5994"/>
    <w:rsid w:val="000F7601"/>
    <w:rsid w:val="001018E1"/>
    <w:rsid w:val="00102DFE"/>
    <w:rsid w:val="0010334A"/>
    <w:rsid w:val="00110A35"/>
    <w:rsid w:val="0011107F"/>
    <w:rsid w:val="00112F37"/>
    <w:rsid w:val="00122F45"/>
    <w:rsid w:val="00130DCD"/>
    <w:rsid w:val="00136358"/>
    <w:rsid w:val="00153514"/>
    <w:rsid w:val="001614A6"/>
    <w:rsid w:val="00163AFC"/>
    <w:rsid w:val="001660D6"/>
    <w:rsid w:val="00167FDE"/>
    <w:rsid w:val="0017051B"/>
    <w:rsid w:val="00170A94"/>
    <w:rsid w:val="00177816"/>
    <w:rsid w:val="00177993"/>
    <w:rsid w:val="00187741"/>
    <w:rsid w:val="00193B81"/>
    <w:rsid w:val="00194FC7"/>
    <w:rsid w:val="001951CA"/>
    <w:rsid w:val="001A34EC"/>
    <w:rsid w:val="001A5D2E"/>
    <w:rsid w:val="001B109E"/>
    <w:rsid w:val="001B355A"/>
    <w:rsid w:val="001B4BCB"/>
    <w:rsid w:val="001B7422"/>
    <w:rsid w:val="001C19AD"/>
    <w:rsid w:val="001D17C7"/>
    <w:rsid w:val="001D421E"/>
    <w:rsid w:val="001E0379"/>
    <w:rsid w:val="001E0FD0"/>
    <w:rsid w:val="001E11A2"/>
    <w:rsid w:val="001E5CC8"/>
    <w:rsid w:val="001F0F81"/>
    <w:rsid w:val="001F2731"/>
    <w:rsid w:val="001F45D5"/>
    <w:rsid w:val="002015F7"/>
    <w:rsid w:val="002046EC"/>
    <w:rsid w:val="002047B9"/>
    <w:rsid w:val="00220A00"/>
    <w:rsid w:val="0022558F"/>
    <w:rsid w:val="002264FB"/>
    <w:rsid w:val="00226BA2"/>
    <w:rsid w:val="0023244F"/>
    <w:rsid w:val="002334C9"/>
    <w:rsid w:val="00233CFF"/>
    <w:rsid w:val="00236E3A"/>
    <w:rsid w:val="00243019"/>
    <w:rsid w:val="002437CB"/>
    <w:rsid w:val="00245BBC"/>
    <w:rsid w:val="00250580"/>
    <w:rsid w:val="00253285"/>
    <w:rsid w:val="0026606B"/>
    <w:rsid w:val="00271A86"/>
    <w:rsid w:val="002739BB"/>
    <w:rsid w:val="00275613"/>
    <w:rsid w:val="00282E94"/>
    <w:rsid w:val="00291B20"/>
    <w:rsid w:val="002A1FC9"/>
    <w:rsid w:val="002A736C"/>
    <w:rsid w:val="002A7510"/>
    <w:rsid w:val="002B23F7"/>
    <w:rsid w:val="002B69FB"/>
    <w:rsid w:val="002C16D0"/>
    <w:rsid w:val="002C3CA7"/>
    <w:rsid w:val="002C5A86"/>
    <w:rsid w:val="002C5F3C"/>
    <w:rsid w:val="002C7D3E"/>
    <w:rsid w:val="002E0E18"/>
    <w:rsid w:val="002E1225"/>
    <w:rsid w:val="002E21C3"/>
    <w:rsid w:val="002E586B"/>
    <w:rsid w:val="002E6D3B"/>
    <w:rsid w:val="002F1EF1"/>
    <w:rsid w:val="002F379F"/>
    <w:rsid w:val="002F6874"/>
    <w:rsid w:val="0031057F"/>
    <w:rsid w:val="00310777"/>
    <w:rsid w:val="003217B2"/>
    <w:rsid w:val="00324405"/>
    <w:rsid w:val="0032532C"/>
    <w:rsid w:val="00325401"/>
    <w:rsid w:val="00333A08"/>
    <w:rsid w:val="003357EF"/>
    <w:rsid w:val="003420E2"/>
    <w:rsid w:val="003507E1"/>
    <w:rsid w:val="00356B73"/>
    <w:rsid w:val="003631DA"/>
    <w:rsid w:val="00363D08"/>
    <w:rsid w:val="00366134"/>
    <w:rsid w:val="00372BAB"/>
    <w:rsid w:val="003746A5"/>
    <w:rsid w:val="00381A11"/>
    <w:rsid w:val="00383F3F"/>
    <w:rsid w:val="00397217"/>
    <w:rsid w:val="00397498"/>
    <w:rsid w:val="003A327E"/>
    <w:rsid w:val="003A79F5"/>
    <w:rsid w:val="003C2CFC"/>
    <w:rsid w:val="003C59DC"/>
    <w:rsid w:val="003D27F9"/>
    <w:rsid w:val="003D37B7"/>
    <w:rsid w:val="003D4476"/>
    <w:rsid w:val="003D4690"/>
    <w:rsid w:val="003D57BF"/>
    <w:rsid w:val="003E4E47"/>
    <w:rsid w:val="003F381D"/>
    <w:rsid w:val="004038A2"/>
    <w:rsid w:val="0041231B"/>
    <w:rsid w:val="00412628"/>
    <w:rsid w:val="00414713"/>
    <w:rsid w:val="00414C69"/>
    <w:rsid w:val="004164AF"/>
    <w:rsid w:val="0041692E"/>
    <w:rsid w:val="00420133"/>
    <w:rsid w:val="00421C21"/>
    <w:rsid w:val="00425B90"/>
    <w:rsid w:val="0042674B"/>
    <w:rsid w:val="0042707A"/>
    <w:rsid w:val="00430721"/>
    <w:rsid w:val="004319B6"/>
    <w:rsid w:val="004329B5"/>
    <w:rsid w:val="00434E83"/>
    <w:rsid w:val="004366F8"/>
    <w:rsid w:val="0043709F"/>
    <w:rsid w:val="004402A5"/>
    <w:rsid w:val="0044133E"/>
    <w:rsid w:val="00446454"/>
    <w:rsid w:val="00446C07"/>
    <w:rsid w:val="0045246D"/>
    <w:rsid w:val="00453CEA"/>
    <w:rsid w:val="00454A77"/>
    <w:rsid w:val="004666B9"/>
    <w:rsid w:val="00470CC0"/>
    <w:rsid w:val="00471FFC"/>
    <w:rsid w:val="00474701"/>
    <w:rsid w:val="004805B8"/>
    <w:rsid w:val="00481899"/>
    <w:rsid w:val="00486F25"/>
    <w:rsid w:val="00487330"/>
    <w:rsid w:val="00493D95"/>
    <w:rsid w:val="004A5CE9"/>
    <w:rsid w:val="004A614B"/>
    <w:rsid w:val="004B10CC"/>
    <w:rsid w:val="004B2191"/>
    <w:rsid w:val="004B2A7C"/>
    <w:rsid w:val="004B2C90"/>
    <w:rsid w:val="004B47CB"/>
    <w:rsid w:val="004B72DD"/>
    <w:rsid w:val="004B7656"/>
    <w:rsid w:val="004C7BF1"/>
    <w:rsid w:val="004D5CC5"/>
    <w:rsid w:val="004D6455"/>
    <w:rsid w:val="004E08A5"/>
    <w:rsid w:val="004F1A19"/>
    <w:rsid w:val="004F1F83"/>
    <w:rsid w:val="004F3A64"/>
    <w:rsid w:val="004F4F35"/>
    <w:rsid w:val="004F7311"/>
    <w:rsid w:val="00503ADB"/>
    <w:rsid w:val="00504255"/>
    <w:rsid w:val="00514D4C"/>
    <w:rsid w:val="005161FE"/>
    <w:rsid w:val="00537C20"/>
    <w:rsid w:val="00540A03"/>
    <w:rsid w:val="0057035E"/>
    <w:rsid w:val="00573BB6"/>
    <w:rsid w:val="00575E40"/>
    <w:rsid w:val="00577670"/>
    <w:rsid w:val="00577AD4"/>
    <w:rsid w:val="00585738"/>
    <w:rsid w:val="00592DE3"/>
    <w:rsid w:val="005940CC"/>
    <w:rsid w:val="0059574D"/>
    <w:rsid w:val="005A1672"/>
    <w:rsid w:val="005A2667"/>
    <w:rsid w:val="005A4F7C"/>
    <w:rsid w:val="005B0C99"/>
    <w:rsid w:val="005B4CEC"/>
    <w:rsid w:val="005C5857"/>
    <w:rsid w:val="005C6AD5"/>
    <w:rsid w:val="005D235E"/>
    <w:rsid w:val="005E003C"/>
    <w:rsid w:val="005F14C5"/>
    <w:rsid w:val="005F2F66"/>
    <w:rsid w:val="00607110"/>
    <w:rsid w:val="0061551B"/>
    <w:rsid w:val="006238DE"/>
    <w:rsid w:val="00624BB6"/>
    <w:rsid w:val="00625609"/>
    <w:rsid w:val="00626094"/>
    <w:rsid w:val="006365C1"/>
    <w:rsid w:val="0063667E"/>
    <w:rsid w:val="00644981"/>
    <w:rsid w:val="00651532"/>
    <w:rsid w:val="006520A5"/>
    <w:rsid w:val="0065675C"/>
    <w:rsid w:val="006637BB"/>
    <w:rsid w:val="006766D0"/>
    <w:rsid w:val="00676E95"/>
    <w:rsid w:val="00677EF1"/>
    <w:rsid w:val="00682925"/>
    <w:rsid w:val="00683984"/>
    <w:rsid w:val="0069038A"/>
    <w:rsid w:val="00697CBF"/>
    <w:rsid w:val="006A32FB"/>
    <w:rsid w:val="006A4D9C"/>
    <w:rsid w:val="006A77DC"/>
    <w:rsid w:val="006B3734"/>
    <w:rsid w:val="006B6355"/>
    <w:rsid w:val="006B74FB"/>
    <w:rsid w:val="006C0F75"/>
    <w:rsid w:val="006C4EBA"/>
    <w:rsid w:val="006D2B9F"/>
    <w:rsid w:val="006D324F"/>
    <w:rsid w:val="006D35E0"/>
    <w:rsid w:val="006D3B6C"/>
    <w:rsid w:val="006E0660"/>
    <w:rsid w:val="006E7BE2"/>
    <w:rsid w:val="006F2E36"/>
    <w:rsid w:val="0072112D"/>
    <w:rsid w:val="0072731A"/>
    <w:rsid w:val="00727403"/>
    <w:rsid w:val="00727C98"/>
    <w:rsid w:val="00730A58"/>
    <w:rsid w:val="00731A92"/>
    <w:rsid w:val="0074179A"/>
    <w:rsid w:val="007426EA"/>
    <w:rsid w:val="007510B3"/>
    <w:rsid w:val="0075295C"/>
    <w:rsid w:val="00754231"/>
    <w:rsid w:val="00757980"/>
    <w:rsid w:val="00760FF7"/>
    <w:rsid w:val="00783892"/>
    <w:rsid w:val="00784C19"/>
    <w:rsid w:val="00787A8B"/>
    <w:rsid w:val="0079034D"/>
    <w:rsid w:val="00791AC6"/>
    <w:rsid w:val="0079387E"/>
    <w:rsid w:val="00796F93"/>
    <w:rsid w:val="0079763E"/>
    <w:rsid w:val="007A0060"/>
    <w:rsid w:val="007A65E8"/>
    <w:rsid w:val="007A7E2B"/>
    <w:rsid w:val="007B061E"/>
    <w:rsid w:val="007B1AA1"/>
    <w:rsid w:val="007B3351"/>
    <w:rsid w:val="007D2FFA"/>
    <w:rsid w:val="007D5060"/>
    <w:rsid w:val="007E0A1D"/>
    <w:rsid w:val="007E2718"/>
    <w:rsid w:val="007E2FB2"/>
    <w:rsid w:val="007E3F7A"/>
    <w:rsid w:val="007E4344"/>
    <w:rsid w:val="007E5FFE"/>
    <w:rsid w:val="007E746B"/>
    <w:rsid w:val="007E7746"/>
    <w:rsid w:val="007F0F7E"/>
    <w:rsid w:val="007F0FB6"/>
    <w:rsid w:val="007F5049"/>
    <w:rsid w:val="007F57B8"/>
    <w:rsid w:val="00810E3D"/>
    <w:rsid w:val="00813057"/>
    <w:rsid w:val="008143BC"/>
    <w:rsid w:val="00815216"/>
    <w:rsid w:val="00815A14"/>
    <w:rsid w:val="008351AB"/>
    <w:rsid w:val="008408E7"/>
    <w:rsid w:val="008431B9"/>
    <w:rsid w:val="0085237A"/>
    <w:rsid w:val="00852BEF"/>
    <w:rsid w:val="00855EBC"/>
    <w:rsid w:val="008770BD"/>
    <w:rsid w:val="0088540D"/>
    <w:rsid w:val="00886738"/>
    <w:rsid w:val="008968E7"/>
    <w:rsid w:val="008A1227"/>
    <w:rsid w:val="008A2B9A"/>
    <w:rsid w:val="008A53AC"/>
    <w:rsid w:val="008B0EF2"/>
    <w:rsid w:val="008B4A61"/>
    <w:rsid w:val="008B575E"/>
    <w:rsid w:val="008C064D"/>
    <w:rsid w:val="008C5291"/>
    <w:rsid w:val="008D46EA"/>
    <w:rsid w:val="008E67AD"/>
    <w:rsid w:val="008E6C50"/>
    <w:rsid w:val="008F6490"/>
    <w:rsid w:val="008F7631"/>
    <w:rsid w:val="009000C8"/>
    <w:rsid w:val="00901998"/>
    <w:rsid w:val="0090224B"/>
    <w:rsid w:val="00906316"/>
    <w:rsid w:val="00906422"/>
    <w:rsid w:val="009209DE"/>
    <w:rsid w:val="00930D6B"/>
    <w:rsid w:val="00931F6D"/>
    <w:rsid w:val="0093291A"/>
    <w:rsid w:val="009374E3"/>
    <w:rsid w:val="00944D95"/>
    <w:rsid w:val="00955C4C"/>
    <w:rsid w:val="0096162A"/>
    <w:rsid w:val="00963900"/>
    <w:rsid w:val="00967998"/>
    <w:rsid w:val="009736D6"/>
    <w:rsid w:val="009746C8"/>
    <w:rsid w:val="009747C5"/>
    <w:rsid w:val="00977646"/>
    <w:rsid w:val="00981E4A"/>
    <w:rsid w:val="00990152"/>
    <w:rsid w:val="00996232"/>
    <w:rsid w:val="009978A4"/>
    <w:rsid w:val="009A169C"/>
    <w:rsid w:val="009A42CB"/>
    <w:rsid w:val="009A6A87"/>
    <w:rsid w:val="009B2EB5"/>
    <w:rsid w:val="009B4FB2"/>
    <w:rsid w:val="009B7320"/>
    <w:rsid w:val="009C1957"/>
    <w:rsid w:val="009C6BEB"/>
    <w:rsid w:val="009D177B"/>
    <w:rsid w:val="009D328D"/>
    <w:rsid w:val="009E3D06"/>
    <w:rsid w:val="009E5629"/>
    <w:rsid w:val="009E5708"/>
    <w:rsid w:val="009E653A"/>
    <w:rsid w:val="009E7AEB"/>
    <w:rsid w:val="009E7FE5"/>
    <w:rsid w:val="009F366E"/>
    <w:rsid w:val="009F36AE"/>
    <w:rsid w:val="009F6510"/>
    <w:rsid w:val="009F6F82"/>
    <w:rsid w:val="009F75CD"/>
    <w:rsid w:val="00A0137E"/>
    <w:rsid w:val="00A2062E"/>
    <w:rsid w:val="00A22B35"/>
    <w:rsid w:val="00A25CE9"/>
    <w:rsid w:val="00A31E79"/>
    <w:rsid w:val="00A4236E"/>
    <w:rsid w:val="00A502AC"/>
    <w:rsid w:val="00A55962"/>
    <w:rsid w:val="00A64202"/>
    <w:rsid w:val="00A659CF"/>
    <w:rsid w:val="00A71DAE"/>
    <w:rsid w:val="00A72C30"/>
    <w:rsid w:val="00A75DCA"/>
    <w:rsid w:val="00A80BCE"/>
    <w:rsid w:val="00A82978"/>
    <w:rsid w:val="00A82DFA"/>
    <w:rsid w:val="00A84016"/>
    <w:rsid w:val="00A86937"/>
    <w:rsid w:val="00AA06AE"/>
    <w:rsid w:val="00AA7D33"/>
    <w:rsid w:val="00AB2295"/>
    <w:rsid w:val="00AC023E"/>
    <w:rsid w:val="00AC1ECA"/>
    <w:rsid w:val="00AC37AB"/>
    <w:rsid w:val="00AC405E"/>
    <w:rsid w:val="00AC6E16"/>
    <w:rsid w:val="00AD1491"/>
    <w:rsid w:val="00AE1A1B"/>
    <w:rsid w:val="00AE2BCA"/>
    <w:rsid w:val="00AE6DB2"/>
    <w:rsid w:val="00AF0243"/>
    <w:rsid w:val="00AF2C1A"/>
    <w:rsid w:val="00AF3289"/>
    <w:rsid w:val="00AF35C5"/>
    <w:rsid w:val="00AF7720"/>
    <w:rsid w:val="00B000F6"/>
    <w:rsid w:val="00B02171"/>
    <w:rsid w:val="00B041BD"/>
    <w:rsid w:val="00B06135"/>
    <w:rsid w:val="00B0644D"/>
    <w:rsid w:val="00B150EB"/>
    <w:rsid w:val="00B2488F"/>
    <w:rsid w:val="00B25321"/>
    <w:rsid w:val="00B26617"/>
    <w:rsid w:val="00B3069F"/>
    <w:rsid w:val="00B313F8"/>
    <w:rsid w:val="00B32A56"/>
    <w:rsid w:val="00B338C9"/>
    <w:rsid w:val="00B3598A"/>
    <w:rsid w:val="00B40040"/>
    <w:rsid w:val="00B442CC"/>
    <w:rsid w:val="00B4669D"/>
    <w:rsid w:val="00B50DCF"/>
    <w:rsid w:val="00B5600A"/>
    <w:rsid w:val="00B577E7"/>
    <w:rsid w:val="00B60B64"/>
    <w:rsid w:val="00B61012"/>
    <w:rsid w:val="00B63CDB"/>
    <w:rsid w:val="00B674AA"/>
    <w:rsid w:val="00B86D23"/>
    <w:rsid w:val="00B94D24"/>
    <w:rsid w:val="00B97A1C"/>
    <w:rsid w:val="00BA0C76"/>
    <w:rsid w:val="00BB1504"/>
    <w:rsid w:val="00BB2B76"/>
    <w:rsid w:val="00BB448C"/>
    <w:rsid w:val="00BB7A46"/>
    <w:rsid w:val="00BC5FF6"/>
    <w:rsid w:val="00BD08C0"/>
    <w:rsid w:val="00BD1182"/>
    <w:rsid w:val="00BD2CC8"/>
    <w:rsid w:val="00BD3301"/>
    <w:rsid w:val="00BE5491"/>
    <w:rsid w:val="00C01D57"/>
    <w:rsid w:val="00C03902"/>
    <w:rsid w:val="00C1320C"/>
    <w:rsid w:val="00C1380C"/>
    <w:rsid w:val="00C165B5"/>
    <w:rsid w:val="00C27107"/>
    <w:rsid w:val="00C272F6"/>
    <w:rsid w:val="00C275F1"/>
    <w:rsid w:val="00C279CB"/>
    <w:rsid w:val="00C27B3F"/>
    <w:rsid w:val="00C303F6"/>
    <w:rsid w:val="00C341AB"/>
    <w:rsid w:val="00C344D6"/>
    <w:rsid w:val="00C362DC"/>
    <w:rsid w:val="00C36CF9"/>
    <w:rsid w:val="00C415F2"/>
    <w:rsid w:val="00C4359F"/>
    <w:rsid w:val="00C45B91"/>
    <w:rsid w:val="00C47CC8"/>
    <w:rsid w:val="00C50C03"/>
    <w:rsid w:val="00C60964"/>
    <w:rsid w:val="00C61B09"/>
    <w:rsid w:val="00C763F6"/>
    <w:rsid w:val="00C774F9"/>
    <w:rsid w:val="00C81674"/>
    <w:rsid w:val="00C85F50"/>
    <w:rsid w:val="00C867F7"/>
    <w:rsid w:val="00C9495A"/>
    <w:rsid w:val="00C95BF6"/>
    <w:rsid w:val="00C97A61"/>
    <w:rsid w:val="00CA407B"/>
    <w:rsid w:val="00CA41C4"/>
    <w:rsid w:val="00CA4365"/>
    <w:rsid w:val="00CB1009"/>
    <w:rsid w:val="00CB2C33"/>
    <w:rsid w:val="00CB2DDC"/>
    <w:rsid w:val="00CC6AF8"/>
    <w:rsid w:val="00CD3924"/>
    <w:rsid w:val="00CD54A7"/>
    <w:rsid w:val="00CE087B"/>
    <w:rsid w:val="00CE0AC5"/>
    <w:rsid w:val="00CE0E5E"/>
    <w:rsid w:val="00CE3503"/>
    <w:rsid w:val="00CE706B"/>
    <w:rsid w:val="00D0014B"/>
    <w:rsid w:val="00D024B1"/>
    <w:rsid w:val="00D04819"/>
    <w:rsid w:val="00D05C75"/>
    <w:rsid w:val="00D0718F"/>
    <w:rsid w:val="00D13105"/>
    <w:rsid w:val="00D25E0D"/>
    <w:rsid w:val="00D33BAB"/>
    <w:rsid w:val="00D33C15"/>
    <w:rsid w:val="00D36925"/>
    <w:rsid w:val="00D406CB"/>
    <w:rsid w:val="00D42B15"/>
    <w:rsid w:val="00D43550"/>
    <w:rsid w:val="00D45E44"/>
    <w:rsid w:val="00D501F6"/>
    <w:rsid w:val="00D55EF1"/>
    <w:rsid w:val="00D561D2"/>
    <w:rsid w:val="00D570CF"/>
    <w:rsid w:val="00D57B43"/>
    <w:rsid w:val="00D62702"/>
    <w:rsid w:val="00D66F06"/>
    <w:rsid w:val="00D70013"/>
    <w:rsid w:val="00D70956"/>
    <w:rsid w:val="00D7309F"/>
    <w:rsid w:val="00D75CE3"/>
    <w:rsid w:val="00D75E56"/>
    <w:rsid w:val="00D765CD"/>
    <w:rsid w:val="00D80D2B"/>
    <w:rsid w:val="00D82F9D"/>
    <w:rsid w:val="00D8766F"/>
    <w:rsid w:val="00D90363"/>
    <w:rsid w:val="00D92C72"/>
    <w:rsid w:val="00D95EB3"/>
    <w:rsid w:val="00D968D7"/>
    <w:rsid w:val="00D96F48"/>
    <w:rsid w:val="00D978D2"/>
    <w:rsid w:val="00DA1F03"/>
    <w:rsid w:val="00DA453C"/>
    <w:rsid w:val="00DB195D"/>
    <w:rsid w:val="00DB4036"/>
    <w:rsid w:val="00DB709A"/>
    <w:rsid w:val="00DC08AD"/>
    <w:rsid w:val="00DC17DD"/>
    <w:rsid w:val="00DC197A"/>
    <w:rsid w:val="00DC23FE"/>
    <w:rsid w:val="00DC4625"/>
    <w:rsid w:val="00DD071E"/>
    <w:rsid w:val="00DD25C8"/>
    <w:rsid w:val="00DD505C"/>
    <w:rsid w:val="00DE66FE"/>
    <w:rsid w:val="00DE7149"/>
    <w:rsid w:val="00E0149A"/>
    <w:rsid w:val="00E01F86"/>
    <w:rsid w:val="00E0345C"/>
    <w:rsid w:val="00E156DA"/>
    <w:rsid w:val="00E219AC"/>
    <w:rsid w:val="00E22E1F"/>
    <w:rsid w:val="00E26223"/>
    <w:rsid w:val="00E3156A"/>
    <w:rsid w:val="00E351F4"/>
    <w:rsid w:val="00E3550D"/>
    <w:rsid w:val="00E44499"/>
    <w:rsid w:val="00E5027C"/>
    <w:rsid w:val="00E53D26"/>
    <w:rsid w:val="00E55C36"/>
    <w:rsid w:val="00E56A34"/>
    <w:rsid w:val="00E57D17"/>
    <w:rsid w:val="00E606BF"/>
    <w:rsid w:val="00E61758"/>
    <w:rsid w:val="00E622D2"/>
    <w:rsid w:val="00E6300C"/>
    <w:rsid w:val="00E64715"/>
    <w:rsid w:val="00E6532A"/>
    <w:rsid w:val="00E66207"/>
    <w:rsid w:val="00E663EC"/>
    <w:rsid w:val="00E71A9C"/>
    <w:rsid w:val="00E71B88"/>
    <w:rsid w:val="00E73939"/>
    <w:rsid w:val="00E82CC7"/>
    <w:rsid w:val="00E8771B"/>
    <w:rsid w:val="00E9258E"/>
    <w:rsid w:val="00E935B0"/>
    <w:rsid w:val="00E9524B"/>
    <w:rsid w:val="00E965DE"/>
    <w:rsid w:val="00EA2114"/>
    <w:rsid w:val="00EA2391"/>
    <w:rsid w:val="00EB033C"/>
    <w:rsid w:val="00EB082F"/>
    <w:rsid w:val="00EB0AAF"/>
    <w:rsid w:val="00EB48B7"/>
    <w:rsid w:val="00EB4AD8"/>
    <w:rsid w:val="00EC15F4"/>
    <w:rsid w:val="00EC195E"/>
    <w:rsid w:val="00EC1C00"/>
    <w:rsid w:val="00EC357C"/>
    <w:rsid w:val="00EC447A"/>
    <w:rsid w:val="00ED1A32"/>
    <w:rsid w:val="00ED7504"/>
    <w:rsid w:val="00EE041C"/>
    <w:rsid w:val="00EE7975"/>
    <w:rsid w:val="00F0003D"/>
    <w:rsid w:val="00F0556F"/>
    <w:rsid w:val="00F06A7B"/>
    <w:rsid w:val="00F13261"/>
    <w:rsid w:val="00F13372"/>
    <w:rsid w:val="00F144F7"/>
    <w:rsid w:val="00F16E89"/>
    <w:rsid w:val="00F22314"/>
    <w:rsid w:val="00F26E9E"/>
    <w:rsid w:val="00F30DD2"/>
    <w:rsid w:val="00F3186C"/>
    <w:rsid w:val="00F379B3"/>
    <w:rsid w:val="00F409C2"/>
    <w:rsid w:val="00F41510"/>
    <w:rsid w:val="00F4187C"/>
    <w:rsid w:val="00F425E6"/>
    <w:rsid w:val="00F42CB1"/>
    <w:rsid w:val="00F44806"/>
    <w:rsid w:val="00F44859"/>
    <w:rsid w:val="00F51551"/>
    <w:rsid w:val="00F52D74"/>
    <w:rsid w:val="00F53E7D"/>
    <w:rsid w:val="00F53F48"/>
    <w:rsid w:val="00F540CF"/>
    <w:rsid w:val="00F567F5"/>
    <w:rsid w:val="00F63ABC"/>
    <w:rsid w:val="00F70552"/>
    <w:rsid w:val="00F83BE1"/>
    <w:rsid w:val="00F86F0E"/>
    <w:rsid w:val="00F915F1"/>
    <w:rsid w:val="00F94981"/>
    <w:rsid w:val="00FA46A0"/>
    <w:rsid w:val="00FA7B74"/>
    <w:rsid w:val="00FB6123"/>
    <w:rsid w:val="00FB7A6F"/>
    <w:rsid w:val="00FC1C19"/>
    <w:rsid w:val="00FC2566"/>
    <w:rsid w:val="00FD40CA"/>
    <w:rsid w:val="00FD68CB"/>
    <w:rsid w:val="00FE3518"/>
    <w:rsid w:val="00FE37EC"/>
    <w:rsid w:val="00FE6AE0"/>
    <w:rsid w:val="00FF08E0"/>
    <w:rsid w:val="00FF5729"/>
    <w:rsid w:val="02EAECB0"/>
    <w:rsid w:val="041B50B9"/>
    <w:rsid w:val="048D82D9"/>
    <w:rsid w:val="0A0B69DB"/>
    <w:rsid w:val="0C284D77"/>
    <w:rsid w:val="0FBB6AFA"/>
    <w:rsid w:val="12B856D3"/>
    <w:rsid w:val="1469176B"/>
    <w:rsid w:val="19EE9D33"/>
    <w:rsid w:val="1B66F55C"/>
    <w:rsid w:val="2244C92E"/>
    <w:rsid w:val="24C4660F"/>
    <w:rsid w:val="2A035444"/>
    <w:rsid w:val="2AE3A43B"/>
    <w:rsid w:val="2F1AEEB9"/>
    <w:rsid w:val="328A441A"/>
    <w:rsid w:val="32CA1618"/>
    <w:rsid w:val="339680C3"/>
    <w:rsid w:val="35E5B050"/>
    <w:rsid w:val="398F78D5"/>
    <w:rsid w:val="3A29DA54"/>
    <w:rsid w:val="3CEFBE5D"/>
    <w:rsid w:val="3DBA4E9A"/>
    <w:rsid w:val="44128E24"/>
    <w:rsid w:val="52CF558F"/>
    <w:rsid w:val="57C0DFD9"/>
    <w:rsid w:val="5CC5C160"/>
    <w:rsid w:val="5E7F5A30"/>
    <w:rsid w:val="6263A626"/>
    <w:rsid w:val="6D41F52B"/>
    <w:rsid w:val="706AD8EE"/>
    <w:rsid w:val="72AA3D82"/>
    <w:rsid w:val="777E6CFD"/>
    <w:rsid w:val="796CDE39"/>
    <w:rsid w:val="7A520536"/>
    <w:rsid w:val="7BFEF25E"/>
    <w:rsid w:val="7C9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BADB0"/>
  <w15:docId w15:val="{5B313853-332B-479E-813F-E21FB131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uiPriority w:val="99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75B8"/>
    <w:rPr>
      <w:sz w:val="20"/>
    </w:rPr>
  </w:style>
  <w:style w:type="character" w:customStyle="1" w:styleId="CommentTextChar">
    <w:name w:val="Comment Text Char"/>
    <w:link w:val="CommentText"/>
    <w:uiPriority w:val="99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paragraph" w:styleId="Revision">
    <w:name w:val="Revision"/>
    <w:hidden/>
    <w:rsid w:val="00B0644D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5E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38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38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A006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D27F9"/>
  </w:style>
  <w:style w:type="character" w:customStyle="1" w:styleId="None">
    <w:name w:val="None"/>
    <w:rsid w:val="0066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u.int/go/tsg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tu.int/go/CASC-QS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1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ahgif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bdd2cc3e81dd0adb1d8d9a39508ba24a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f1a807b2f63ac0ed811a8a3961eee0c7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CD7A1-E87D-447F-B36A-4AFBCBF0B929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customXml/itemProps2.xml><?xml version="1.0" encoding="utf-8"?>
<ds:datastoreItem xmlns:ds="http://schemas.openxmlformats.org/officeDocument/2006/customXml" ds:itemID="{C494DA3E-8612-428A-B746-B8D052BC3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C3584-E9F1-4895-9C89-CEB02F203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271</TotalTime>
  <Pages>1</Pages>
  <Words>310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Amoah, Gifty Adjo</dc:creator>
  <cp:keywords/>
  <dc:description/>
  <cp:lastModifiedBy>Braud, Olivia</cp:lastModifiedBy>
  <cp:revision>86</cp:revision>
  <cp:lastPrinted>2025-12-04T10:27:00Z</cp:lastPrinted>
  <dcterms:created xsi:type="dcterms:W3CDTF">2025-05-27T14:28:00Z</dcterms:created>
  <dcterms:modified xsi:type="dcterms:W3CDTF">2025-12-04T10:28:00Z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</Properties>
</file>