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6042B868" w14:textId="77777777" w:rsidTr="00D517B2">
        <w:trPr>
          <w:cantSplit/>
          <w:trHeight w:val="1134"/>
        </w:trPr>
        <w:tc>
          <w:tcPr>
            <w:tcW w:w="798" w:type="pct"/>
          </w:tcPr>
          <w:p w14:paraId="5642F081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43581C55" wp14:editId="2643C44B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611162AC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73034A35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3254"/>
        <w:gridCol w:w="4823"/>
      </w:tblGrid>
      <w:tr w:rsidR="00D517B2" w:rsidRPr="00D517B2" w14:paraId="68E5B028" w14:textId="77777777" w:rsidTr="00472E3A">
        <w:trPr>
          <w:cantSplit/>
          <w:jc w:val="center"/>
        </w:trPr>
        <w:tc>
          <w:tcPr>
            <w:tcW w:w="810" w:type="pct"/>
          </w:tcPr>
          <w:p w14:paraId="7AA95002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688" w:type="pct"/>
          </w:tcPr>
          <w:p w14:paraId="4C6F61F3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502" w:type="pct"/>
          </w:tcPr>
          <w:p w14:paraId="680D7F9E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55154BB9" w14:textId="77777777" w:rsidTr="00472E3A">
        <w:trPr>
          <w:cantSplit/>
          <w:jc w:val="center"/>
        </w:trPr>
        <w:tc>
          <w:tcPr>
            <w:tcW w:w="810" w:type="pct"/>
          </w:tcPr>
          <w:p w14:paraId="4EA3CD9D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688" w:type="pct"/>
          </w:tcPr>
          <w:p w14:paraId="7D13ED21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502" w:type="pct"/>
          </w:tcPr>
          <w:p w14:paraId="007CF6D0" w14:textId="3D1EC177" w:rsidR="00D517B2" w:rsidRPr="00D517B2" w:rsidRDefault="00873469" w:rsidP="006019C6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472E3A">
              <w:rPr>
                <w:rFonts w:hint="cs"/>
                <w:position w:val="2"/>
                <w:rtl/>
              </w:rPr>
              <w:t>1 ديسمبر</w:t>
            </w:r>
            <w:r w:rsidR="007139D8">
              <w:rPr>
                <w:rFonts w:hint="cs"/>
                <w:position w:val="2"/>
                <w:rtl/>
              </w:rPr>
              <w:t xml:space="preserve"> </w:t>
            </w:r>
            <w:r w:rsidR="007139D8">
              <w:rPr>
                <w:position w:val="2"/>
              </w:rPr>
              <w:t>2025</w:t>
            </w:r>
          </w:p>
        </w:tc>
      </w:tr>
      <w:tr w:rsidR="0020166C" w:rsidRPr="00D517B2" w14:paraId="208E60F6" w14:textId="77777777" w:rsidTr="00472E3A">
        <w:trPr>
          <w:cantSplit/>
          <w:trHeight w:val="47"/>
          <w:jc w:val="center"/>
        </w:trPr>
        <w:tc>
          <w:tcPr>
            <w:tcW w:w="810" w:type="pct"/>
          </w:tcPr>
          <w:p w14:paraId="2D06E0F6" w14:textId="77777777" w:rsidR="0020166C" w:rsidRPr="00A9156F" w:rsidRDefault="0020166C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688" w:type="pct"/>
          </w:tcPr>
          <w:p w14:paraId="7BF0F9C2" w14:textId="5BCA5460" w:rsidR="0020166C" w:rsidRPr="00D517B2" w:rsidRDefault="0020166C" w:rsidP="00D517B2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517B2">
              <w:rPr>
                <w:b/>
                <w:position w:val="2"/>
              </w:rPr>
              <w:t>TSB </w:t>
            </w:r>
            <w:r>
              <w:rPr>
                <w:b/>
                <w:position w:val="2"/>
              </w:rPr>
              <w:t>Circular</w:t>
            </w:r>
            <w:r w:rsidRPr="00D517B2">
              <w:rPr>
                <w:b/>
                <w:position w:val="2"/>
              </w:rPr>
              <w:t xml:space="preserve"> </w:t>
            </w:r>
            <w:r>
              <w:rPr>
                <w:b/>
                <w:position w:val="2"/>
              </w:rPr>
              <w:t>95</w:t>
            </w:r>
          </w:p>
        </w:tc>
        <w:tc>
          <w:tcPr>
            <w:tcW w:w="2502" w:type="pct"/>
            <w:vMerge w:val="restart"/>
          </w:tcPr>
          <w:p w14:paraId="66AA70C0" w14:textId="77777777" w:rsidR="0020166C" w:rsidRPr="00472E3A" w:rsidRDefault="0020166C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472E3A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33B45788" w14:textId="77777777" w:rsidR="0020166C" w:rsidRPr="00472E3A" w:rsidRDefault="0020166C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472E3A">
              <w:rPr>
                <w:rFonts w:hint="cs"/>
                <w:position w:val="2"/>
                <w:rtl/>
              </w:rPr>
              <w:t>-</w:t>
            </w:r>
            <w:r w:rsidRPr="00472E3A">
              <w:rPr>
                <w:position w:val="2"/>
                <w:rtl/>
              </w:rPr>
              <w:tab/>
            </w:r>
            <w:r w:rsidRPr="00472E3A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4F077F08" w14:textId="112BD05F" w:rsidR="00472E3A" w:rsidRPr="00472E3A" w:rsidRDefault="0020166C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472E3A">
              <w:rPr>
                <w:rFonts w:hint="cs"/>
                <w:position w:val="2"/>
                <w:rtl/>
              </w:rPr>
              <w:t>-</w:t>
            </w:r>
            <w:r w:rsidRPr="00472E3A">
              <w:rPr>
                <w:position w:val="2"/>
                <w:rtl/>
              </w:rPr>
              <w:tab/>
            </w:r>
            <w:r w:rsidR="00472E3A" w:rsidRPr="00472E3A">
              <w:rPr>
                <w:position w:val="2"/>
                <w:rtl/>
              </w:rPr>
              <w:t>دولة فلسطين (القرار</w:t>
            </w:r>
            <w:r w:rsidR="0062300A">
              <w:rPr>
                <w:rFonts w:hint="cs"/>
                <w:position w:val="2"/>
                <w:rtl/>
              </w:rPr>
              <w:t> </w:t>
            </w:r>
            <w:r w:rsidR="00472E3A" w:rsidRPr="00472E3A">
              <w:rPr>
                <w:position w:val="2"/>
                <w:rtl/>
              </w:rPr>
              <w:t>99</w:t>
            </w:r>
            <w:r w:rsidR="00065E4E">
              <w:rPr>
                <w:position w:val="2"/>
                <w:rtl/>
              </w:rPr>
              <w:t xml:space="preserve"> </w:t>
            </w:r>
            <w:r w:rsidR="00472E3A" w:rsidRPr="00472E3A">
              <w:rPr>
                <w:position w:val="2"/>
                <w:rtl/>
              </w:rPr>
              <w:t>(المراجَع في دبي، 2018))؛</w:t>
            </w:r>
          </w:p>
          <w:p w14:paraId="288ED7D2" w14:textId="5ECCA771" w:rsidR="0020166C" w:rsidRPr="00472E3A" w:rsidRDefault="00472E3A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472E3A">
              <w:rPr>
                <w:rFonts w:hint="cs"/>
                <w:position w:val="2"/>
                <w:rtl/>
              </w:rPr>
              <w:t>-</w:t>
            </w:r>
            <w:r w:rsidRPr="00472E3A">
              <w:rPr>
                <w:position w:val="2"/>
                <w:rtl/>
              </w:rPr>
              <w:tab/>
            </w:r>
            <w:r w:rsidR="0020166C" w:rsidRPr="00472E3A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0AFA5DD9" w14:textId="2BD1064F" w:rsidR="0020166C" w:rsidRPr="00472E3A" w:rsidRDefault="0020166C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spacing w:val="-4"/>
                <w:position w:val="2"/>
                <w:rtl/>
                <w:lang w:bidi="ar-EG"/>
              </w:rPr>
            </w:pPr>
            <w:r w:rsidRPr="00472E3A">
              <w:rPr>
                <w:rFonts w:hint="cs"/>
                <w:spacing w:val="-4"/>
                <w:position w:val="2"/>
                <w:rtl/>
              </w:rPr>
              <w:t>-</w:t>
            </w:r>
            <w:r w:rsidRPr="00472E3A">
              <w:rPr>
                <w:spacing w:val="-4"/>
                <w:position w:val="2"/>
                <w:rtl/>
              </w:rPr>
              <w:tab/>
            </w:r>
            <w:r w:rsidRPr="00472E3A">
              <w:rPr>
                <w:rFonts w:hint="cs"/>
                <w:spacing w:val="-4"/>
                <w:position w:val="2"/>
                <w:rtl/>
              </w:rPr>
              <w:t>المنتسبين إلى قطاع تقييس الاتصالات</w:t>
            </w:r>
            <w:r w:rsidR="00065E4E">
              <w:rPr>
                <w:rFonts w:hint="cs"/>
                <w:spacing w:val="-4"/>
                <w:position w:val="2"/>
                <w:rtl/>
              </w:rPr>
              <w:t xml:space="preserve"> </w:t>
            </w:r>
            <w:r w:rsidR="00D5495C">
              <w:rPr>
                <w:rFonts w:hint="cs"/>
                <w:spacing w:val="-4"/>
                <w:position w:val="2"/>
                <w:rtl/>
              </w:rPr>
              <w:t xml:space="preserve">المشاركين في أعمال </w:t>
            </w:r>
            <w:r w:rsidR="00472E3A" w:rsidRPr="00472E3A">
              <w:rPr>
                <w:spacing w:val="-4"/>
                <w:position w:val="2"/>
                <w:rtl/>
              </w:rPr>
              <w:t>لجنة الدراسات 11</w:t>
            </w:r>
            <w:r w:rsidRPr="00472E3A">
              <w:rPr>
                <w:rFonts w:hint="cs"/>
                <w:spacing w:val="-4"/>
                <w:position w:val="2"/>
                <w:rtl/>
              </w:rPr>
              <w:t>؛</w:t>
            </w:r>
          </w:p>
          <w:p w14:paraId="41EEF70B" w14:textId="77777777" w:rsidR="0020166C" w:rsidRPr="00472E3A" w:rsidRDefault="0020166C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472E3A">
              <w:rPr>
                <w:rFonts w:hint="cs"/>
                <w:position w:val="2"/>
                <w:rtl/>
              </w:rPr>
              <w:t>-</w:t>
            </w:r>
            <w:r w:rsidRPr="00472E3A">
              <w:rPr>
                <w:position w:val="2"/>
                <w:rtl/>
              </w:rPr>
              <w:tab/>
            </w:r>
            <w:r w:rsidRPr="00472E3A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472E3A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</w:p>
          <w:p w14:paraId="07883718" w14:textId="77777777" w:rsidR="0020166C" w:rsidRPr="00472E3A" w:rsidRDefault="0020166C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472E3A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0FB63BE2" w14:textId="58F1A5F0" w:rsidR="0020166C" w:rsidRPr="00472E3A" w:rsidRDefault="0020166C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472E3A">
              <w:rPr>
                <w:rFonts w:hint="cs"/>
                <w:position w:val="2"/>
                <w:rtl/>
              </w:rPr>
              <w:t>-</w:t>
            </w:r>
            <w:r w:rsidRPr="00472E3A">
              <w:rPr>
                <w:position w:val="2"/>
                <w:rtl/>
              </w:rPr>
              <w:tab/>
            </w:r>
            <w:r w:rsidR="00D5495C">
              <w:rPr>
                <w:rFonts w:eastAsia="Times New Roman" w:hint="cs"/>
                <w:position w:val="2"/>
                <w:rtl/>
                <w:lang w:eastAsia="en-US"/>
              </w:rPr>
              <w:t xml:space="preserve">رئيس </w:t>
            </w:r>
            <w:r w:rsidR="00472E3A" w:rsidRPr="00472E3A">
              <w:rPr>
                <w:rFonts w:eastAsia="Times New Roman"/>
                <w:position w:val="2"/>
                <w:rtl/>
                <w:lang w:eastAsia="en-US"/>
              </w:rPr>
              <w:t xml:space="preserve">لجنة الدراسات 11 </w:t>
            </w:r>
            <w:r w:rsidR="0062300A">
              <w:rPr>
                <w:rFonts w:eastAsia="Times New Roman" w:hint="cs"/>
                <w:position w:val="2"/>
                <w:rtl/>
                <w:lang w:eastAsia="en-US"/>
              </w:rPr>
              <w:t>ب</w:t>
            </w:r>
            <w:r w:rsidR="00472E3A" w:rsidRPr="00472E3A">
              <w:rPr>
                <w:rFonts w:eastAsia="Times New Roman"/>
                <w:position w:val="2"/>
                <w:rtl/>
                <w:lang w:eastAsia="en-US"/>
              </w:rPr>
              <w:t>قطاع تقييس الاتصالات ونوابه</w:t>
            </w:r>
            <w:r w:rsidRPr="00472E3A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5D240E5D" w14:textId="77777777" w:rsidR="0020166C" w:rsidRPr="00472E3A" w:rsidRDefault="0020166C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472E3A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472E3A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472E3A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4B47E7A4" w14:textId="77777777" w:rsidR="0020166C" w:rsidRPr="00472E3A" w:rsidRDefault="0020166C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472E3A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472E3A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20166C" w:rsidRPr="00D517B2" w14:paraId="0DBBFCAC" w14:textId="77777777" w:rsidTr="00472E3A">
        <w:trPr>
          <w:cantSplit/>
          <w:jc w:val="center"/>
        </w:trPr>
        <w:tc>
          <w:tcPr>
            <w:tcW w:w="810" w:type="pct"/>
          </w:tcPr>
          <w:p w14:paraId="0B562F67" w14:textId="3505A364" w:rsidR="0020166C" w:rsidRDefault="0020166C" w:rsidP="0020166C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الهاتف</w:t>
            </w:r>
            <w:r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688" w:type="pct"/>
          </w:tcPr>
          <w:p w14:paraId="04652C4F" w14:textId="4E8CCDBA" w:rsidR="0020166C" w:rsidRPr="0020166C" w:rsidRDefault="0020166C" w:rsidP="0020166C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20166C">
              <w:rPr>
                <w:position w:val="2"/>
              </w:rPr>
              <w:t>+41 22 730 5780</w:t>
            </w:r>
          </w:p>
        </w:tc>
        <w:tc>
          <w:tcPr>
            <w:tcW w:w="2502" w:type="pct"/>
            <w:vMerge/>
          </w:tcPr>
          <w:p w14:paraId="3861746B" w14:textId="77777777" w:rsidR="0020166C" w:rsidRPr="00D517B2" w:rsidRDefault="0020166C" w:rsidP="0020166C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20166C" w:rsidRPr="00D517B2" w14:paraId="471B27B5" w14:textId="77777777" w:rsidTr="00472E3A">
        <w:trPr>
          <w:cantSplit/>
          <w:jc w:val="center"/>
        </w:trPr>
        <w:tc>
          <w:tcPr>
            <w:tcW w:w="810" w:type="pct"/>
          </w:tcPr>
          <w:p w14:paraId="7FD9171D" w14:textId="77777777" w:rsidR="0020166C" w:rsidRPr="00A9156F" w:rsidRDefault="0020166C" w:rsidP="0020166C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688" w:type="pct"/>
          </w:tcPr>
          <w:p w14:paraId="4658C26C" w14:textId="61E46652" w:rsidR="0020166C" w:rsidRPr="00D517B2" w:rsidRDefault="0020166C" w:rsidP="0020166C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20166C">
              <w:rPr>
                <w:position w:val="2"/>
              </w:rPr>
              <w:t>+41 22 730 5853</w:t>
            </w:r>
          </w:p>
        </w:tc>
        <w:tc>
          <w:tcPr>
            <w:tcW w:w="2502" w:type="pct"/>
            <w:vMerge/>
          </w:tcPr>
          <w:p w14:paraId="5627920F" w14:textId="77777777" w:rsidR="0020166C" w:rsidRPr="00D517B2" w:rsidRDefault="0020166C" w:rsidP="0020166C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20166C" w:rsidRPr="00D517B2" w14:paraId="1E0086E3" w14:textId="77777777" w:rsidTr="00472E3A">
        <w:trPr>
          <w:cantSplit/>
          <w:jc w:val="center"/>
        </w:trPr>
        <w:tc>
          <w:tcPr>
            <w:tcW w:w="810" w:type="pct"/>
          </w:tcPr>
          <w:p w14:paraId="77CF37EC" w14:textId="77777777" w:rsidR="0020166C" w:rsidRPr="00A9156F" w:rsidRDefault="0020166C" w:rsidP="0020166C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688" w:type="pct"/>
          </w:tcPr>
          <w:p w14:paraId="63A14B86" w14:textId="69701187" w:rsidR="0020166C" w:rsidRPr="006E1BAD" w:rsidRDefault="0020166C" w:rsidP="0020166C">
            <w:pPr>
              <w:spacing w:before="80" w:after="60" w:line="30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  <w:hyperlink r:id="rId9" w:history="1">
              <w:r w:rsidRPr="00331796">
                <w:rPr>
                  <w:rStyle w:val="Hyperlink"/>
                  <w:position w:val="2"/>
                </w:rPr>
                <w:t>tsbsg11@itu.int</w:t>
              </w:r>
            </w:hyperlink>
          </w:p>
        </w:tc>
        <w:tc>
          <w:tcPr>
            <w:tcW w:w="2502" w:type="pct"/>
            <w:vMerge/>
          </w:tcPr>
          <w:p w14:paraId="3DDB3802" w14:textId="77777777" w:rsidR="0020166C" w:rsidRPr="00D517B2" w:rsidRDefault="0020166C" w:rsidP="0020166C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20166C" w:rsidRPr="00D517B2" w14:paraId="64055C09" w14:textId="77777777" w:rsidTr="00472E3A">
        <w:trPr>
          <w:cantSplit/>
          <w:jc w:val="center"/>
        </w:trPr>
        <w:tc>
          <w:tcPr>
            <w:tcW w:w="810" w:type="pct"/>
          </w:tcPr>
          <w:p w14:paraId="154363FF" w14:textId="77777777" w:rsidR="0020166C" w:rsidRPr="00A9156F" w:rsidRDefault="0020166C" w:rsidP="0020166C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688" w:type="pct"/>
          </w:tcPr>
          <w:p w14:paraId="555FE396" w14:textId="77777777" w:rsidR="0020166C" w:rsidRPr="00D517B2" w:rsidRDefault="0020166C" w:rsidP="0020166C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502" w:type="pct"/>
          </w:tcPr>
          <w:p w14:paraId="5AAAC2F0" w14:textId="77777777" w:rsidR="0020166C" w:rsidRPr="00D517B2" w:rsidRDefault="0020166C" w:rsidP="0020166C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20166C" w:rsidRPr="00DB4884" w14:paraId="045548C5" w14:textId="77777777" w:rsidTr="001E2788">
        <w:trPr>
          <w:cantSplit/>
          <w:jc w:val="center"/>
        </w:trPr>
        <w:tc>
          <w:tcPr>
            <w:tcW w:w="810" w:type="pct"/>
          </w:tcPr>
          <w:p w14:paraId="3CA89FDC" w14:textId="77777777" w:rsidR="0020166C" w:rsidRPr="00DB4884" w:rsidRDefault="0020166C" w:rsidP="0020166C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DB4884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2C09858D" w14:textId="0E7BAE19" w:rsidR="0020166C" w:rsidRPr="00DB4884" w:rsidRDefault="007B791E" w:rsidP="0020166C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DB4884">
              <w:rPr>
                <w:b/>
                <w:bCs/>
                <w:position w:val="2"/>
                <w:rtl/>
              </w:rPr>
              <w:t>حالة التوصيات</w:t>
            </w:r>
            <w:r w:rsidRPr="00DB4884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DB4884">
              <w:rPr>
                <w:b/>
                <w:bCs/>
                <w:position w:val="2"/>
              </w:rPr>
              <w:t>ITU-T Q.5056</w:t>
            </w:r>
            <w:r w:rsidRPr="00DB4884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DB4884">
              <w:rPr>
                <w:b/>
                <w:bCs/>
                <w:position w:val="2"/>
                <w:rtl/>
              </w:rPr>
              <w:t>و</w:t>
            </w:r>
            <w:r w:rsidRPr="00DB4884">
              <w:rPr>
                <w:b/>
                <w:bCs/>
                <w:position w:val="2"/>
              </w:rPr>
              <w:t>ITU-T Q.5055</w:t>
            </w:r>
            <w:r w:rsidRPr="00DB4884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DB4884">
              <w:rPr>
                <w:b/>
                <w:bCs/>
                <w:position w:val="2"/>
                <w:rtl/>
              </w:rPr>
              <w:t>و</w:t>
            </w:r>
            <w:r w:rsidRPr="00DB4884">
              <w:rPr>
                <w:b/>
                <w:bCs/>
                <w:position w:val="2"/>
              </w:rPr>
              <w:t>ITU-T Q.5010</w:t>
            </w:r>
            <w:r w:rsidRPr="00DB4884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DB4884">
              <w:rPr>
                <w:b/>
                <w:bCs/>
                <w:position w:val="2"/>
                <w:rtl/>
              </w:rPr>
              <w:t xml:space="preserve">بعد اجتماع لجنة </w:t>
            </w:r>
            <w:r w:rsidR="002027DE">
              <w:rPr>
                <w:rFonts w:hint="cs"/>
                <w:b/>
                <w:bCs/>
                <w:position w:val="2"/>
                <w:rtl/>
              </w:rPr>
              <w:t>ال</w:t>
            </w:r>
            <w:r w:rsidRPr="00DB4884">
              <w:rPr>
                <w:b/>
                <w:bCs/>
                <w:position w:val="2"/>
                <w:rtl/>
              </w:rPr>
              <w:t>دراسات 11 بقطاع تقييس الاتصالات (جنيف، 17-26 نوفمبر 2025)</w:t>
            </w:r>
          </w:p>
        </w:tc>
      </w:tr>
    </w:tbl>
    <w:p w14:paraId="56D5592C" w14:textId="77777777" w:rsidR="00D517B2" w:rsidRPr="00DB4884" w:rsidRDefault="00D517B2" w:rsidP="003A281A">
      <w:pPr>
        <w:spacing w:before="480"/>
        <w:rPr>
          <w:lang w:bidi="ar-SY"/>
        </w:rPr>
      </w:pPr>
      <w:r w:rsidRPr="00DB4884">
        <w:rPr>
          <w:rFonts w:hint="cs"/>
          <w:rtl/>
          <w:lang w:bidi="ar-SY"/>
        </w:rPr>
        <w:t>حضرات السادة والسيدات،</w:t>
      </w:r>
    </w:p>
    <w:p w14:paraId="51CAE23F" w14:textId="77777777" w:rsidR="00D517B2" w:rsidRPr="00DB4884" w:rsidRDefault="00D517B2" w:rsidP="00D517B2">
      <w:pPr>
        <w:rPr>
          <w:rtl/>
          <w:lang w:bidi="ar-EG"/>
        </w:rPr>
      </w:pPr>
      <w:r w:rsidRPr="00DB4884">
        <w:rPr>
          <w:rFonts w:hint="cs"/>
          <w:rtl/>
        </w:rPr>
        <w:t>تحية طيبة وبعد،</w:t>
      </w:r>
    </w:p>
    <w:p w14:paraId="21935775" w14:textId="520F0F17" w:rsidR="00DB4884" w:rsidRPr="00DB4884" w:rsidRDefault="00DB4884" w:rsidP="00DB4884">
      <w:pPr>
        <w:rPr>
          <w:lang w:val="ar-SA" w:bidi="ar-SY"/>
        </w:rPr>
      </w:pPr>
      <w:r w:rsidRPr="00DB4884">
        <w:rPr>
          <w:rtl/>
        </w:rPr>
        <w:t>1</w:t>
      </w:r>
      <w:r w:rsidRPr="00DB4884">
        <w:rPr>
          <w:rtl/>
        </w:rPr>
        <w:tab/>
        <w:t>إلحاقا</w:t>
      </w:r>
      <w:r>
        <w:rPr>
          <w:rFonts w:hint="cs"/>
          <w:rtl/>
        </w:rPr>
        <w:t>ً</w:t>
      </w:r>
      <w:r w:rsidRPr="00DB4884">
        <w:rPr>
          <w:rtl/>
        </w:rPr>
        <w:t xml:space="preserve"> </w:t>
      </w:r>
      <w:hyperlink r:id="rId10" w:history="1">
        <w:r w:rsidRPr="0062300A">
          <w:rPr>
            <w:rStyle w:val="Hyperlink"/>
            <w:rtl/>
          </w:rPr>
          <w:t>بالرسالة المعممة 223 لمكتب تقييس الاتصالات</w:t>
        </w:r>
      </w:hyperlink>
      <w:r w:rsidRPr="00DB4884">
        <w:rPr>
          <w:rtl/>
        </w:rPr>
        <w:t xml:space="preserve"> المؤرخة 25 يوليو 2024 و</w:t>
      </w:r>
      <w:hyperlink r:id="rId11" w:history="1">
        <w:r w:rsidRPr="0062300A">
          <w:rPr>
            <w:rStyle w:val="Hyperlink"/>
            <w:rtl/>
          </w:rPr>
          <w:t>الرسالة المعممة 35 لمكتب تقييس الاتصالات</w:t>
        </w:r>
      </w:hyperlink>
      <w:r w:rsidRPr="00DB4884">
        <w:rPr>
          <w:rtl/>
        </w:rPr>
        <w:t xml:space="preserve"> المؤرخة 25 مارس 2025، وعملاً بالفقرة </w:t>
      </w:r>
      <w:r>
        <w:rPr>
          <w:lang w:bidi="ar-SY"/>
        </w:rPr>
        <w:t>5.9</w:t>
      </w:r>
      <w:r w:rsidRPr="00DB4884">
        <w:rPr>
          <w:rtl/>
        </w:rPr>
        <w:t xml:space="preserve"> من القرار 1 (المراج</w:t>
      </w:r>
      <w:r>
        <w:rPr>
          <w:rFonts w:hint="cs"/>
          <w:rtl/>
        </w:rPr>
        <w:t>َ</w:t>
      </w:r>
      <w:r w:rsidRPr="00DB4884">
        <w:rPr>
          <w:rtl/>
        </w:rPr>
        <w:t xml:space="preserve">ع في جنيف، 2022)، أود إبلاغكم بأن لجنة الدراسات 11 توصلت إلى </w:t>
      </w:r>
      <w:r w:rsidR="0062300A">
        <w:rPr>
          <w:rFonts w:hint="cs"/>
          <w:rtl/>
        </w:rPr>
        <w:t>القرارات</w:t>
      </w:r>
      <w:r w:rsidRPr="00DB4884">
        <w:rPr>
          <w:rtl/>
        </w:rPr>
        <w:t xml:space="preserve"> التالية خلال جلساتها العامة المنعقدة في جنيف يومي 17 نوفمبر و26 نوفمبر 2025، بشأن مشاريع نصوص قطاع تقييس الاتصالات التالية:</w:t>
      </w: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3884"/>
        <w:gridCol w:w="4248"/>
      </w:tblGrid>
      <w:tr w:rsidR="00097206" w:rsidRPr="00DB4884" w14:paraId="3887CDE1" w14:textId="77777777" w:rsidTr="0062300A">
        <w:tc>
          <w:tcPr>
            <w:tcW w:w="773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C8ED9AE" w14:textId="77777777" w:rsidR="00DB4884" w:rsidRPr="00F079EA" w:rsidRDefault="00DB4884" w:rsidP="003A281A">
            <w:pPr>
              <w:pStyle w:val="TableHead"/>
              <w:spacing w:before="40" w:after="40" w:line="240" w:lineRule="exact"/>
              <w:rPr>
                <w:position w:val="2"/>
                <w:rtl/>
                <w:lang w:bidi="en-GB"/>
              </w:rPr>
            </w:pPr>
            <w:r w:rsidRPr="00F079EA">
              <w:rPr>
                <w:position w:val="2"/>
                <w:rtl/>
              </w:rPr>
              <w:t>الرقم</w:t>
            </w:r>
          </w:p>
        </w:tc>
        <w:tc>
          <w:tcPr>
            <w:tcW w:w="2019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41A832" w14:textId="77777777" w:rsidR="00DB4884" w:rsidRPr="00F079EA" w:rsidRDefault="00DB4884" w:rsidP="003A281A">
            <w:pPr>
              <w:pStyle w:val="TableHead"/>
              <w:spacing w:before="40" w:after="40" w:line="240" w:lineRule="exact"/>
              <w:rPr>
                <w:position w:val="2"/>
                <w:lang w:val="ar-SA" w:bidi="ar-SY"/>
              </w:rPr>
            </w:pPr>
            <w:r w:rsidRPr="00F079EA">
              <w:rPr>
                <w:position w:val="2"/>
                <w:rtl/>
              </w:rPr>
              <w:t>العنوان</w:t>
            </w:r>
          </w:p>
        </w:tc>
        <w:tc>
          <w:tcPr>
            <w:tcW w:w="220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DE8B04" w14:textId="77777777" w:rsidR="00DB4884" w:rsidRPr="00F079EA" w:rsidRDefault="00DB4884" w:rsidP="003A281A">
            <w:pPr>
              <w:pStyle w:val="TableHead"/>
              <w:spacing w:before="40" w:after="40" w:line="240" w:lineRule="exact"/>
              <w:rPr>
                <w:position w:val="2"/>
                <w:lang w:val="ar-SA" w:bidi="ar-SY"/>
              </w:rPr>
            </w:pPr>
            <w:r w:rsidRPr="00F079EA">
              <w:rPr>
                <w:position w:val="2"/>
                <w:rtl/>
              </w:rPr>
              <w:t>المقرر</w:t>
            </w:r>
          </w:p>
        </w:tc>
      </w:tr>
      <w:tr w:rsidR="00097206" w:rsidRPr="00DB4884" w14:paraId="5B546DBF" w14:textId="77777777" w:rsidTr="0062300A">
        <w:trPr>
          <w:trHeight w:val="133"/>
        </w:trPr>
        <w:tc>
          <w:tcPr>
            <w:tcW w:w="773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CF1F7C5" w14:textId="1E2E4C3E" w:rsidR="00DB4884" w:rsidRPr="00F079EA" w:rsidRDefault="00DB4884" w:rsidP="003A281A">
            <w:pPr>
              <w:pStyle w:val="Tabletexte"/>
              <w:spacing w:before="40" w:after="40"/>
              <w:rPr>
                <w:position w:val="2"/>
                <w:lang w:val="ar-SA"/>
              </w:rPr>
            </w:pPr>
            <w:hyperlink r:id="rId12" w:history="1">
              <w:r w:rsidRPr="00F079EA">
                <w:rPr>
                  <w:rStyle w:val="Hyperlink"/>
                  <w:position w:val="2"/>
                </w:rPr>
                <w:t>ITU-T Q.5056</w:t>
              </w:r>
            </w:hyperlink>
          </w:p>
        </w:tc>
        <w:tc>
          <w:tcPr>
            <w:tcW w:w="201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9BB21E5" w14:textId="2F1E1A1C" w:rsidR="00DB4884" w:rsidRPr="00F079EA" w:rsidRDefault="0062300A" w:rsidP="0062300A">
            <w:pPr>
              <w:pStyle w:val="Tabletexte"/>
              <w:spacing w:before="40" w:after="40"/>
              <w:jc w:val="center"/>
              <w:rPr>
                <w:position w:val="2"/>
              </w:rPr>
            </w:pPr>
            <w:r w:rsidRPr="0062300A">
              <w:rPr>
                <w:position w:val="2"/>
                <w:rtl/>
                <w:lang w:bidi="ar-SA"/>
              </w:rPr>
              <w:t>إطار مكافحة سوء استغلال محتوى الوسائط المتعددة على</w:t>
            </w:r>
            <w:r>
              <w:rPr>
                <w:rFonts w:hint="cs"/>
                <w:position w:val="2"/>
                <w:rtl/>
                <w:lang w:bidi="ar-SA"/>
              </w:rPr>
              <w:t> </w:t>
            </w:r>
            <w:r w:rsidRPr="0062300A">
              <w:rPr>
                <w:position w:val="2"/>
                <w:rtl/>
                <w:lang w:bidi="ar-SA"/>
              </w:rPr>
              <w:t>الإنترنت</w:t>
            </w:r>
          </w:p>
        </w:tc>
        <w:tc>
          <w:tcPr>
            <w:tcW w:w="220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B104C86" w14:textId="77777777" w:rsidR="00DB4884" w:rsidRPr="00F079EA" w:rsidRDefault="00DB4884" w:rsidP="003A281A">
            <w:pPr>
              <w:pStyle w:val="Tabletexte"/>
              <w:spacing w:before="40" w:after="40"/>
              <w:jc w:val="center"/>
              <w:rPr>
                <w:position w:val="2"/>
                <w:lang w:val="ar-SA"/>
              </w:rPr>
            </w:pPr>
            <w:r w:rsidRPr="00F079EA">
              <w:rPr>
                <w:position w:val="2"/>
                <w:rtl/>
                <w:lang w:bidi="ar-SA"/>
              </w:rPr>
              <w:t>أُقرَّت</w:t>
            </w:r>
          </w:p>
        </w:tc>
      </w:tr>
      <w:tr w:rsidR="00097206" w:rsidRPr="00DB4884" w14:paraId="525B820F" w14:textId="77777777" w:rsidTr="0062300A">
        <w:tc>
          <w:tcPr>
            <w:tcW w:w="773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10313A6" w14:textId="1392C323" w:rsidR="00DB4884" w:rsidRPr="00F079EA" w:rsidRDefault="00DB4884" w:rsidP="003A281A">
            <w:pPr>
              <w:pStyle w:val="Tabletexte"/>
              <w:spacing w:before="40" w:after="40"/>
              <w:rPr>
                <w:position w:val="2"/>
                <w:lang w:val="ar-SA"/>
              </w:rPr>
            </w:pPr>
            <w:hyperlink r:id="rId13" w:history="1">
              <w:r w:rsidRPr="00F079EA">
                <w:rPr>
                  <w:rStyle w:val="Hyperlink"/>
                  <w:position w:val="2"/>
                </w:rPr>
                <w:t>ITU-T Q.5055</w:t>
              </w:r>
            </w:hyperlink>
          </w:p>
        </w:tc>
        <w:tc>
          <w:tcPr>
            <w:tcW w:w="201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0328A56" w14:textId="6D258051" w:rsidR="00DB4884" w:rsidRPr="00F079EA" w:rsidRDefault="00DB4884" w:rsidP="003A281A">
            <w:pPr>
              <w:pStyle w:val="Tabletexte"/>
              <w:spacing w:before="40" w:after="40"/>
              <w:jc w:val="center"/>
              <w:rPr>
                <w:position w:val="2"/>
                <w:lang w:bidi="ar-SA"/>
              </w:rPr>
            </w:pPr>
            <w:r w:rsidRPr="00F079EA">
              <w:rPr>
                <w:position w:val="2"/>
                <w:rtl/>
                <w:lang w:bidi="ar-SA"/>
              </w:rPr>
              <w:t xml:space="preserve">المتطلبات التقنية والسطوح البينية والوظائف العامة </w:t>
            </w:r>
            <w:r w:rsidRPr="0062300A">
              <w:rPr>
                <w:position w:val="2"/>
                <w:rtl/>
                <w:lang w:bidi="ar-SA"/>
              </w:rPr>
              <w:t xml:space="preserve">لسجل </w:t>
            </w:r>
            <w:r w:rsidR="002027DE" w:rsidRPr="002027DE">
              <w:rPr>
                <w:rFonts w:hint="cs"/>
                <w:position w:val="2"/>
                <w:rtl/>
                <w:lang w:bidi="ar-SA"/>
              </w:rPr>
              <w:t>هوية المعدات المركزي</w:t>
            </w:r>
            <w:r w:rsidRPr="002027DE">
              <w:rPr>
                <w:position w:val="2"/>
                <w:rtl/>
                <w:lang w:bidi="ar-SA"/>
              </w:rPr>
              <w:t xml:space="preserve"> (</w:t>
            </w:r>
            <w:r w:rsidRPr="002027DE">
              <w:rPr>
                <w:position w:val="2"/>
              </w:rPr>
              <w:t>CEIR</w:t>
            </w:r>
            <w:r w:rsidRPr="00F079EA">
              <w:rPr>
                <w:position w:val="2"/>
                <w:rtl/>
                <w:lang w:bidi="ar-SA"/>
              </w:rPr>
              <w:t>)</w:t>
            </w:r>
          </w:p>
        </w:tc>
        <w:tc>
          <w:tcPr>
            <w:tcW w:w="220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DF1DA96" w14:textId="66D7D66A" w:rsidR="00DB4884" w:rsidRPr="00097206" w:rsidRDefault="00DB4884" w:rsidP="003A281A">
            <w:pPr>
              <w:pStyle w:val="Tabletexte"/>
              <w:spacing w:before="40" w:after="40"/>
              <w:jc w:val="center"/>
              <w:rPr>
                <w:position w:val="2"/>
                <w:lang w:val="ar-SA"/>
              </w:rPr>
            </w:pPr>
            <w:r w:rsidRPr="00097206">
              <w:rPr>
                <w:position w:val="2"/>
                <w:rtl/>
                <w:lang w:bidi="ar-SA"/>
              </w:rPr>
              <w:t>تأجلت الموافقة</w:t>
            </w:r>
            <w:r w:rsidR="00F079EA" w:rsidRPr="00097206">
              <w:rPr>
                <w:position w:val="2"/>
                <w:rtl/>
                <w:lang w:bidi="ar-SA"/>
              </w:rPr>
              <w:br/>
            </w:r>
            <w:r w:rsidRPr="00097206">
              <w:rPr>
                <w:position w:val="2"/>
                <w:rtl/>
                <w:lang w:bidi="ar-SA"/>
              </w:rPr>
              <w:t>حتى انعقاد الاجتماع المقبل للجنة الدراسات 11</w:t>
            </w:r>
            <w:r w:rsidR="0062300A">
              <w:rPr>
                <w:position w:val="2"/>
                <w:rtl/>
                <w:lang w:bidi="ar-SA"/>
              </w:rPr>
              <w:br/>
            </w:r>
            <w:r w:rsidRPr="00097206">
              <w:rPr>
                <w:position w:val="2"/>
                <w:rtl/>
                <w:lang w:bidi="ar-SA"/>
              </w:rPr>
              <w:t>(المقرر عقده في جنيف، في</w:t>
            </w:r>
            <w:r w:rsidR="00F079EA" w:rsidRPr="00097206">
              <w:rPr>
                <w:rFonts w:hint="cs"/>
                <w:position w:val="2"/>
                <w:rtl/>
                <w:lang w:bidi="ar-SA"/>
              </w:rPr>
              <w:t> </w:t>
            </w:r>
            <w:r w:rsidRPr="00097206">
              <w:rPr>
                <w:position w:val="2"/>
                <w:rtl/>
                <w:lang w:bidi="ar-SA"/>
              </w:rPr>
              <w:t xml:space="preserve">الفترة 3-11 مارس </w:t>
            </w:r>
            <w:r w:rsidR="00F079EA" w:rsidRPr="00097206">
              <w:rPr>
                <w:position w:val="2"/>
                <w:lang w:bidi="ar-SA"/>
              </w:rPr>
              <w:t>2026</w:t>
            </w:r>
            <w:r w:rsidRPr="00097206">
              <w:rPr>
                <w:position w:val="2"/>
                <w:rtl/>
                <w:lang w:bidi="ar-SA"/>
              </w:rPr>
              <w:t>)</w:t>
            </w:r>
          </w:p>
        </w:tc>
      </w:tr>
      <w:tr w:rsidR="00097206" w:rsidRPr="00DB4884" w14:paraId="16BED82E" w14:textId="77777777" w:rsidTr="0062300A">
        <w:tc>
          <w:tcPr>
            <w:tcW w:w="773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B9963ED" w14:textId="0054D33C" w:rsidR="00DB4884" w:rsidRPr="00F079EA" w:rsidRDefault="00DB4884" w:rsidP="003A281A">
            <w:pPr>
              <w:pStyle w:val="Tabletexte"/>
              <w:spacing w:before="40" w:after="40"/>
              <w:rPr>
                <w:position w:val="2"/>
                <w:lang w:val="ar-SA"/>
              </w:rPr>
            </w:pPr>
            <w:hyperlink r:id="rId14" w:history="1">
              <w:r w:rsidRPr="00F079EA">
                <w:rPr>
                  <w:rStyle w:val="Hyperlink"/>
                  <w:position w:val="2"/>
                </w:rPr>
                <w:t>ITU-T Q.5010</w:t>
              </w:r>
            </w:hyperlink>
          </w:p>
        </w:tc>
        <w:tc>
          <w:tcPr>
            <w:tcW w:w="201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AFA67B3" w14:textId="64FD3276" w:rsidR="00DB4884" w:rsidRPr="00F079EA" w:rsidRDefault="0062300A" w:rsidP="0062300A">
            <w:pPr>
              <w:pStyle w:val="Tabletexte"/>
              <w:spacing w:before="40" w:after="40"/>
              <w:jc w:val="center"/>
              <w:rPr>
                <w:position w:val="2"/>
                <w:lang w:bidi="ar-SA"/>
              </w:rPr>
            </w:pPr>
            <w:r w:rsidRPr="0062300A">
              <w:rPr>
                <w:position w:val="2"/>
                <w:rtl/>
                <w:lang w:bidi="ar-SA"/>
              </w:rPr>
              <w:t>متطلبات ومعمارية التشوير لبيئة خدمة التنقل الجوي في</w:t>
            </w:r>
            <w:r>
              <w:rPr>
                <w:rFonts w:hint="cs"/>
                <w:position w:val="2"/>
                <w:rtl/>
                <w:lang w:bidi="ar-SA"/>
              </w:rPr>
              <w:t> </w:t>
            </w:r>
            <w:r w:rsidRPr="0062300A">
              <w:rPr>
                <w:position w:val="2"/>
                <w:rtl/>
                <w:lang w:bidi="ar-SA"/>
              </w:rPr>
              <w:t>المناطق الحضرية</w:t>
            </w:r>
          </w:p>
        </w:tc>
        <w:tc>
          <w:tcPr>
            <w:tcW w:w="220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3693910" w14:textId="7EEC8BB4" w:rsidR="00DB4884" w:rsidRPr="00097206" w:rsidRDefault="00DB4884" w:rsidP="003A281A">
            <w:pPr>
              <w:pStyle w:val="Tabletexte"/>
              <w:spacing w:before="40" w:after="40"/>
              <w:jc w:val="center"/>
              <w:rPr>
                <w:position w:val="2"/>
                <w:lang w:val="ar-SA"/>
              </w:rPr>
            </w:pPr>
            <w:r w:rsidRPr="00097206">
              <w:rPr>
                <w:position w:val="2"/>
                <w:rtl/>
                <w:lang w:bidi="ar-SA"/>
              </w:rPr>
              <w:t>تأجلت الموافقة</w:t>
            </w:r>
            <w:r w:rsidR="008246E5" w:rsidRPr="00097206">
              <w:rPr>
                <w:position w:val="2"/>
                <w:rtl/>
                <w:lang w:bidi="ar-SA"/>
              </w:rPr>
              <w:br/>
            </w:r>
            <w:r w:rsidRPr="00097206">
              <w:rPr>
                <w:position w:val="2"/>
                <w:rtl/>
                <w:lang w:bidi="ar-SA"/>
              </w:rPr>
              <w:t>حتى انعقاد الاجتماع المقبل للجنة الدراسات 11</w:t>
            </w:r>
            <w:r w:rsidR="0062300A">
              <w:rPr>
                <w:position w:val="2"/>
                <w:rtl/>
                <w:lang w:bidi="ar-SA"/>
              </w:rPr>
              <w:br/>
            </w:r>
            <w:r w:rsidRPr="00097206">
              <w:rPr>
                <w:position w:val="2"/>
                <w:rtl/>
                <w:lang w:bidi="ar-SA"/>
              </w:rPr>
              <w:t>(المقرر عقده في جنيف، في</w:t>
            </w:r>
            <w:r w:rsidR="008246E5" w:rsidRPr="00097206">
              <w:rPr>
                <w:rFonts w:hint="cs"/>
                <w:position w:val="2"/>
                <w:rtl/>
                <w:lang w:bidi="ar-SA"/>
              </w:rPr>
              <w:t> </w:t>
            </w:r>
            <w:r w:rsidRPr="00097206">
              <w:rPr>
                <w:position w:val="2"/>
                <w:rtl/>
                <w:lang w:bidi="ar-SA"/>
              </w:rPr>
              <w:t xml:space="preserve">الفترة 3-11 مارس </w:t>
            </w:r>
            <w:r w:rsidR="00F079EA" w:rsidRPr="00097206">
              <w:rPr>
                <w:position w:val="2"/>
                <w:lang w:bidi="ar-SA"/>
              </w:rPr>
              <w:t>2026</w:t>
            </w:r>
            <w:r w:rsidRPr="00097206">
              <w:rPr>
                <w:position w:val="2"/>
                <w:rtl/>
                <w:lang w:bidi="ar-SA"/>
              </w:rPr>
              <w:t>)</w:t>
            </w:r>
          </w:p>
        </w:tc>
      </w:tr>
    </w:tbl>
    <w:p w14:paraId="32782D7C" w14:textId="63BB3A4E" w:rsidR="00DB4884" w:rsidRPr="00DB4884" w:rsidRDefault="00DB4884" w:rsidP="003A281A">
      <w:pPr>
        <w:pStyle w:val="Note"/>
        <w:rPr>
          <w:bCs/>
          <w:i/>
          <w:iCs/>
          <w:lang w:val="ar-SA" w:bidi="ar-SY"/>
        </w:rPr>
      </w:pPr>
      <w:r w:rsidRPr="00DB4884">
        <w:rPr>
          <w:i/>
          <w:iCs/>
          <w:rtl/>
        </w:rPr>
        <w:t xml:space="preserve">ملاحظة: عُدِّل عنوان مشروع التوصية </w:t>
      </w:r>
      <w:r w:rsidR="00097206">
        <w:rPr>
          <w:i/>
          <w:iCs/>
        </w:rPr>
        <w:t>ITU-T </w:t>
      </w:r>
      <w:r w:rsidRPr="00DB4884">
        <w:rPr>
          <w:bCs/>
          <w:i/>
          <w:iCs/>
          <w:lang w:bidi="ar-SY"/>
        </w:rPr>
        <w:t>Q.5010</w:t>
      </w:r>
      <w:r>
        <w:rPr>
          <w:rFonts w:hint="cs"/>
          <w:i/>
          <w:iCs/>
          <w:rtl/>
        </w:rPr>
        <w:t xml:space="preserve"> </w:t>
      </w:r>
      <w:r w:rsidRPr="00DB4884">
        <w:rPr>
          <w:i/>
          <w:iCs/>
          <w:rtl/>
        </w:rPr>
        <w:t>خلال اجتماع لجنة الدراسات 11 (جنيف، 17-26 نوفمبر 2025)</w:t>
      </w:r>
    </w:p>
    <w:p w14:paraId="4775C08B" w14:textId="5A1C8D29" w:rsidR="00DB4884" w:rsidRPr="00DB4884" w:rsidRDefault="00DB4884" w:rsidP="00DB4884">
      <w:pPr>
        <w:rPr>
          <w:lang w:val="ar-SA" w:bidi="ar-SY"/>
        </w:rPr>
      </w:pPr>
      <w:r w:rsidRPr="00DB4884">
        <w:rPr>
          <w:rtl/>
        </w:rPr>
        <w:lastRenderedPageBreak/>
        <w:t>2</w:t>
      </w:r>
      <w:r w:rsidRPr="00DB4884">
        <w:rPr>
          <w:rtl/>
        </w:rPr>
        <w:tab/>
        <w:t xml:space="preserve">ويمكن النفاذ إلكترونياً إلى المعلومات المتاحة بشأن البراءات عبر </w:t>
      </w:r>
      <w:hyperlink r:id="rId15" w:history="1">
        <w:r w:rsidRPr="004C4DF2">
          <w:rPr>
            <w:rStyle w:val="Hyperlink"/>
            <w:rtl/>
          </w:rPr>
          <w:t>الموقع الإلكتروني لقطاع تقييس الاتصالات</w:t>
        </w:r>
      </w:hyperlink>
      <w:r w:rsidRPr="00DB4884">
        <w:rPr>
          <w:rtl/>
        </w:rPr>
        <w:t>.</w:t>
      </w:r>
    </w:p>
    <w:p w14:paraId="0B686DD0" w14:textId="5F98514D" w:rsidR="00DB4884" w:rsidRPr="00DB4884" w:rsidRDefault="00DB4884" w:rsidP="00DB4884">
      <w:pPr>
        <w:rPr>
          <w:lang w:val="ar-SA" w:bidi="ar-SY"/>
        </w:rPr>
      </w:pPr>
      <w:r w:rsidRPr="00DB4884">
        <w:rPr>
          <w:rtl/>
        </w:rPr>
        <w:t>3</w:t>
      </w:r>
      <w:r w:rsidRPr="00DB4884">
        <w:rPr>
          <w:rtl/>
        </w:rPr>
        <w:tab/>
        <w:t xml:space="preserve">وسيُتاح نص التوصية </w:t>
      </w:r>
      <w:r w:rsidRPr="00DB4884">
        <w:rPr>
          <w:lang w:bidi="ar-SY"/>
        </w:rPr>
        <w:t>ITU-T</w:t>
      </w:r>
      <w:r w:rsidR="00065E4E">
        <w:rPr>
          <w:lang w:bidi="ar-SY"/>
        </w:rPr>
        <w:t> </w:t>
      </w:r>
      <w:r w:rsidRPr="00DB4884">
        <w:rPr>
          <w:lang w:bidi="ar-SY"/>
        </w:rPr>
        <w:t>Q.5056</w:t>
      </w:r>
      <w:r w:rsidR="00065E4E">
        <w:rPr>
          <w:rFonts w:hint="cs"/>
          <w:rtl/>
          <w:lang w:bidi="ar-SY"/>
        </w:rPr>
        <w:t xml:space="preserve"> </w:t>
      </w:r>
      <w:r w:rsidRPr="00DB4884">
        <w:rPr>
          <w:rtl/>
        </w:rPr>
        <w:t>المنشورة مسبقاً في الموقع الإلكتروني لقطاع تقييس الاتصالات عبر الرابط التالي</w:t>
      </w:r>
      <w:r w:rsidR="00065E4E">
        <w:rPr>
          <w:rFonts w:hint="cs"/>
          <w:rtl/>
          <w:lang w:bidi="ar-SY"/>
        </w:rPr>
        <w:t xml:space="preserve">: </w:t>
      </w:r>
      <w:hyperlink r:id="rId16" w:history="1">
        <w:r w:rsidRPr="00DB4884">
          <w:rPr>
            <w:rStyle w:val="Hyperlink"/>
            <w:lang w:bidi="ar-SY"/>
          </w:rPr>
          <w:t>https://www.itu.int/itu-t/recommendations/</w:t>
        </w:r>
      </w:hyperlink>
      <w:r w:rsidRPr="00DB4884">
        <w:rPr>
          <w:u w:val="single"/>
          <w:rtl/>
        </w:rPr>
        <w:t>.</w:t>
      </w:r>
    </w:p>
    <w:p w14:paraId="40498BD2" w14:textId="51D64171" w:rsidR="00DB4884" w:rsidRPr="00DB4884" w:rsidRDefault="00DB4884" w:rsidP="00DB4884">
      <w:pPr>
        <w:rPr>
          <w:lang w:val="ar-SA" w:bidi="ar-SY"/>
        </w:rPr>
      </w:pPr>
      <w:r w:rsidRPr="00DB4884">
        <w:rPr>
          <w:rtl/>
        </w:rPr>
        <w:t>4</w:t>
      </w:r>
      <w:r w:rsidRPr="00DB4884">
        <w:rPr>
          <w:rtl/>
        </w:rPr>
        <w:tab/>
        <w:t xml:space="preserve">وسينشر الاتحاد في أقرب وقت ممكن نص التوصية </w:t>
      </w:r>
      <w:r w:rsidRPr="00DB4884">
        <w:rPr>
          <w:lang w:bidi="ar-SY"/>
        </w:rPr>
        <w:t>ITU-T</w:t>
      </w:r>
      <w:r w:rsidR="00065E4E">
        <w:rPr>
          <w:lang w:bidi="ar-SY"/>
        </w:rPr>
        <w:t> </w:t>
      </w:r>
      <w:r w:rsidRPr="00DB4884">
        <w:rPr>
          <w:lang w:bidi="ar-SY"/>
        </w:rPr>
        <w:t>Q.5056</w:t>
      </w:r>
      <w:r w:rsidR="00065E4E">
        <w:rPr>
          <w:rFonts w:hint="cs"/>
          <w:rtl/>
          <w:lang w:bidi="ar-SY"/>
        </w:rPr>
        <w:t xml:space="preserve"> </w:t>
      </w:r>
      <w:r w:rsidRPr="00DB4884">
        <w:rPr>
          <w:rtl/>
        </w:rPr>
        <w:t>التي حظيت بالموافقة.</w:t>
      </w:r>
    </w:p>
    <w:p w14:paraId="61ECD386" w14:textId="4A76B364" w:rsidR="00E84438" w:rsidRPr="00D517B2" w:rsidRDefault="00DD3904" w:rsidP="00891703">
      <w:pPr>
        <w:spacing w:before="240"/>
        <w:jc w:val="left"/>
        <w:rPr>
          <w:rtl/>
          <w:lang w:bidi="ar-EG"/>
        </w:rPr>
      </w:pPr>
      <w:r>
        <w:rPr>
          <w:rFonts w:hint="cs"/>
          <w:noProof/>
          <w:rtl/>
          <w:lang w:val="ar-EG" w:bidi="ar-EG"/>
        </w:rPr>
        <w:drawing>
          <wp:anchor distT="0" distB="0" distL="114300" distR="114300" simplePos="0" relativeHeight="251658240" behindDoc="1" locked="0" layoutInCell="1" allowOverlap="1" wp14:anchorId="46CCD839" wp14:editId="4D92D652">
            <wp:simplePos x="0" y="0"/>
            <wp:positionH relativeFrom="column">
              <wp:posOffset>5312410</wp:posOffset>
            </wp:positionH>
            <wp:positionV relativeFrom="paragraph">
              <wp:posOffset>293370</wp:posOffset>
            </wp:positionV>
            <wp:extent cx="768389" cy="368319"/>
            <wp:effectExtent l="0" t="0" r="0" b="0"/>
            <wp:wrapNone/>
            <wp:docPr id="1055929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929960" name="Picture 105592996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438" w:rsidRPr="00D517B2">
        <w:rPr>
          <w:rFonts w:hint="cs"/>
          <w:rtl/>
          <w:lang w:bidi="ar-EG"/>
        </w:rPr>
        <w:t>وتفضلوا بقبول فائق التقدير والاحترام.</w:t>
      </w:r>
    </w:p>
    <w:p w14:paraId="2E77C1F2" w14:textId="24357D0C" w:rsidR="00DD6915" w:rsidRDefault="00807031" w:rsidP="007E447B">
      <w:pPr>
        <w:spacing w:before="720"/>
        <w:jc w:val="left"/>
      </w:pPr>
      <w:r>
        <w:rPr>
          <w:rFonts w:hint="cs"/>
          <w:rtl/>
          <w:lang w:bidi="ar-SY"/>
        </w:rPr>
        <w:t>سيزو أونوي</w:t>
      </w:r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DD6915" w:rsidSect="006C3242">
      <w:headerReference w:type="default" r:id="rId18"/>
      <w:footerReference w:type="first" r:id="rId19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D7F5" w14:textId="77777777" w:rsidR="00A17CD7" w:rsidRDefault="00A17CD7" w:rsidP="006C3242">
      <w:pPr>
        <w:spacing w:before="0" w:line="240" w:lineRule="auto"/>
      </w:pPr>
      <w:r>
        <w:separator/>
      </w:r>
    </w:p>
  </w:endnote>
  <w:endnote w:type="continuationSeparator" w:id="0">
    <w:p w14:paraId="75B199A1" w14:textId="77777777" w:rsidR="00A17CD7" w:rsidRDefault="00A17CD7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22CF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1F21" w14:textId="77777777" w:rsidR="00A17CD7" w:rsidRDefault="00A17CD7" w:rsidP="006C3242">
      <w:pPr>
        <w:spacing w:before="0" w:line="240" w:lineRule="auto"/>
      </w:pPr>
      <w:r>
        <w:separator/>
      </w:r>
    </w:p>
  </w:footnote>
  <w:footnote w:type="continuationSeparator" w:id="0">
    <w:p w14:paraId="6918357B" w14:textId="77777777" w:rsidR="00A17CD7" w:rsidRDefault="00A17CD7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1D6F" w14:textId="068E8C24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DB4884">
      <w:rPr>
        <w:sz w:val="20"/>
        <w:szCs w:val="20"/>
        <w:lang w:bidi="ar-EG"/>
      </w:rPr>
      <w:t>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0181218">
    <w:abstractNumId w:val="9"/>
  </w:num>
  <w:num w:numId="2" w16cid:durableId="376005570">
    <w:abstractNumId w:val="7"/>
  </w:num>
  <w:num w:numId="3" w16cid:durableId="639193220">
    <w:abstractNumId w:val="6"/>
  </w:num>
  <w:num w:numId="4" w16cid:durableId="340160401">
    <w:abstractNumId w:val="5"/>
  </w:num>
  <w:num w:numId="5" w16cid:durableId="109589037">
    <w:abstractNumId w:val="4"/>
  </w:num>
  <w:num w:numId="6" w16cid:durableId="2048142625">
    <w:abstractNumId w:val="8"/>
  </w:num>
  <w:num w:numId="7" w16cid:durableId="1013265783">
    <w:abstractNumId w:val="3"/>
  </w:num>
  <w:num w:numId="8" w16cid:durableId="1496919553">
    <w:abstractNumId w:val="2"/>
  </w:num>
  <w:num w:numId="9" w16cid:durableId="49110613">
    <w:abstractNumId w:val="1"/>
  </w:num>
  <w:num w:numId="10" w16cid:durableId="1100763512">
    <w:abstractNumId w:val="0"/>
  </w:num>
  <w:num w:numId="11" w16cid:durableId="45914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48"/>
    <w:rsid w:val="00002A63"/>
    <w:rsid w:val="0006468A"/>
    <w:rsid w:val="00065E4E"/>
    <w:rsid w:val="00090574"/>
    <w:rsid w:val="00097206"/>
    <w:rsid w:val="000C1C0E"/>
    <w:rsid w:val="000C548A"/>
    <w:rsid w:val="000E327F"/>
    <w:rsid w:val="00146FE2"/>
    <w:rsid w:val="001C0169"/>
    <w:rsid w:val="001C7422"/>
    <w:rsid w:val="001D1D50"/>
    <w:rsid w:val="001D6745"/>
    <w:rsid w:val="001E2788"/>
    <w:rsid w:val="001E446E"/>
    <w:rsid w:val="001F4353"/>
    <w:rsid w:val="0020166C"/>
    <w:rsid w:val="002027DE"/>
    <w:rsid w:val="002154EE"/>
    <w:rsid w:val="002276D2"/>
    <w:rsid w:val="0023283D"/>
    <w:rsid w:val="0026373E"/>
    <w:rsid w:val="00271C43"/>
    <w:rsid w:val="00290728"/>
    <w:rsid w:val="00297858"/>
    <w:rsid w:val="002978F4"/>
    <w:rsid w:val="002B028D"/>
    <w:rsid w:val="002D059F"/>
    <w:rsid w:val="002E196B"/>
    <w:rsid w:val="002E6541"/>
    <w:rsid w:val="00334924"/>
    <w:rsid w:val="003409BC"/>
    <w:rsid w:val="00357185"/>
    <w:rsid w:val="00372F67"/>
    <w:rsid w:val="00383829"/>
    <w:rsid w:val="003A281A"/>
    <w:rsid w:val="003A3046"/>
    <w:rsid w:val="003C7EDF"/>
    <w:rsid w:val="003E6AFA"/>
    <w:rsid w:val="003F4B29"/>
    <w:rsid w:val="00400EC6"/>
    <w:rsid w:val="00422648"/>
    <w:rsid w:val="0042686F"/>
    <w:rsid w:val="004317D8"/>
    <w:rsid w:val="00434183"/>
    <w:rsid w:val="00443869"/>
    <w:rsid w:val="00447F32"/>
    <w:rsid w:val="00472E3A"/>
    <w:rsid w:val="004C4DF2"/>
    <w:rsid w:val="004E11DC"/>
    <w:rsid w:val="00525DDD"/>
    <w:rsid w:val="005409AC"/>
    <w:rsid w:val="0055516A"/>
    <w:rsid w:val="005731DD"/>
    <w:rsid w:val="0058491B"/>
    <w:rsid w:val="00592EA5"/>
    <w:rsid w:val="00595B52"/>
    <w:rsid w:val="00596808"/>
    <w:rsid w:val="005A3170"/>
    <w:rsid w:val="006019C6"/>
    <w:rsid w:val="0062300A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2F0D"/>
    <w:rsid w:val="0074420E"/>
    <w:rsid w:val="00783E26"/>
    <w:rsid w:val="007B791E"/>
    <w:rsid w:val="007C3BC7"/>
    <w:rsid w:val="007C3BCD"/>
    <w:rsid w:val="007D4ACF"/>
    <w:rsid w:val="007E447B"/>
    <w:rsid w:val="007F0787"/>
    <w:rsid w:val="00807031"/>
    <w:rsid w:val="00810B7B"/>
    <w:rsid w:val="0082358A"/>
    <w:rsid w:val="008235CD"/>
    <w:rsid w:val="008246E5"/>
    <w:rsid w:val="008247DE"/>
    <w:rsid w:val="00840B10"/>
    <w:rsid w:val="008513CB"/>
    <w:rsid w:val="008665AC"/>
    <w:rsid w:val="00873469"/>
    <w:rsid w:val="00877F4B"/>
    <w:rsid w:val="00891703"/>
    <w:rsid w:val="008A7F84"/>
    <w:rsid w:val="008B70D5"/>
    <w:rsid w:val="0091702E"/>
    <w:rsid w:val="00923B0C"/>
    <w:rsid w:val="00926F44"/>
    <w:rsid w:val="0094021C"/>
    <w:rsid w:val="0094432F"/>
    <w:rsid w:val="00952F86"/>
    <w:rsid w:val="00982B28"/>
    <w:rsid w:val="009D313F"/>
    <w:rsid w:val="009F17C2"/>
    <w:rsid w:val="00A17CD7"/>
    <w:rsid w:val="00A47A5A"/>
    <w:rsid w:val="00A6683B"/>
    <w:rsid w:val="00A77C90"/>
    <w:rsid w:val="00A9156F"/>
    <w:rsid w:val="00A97F94"/>
    <w:rsid w:val="00AA7EA2"/>
    <w:rsid w:val="00AB0BC9"/>
    <w:rsid w:val="00AF6B5C"/>
    <w:rsid w:val="00B03099"/>
    <w:rsid w:val="00B05BC8"/>
    <w:rsid w:val="00B51A50"/>
    <w:rsid w:val="00B64B47"/>
    <w:rsid w:val="00B916A7"/>
    <w:rsid w:val="00BB0F08"/>
    <w:rsid w:val="00C002DE"/>
    <w:rsid w:val="00C53BF8"/>
    <w:rsid w:val="00C66157"/>
    <w:rsid w:val="00C674FE"/>
    <w:rsid w:val="00C67501"/>
    <w:rsid w:val="00C75633"/>
    <w:rsid w:val="00C844B2"/>
    <w:rsid w:val="00CC3757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5495C"/>
    <w:rsid w:val="00D76170"/>
    <w:rsid w:val="00D77D0F"/>
    <w:rsid w:val="00D84731"/>
    <w:rsid w:val="00DA1CF0"/>
    <w:rsid w:val="00DB4884"/>
    <w:rsid w:val="00DC1E02"/>
    <w:rsid w:val="00DC24B4"/>
    <w:rsid w:val="00DC5FB0"/>
    <w:rsid w:val="00DD1EBB"/>
    <w:rsid w:val="00DD3904"/>
    <w:rsid w:val="00DD6915"/>
    <w:rsid w:val="00DF16DC"/>
    <w:rsid w:val="00E45211"/>
    <w:rsid w:val="00E473C5"/>
    <w:rsid w:val="00E84438"/>
    <w:rsid w:val="00E92863"/>
    <w:rsid w:val="00EB796D"/>
    <w:rsid w:val="00F058DC"/>
    <w:rsid w:val="00F079EA"/>
    <w:rsid w:val="00F24FC4"/>
    <w:rsid w:val="00F2676C"/>
    <w:rsid w:val="00F52941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10EEA"/>
  <w15:chartTrackingRefBased/>
  <w15:docId w15:val="{091602AB-1430-465F-B00A-B0EFEFB1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3A281A"/>
    <w:pPr>
      <w:spacing w:before="80" w:after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720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027DE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ITU-T/workprog/wp_item.aspx?isn=2095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workprog/wp_item.aspx?isn=20971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itu.int/itu-t/recommendation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meetingdoc.asp?lang=en&amp;parent=T25-TSB-CIR-00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4/ipr/search.aspx?sector=ITU&amp;class=PS" TargetMode="External"/><Relationship Id="rId10" Type="http://schemas.openxmlformats.org/officeDocument/2006/relationships/hyperlink" Target="https://www.itu.int/md/T22-TSB-CIR-0223/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Relationship Id="rId14" Type="http://schemas.openxmlformats.org/officeDocument/2006/relationships/hyperlink" Target="https://www.itu.int/ITU-T/workprog/wp_item.aspx?isn=2092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ITU\00%20Template\Arabic%20Templates%202025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17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Arabic_AK</dc:creator>
  <cp:keywords/>
  <dc:description/>
  <cp:lastModifiedBy>Braud, Olivia</cp:lastModifiedBy>
  <cp:revision>5</cp:revision>
  <cp:lastPrinted>2025-12-08T13:19:00Z</cp:lastPrinted>
  <dcterms:created xsi:type="dcterms:W3CDTF">2025-12-02T16:13:00Z</dcterms:created>
  <dcterms:modified xsi:type="dcterms:W3CDTF">2025-12-08T13:19:00Z</dcterms:modified>
</cp:coreProperties>
</file>