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90" w:tblpY="-250"/>
        <w:tblW w:w="10296" w:type="dxa"/>
        <w:tblLayout w:type="fixed"/>
        <w:tblCellMar>
          <w:left w:w="0" w:type="dxa"/>
          <w:right w:w="0" w:type="dxa"/>
        </w:tblCellMar>
        <w:tblLook w:val="0000" w:firstRow="0" w:lastRow="0" w:firstColumn="0" w:lastColumn="0" w:noHBand="0" w:noVBand="0"/>
      </w:tblPr>
      <w:tblGrid>
        <w:gridCol w:w="1083"/>
        <w:gridCol w:w="417"/>
        <w:gridCol w:w="2977"/>
        <w:gridCol w:w="5819"/>
      </w:tblGrid>
      <w:tr w:rsidR="007B6316" w14:paraId="6E14DB54" w14:textId="77777777" w:rsidTr="000C3008">
        <w:trPr>
          <w:cantSplit/>
          <w:trHeight w:val="340"/>
        </w:trPr>
        <w:tc>
          <w:tcPr>
            <w:tcW w:w="1500" w:type="dxa"/>
            <w:gridSpan w:val="2"/>
          </w:tcPr>
          <w:p w14:paraId="5CF539D1" w14:textId="77777777" w:rsidR="007B6316" w:rsidRDefault="007B6316" w:rsidP="000C3008">
            <w:pPr>
              <w:tabs>
                <w:tab w:val="left" w:pos="4111"/>
              </w:tabs>
              <w:spacing w:before="10"/>
              <w:ind w:left="57"/>
              <w:rPr>
                <w:sz w:val="22"/>
              </w:rPr>
            </w:pPr>
            <w:r w:rsidRPr="00F1238A">
              <w:rPr>
                <w:noProof/>
                <w:lang w:val="en-US" w:eastAsia="zh-CN"/>
              </w:rPr>
              <w:drawing>
                <wp:inline distT="0" distB="0" distL="0" distR="0" wp14:anchorId="3E84B4E8" wp14:editId="041D09B1">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46B7E5DC" w14:textId="77777777" w:rsidR="007B6316" w:rsidRPr="00081FE5" w:rsidRDefault="007B6316" w:rsidP="000C3008">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17FA0815" w14:textId="77777777" w:rsidR="007B6316" w:rsidRDefault="007B6316" w:rsidP="000C3008">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0C3008" w14:paraId="21BE460B" w14:textId="77777777" w:rsidTr="000C3008">
        <w:trPr>
          <w:cantSplit/>
          <w:trHeight w:val="596"/>
        </w:trPr>
        <w:tc>
          <w:tcPr>
            <w:tcW w:w="1083" w:type="dxa"/>
          </w:tcPr>
          <w:p w14:paraId="312F0D38" w14:textId="77777777" w:rsidR="007B6316" w:rsidRPr="000C3008" w:rsidRDefault="007B6316" w:rsidP="000C3008">
            <w:pPr>
              <w:tabs>
                <w:tab w:val="left" w:pos="4111"/>
              </w:tabs>
              <w:spacing w:before="10"/>
              <w:ind w:left="57"/>
              <w:rPr>
                <w:b/>
                <w:bCs/>
                <w:sz w:val="22"/>
                <w:szCs w:val="22"/>
              </w:rPr>
            </w:pPr>
          </w:p>
        </w:tc>
        <w:tc>
          <w:tcPr>
            <w:tcW w:w="3394" w:type="dxa"/>
            <w:gridSpan w:val="2"/>
          </w:tcPr>
          <w:p w14:paraId="751ADFCD" w14:textId="77777777" w:rsidR="007B6316" w:rsidRPr="000C3008" w:rsidRDefault="007B6316" w:rsidP="000C3008">
            <w:pPr>
              <w:tabs>
                <w:tab w:val="left" w:pos="4111"/>
              </w:tabs>
              <w:spacing w:before="0"/>
              <w:ind w:left="57"/>
              <w:rPr>
                <w:b/>
                <w:sz w:val="22"/>
                <w:szCs w:val="22"/>
              </w:rPr>
            </w:pPr>
          </w:p>
        </w:tc>
        <w:tc>
          <w:tcPr>
            <w:tcW w:w="5819" w:type="dxa"/>
          </w:tcPr>
          <w:p w14:paraId="2308C019" w14:textId="426D553B" w:rsidR="007B6316" w:rsidRPr="000C3008" w:rsidRDefault="007B6316" w:rsidP="000C3008">
            <w:pPr>
              <w:tabs>
                <w:tab w:val="clear" w:pos="794"/>
                <w:tab w:val="clear" w:pos="1191"/>
                <w:tab w:val="clear" w:pos="1588"/>
                <w:tab w:val="clear" w:pos="1985"/>
                <w:tab w:val="left" w:pos="284"/>
              </w:tabs>
              <w:spacing w:after="120"/>
              <w:ind w:left="284" w:hanging="227"/>
              <w:rPr>
                <w:sz w:val="22"/>
                <w:szCs w:val="22"/>
              </w:rPr>
            </w:pPr>
            <w:r w:rsidRPr="000C3008">
              <w:rPr>
                <w:sz w:val="22"/>
                <w:szCs w:val="22"/>
              </w:rPr>
              <w:t>Ginebra,</w:t>
            </w:r>
            <w:r w:rsidR="00DA133C" w:rsidRPr="000C3008">
              <w:rPr>
                <w:sz w:val="22"/>
                <w:szCs w:val="22"/>
              </w:rPr>
              <w:t xml:space="preserve"> 1 de diciembre de 205</w:t>
            </w:r>
          </w:p>
        </w:tc>
      </w:tr>
      <w:tr w:rsidR="001350B9" w:rsidRPr="000C3008" w14:paraId="76816CFE" w14:textId="77777777" w:rsidTr="000C3008">
        <w:trPr>
          <w:cantSplit/>
          <w:trHeight w:val="340"/>
        </w:trPr>
        <w:tc>
          <w:tcPr>
            <w:tcW w:w="1083" w:type="dxa"/>
          </w:tcPr>
          <w:p w14:paraId="1B91C800" w14:textId="77777777" w:rsidR="001350B9" w:rsidRPr="000C3008" w:rsidRDefault="001350B9" w:rsidP="000C3008">
            <w:pPr>
              <w:tabs>
                <w:tab w:val="left" w:pos="4111"/>
              </w:tabs>
              <w:spacing w:before="10"/>
              <w:ind w:left="57"/>
              <w:rPr>
                <w:sz w:val="22"/>
                <w:szCs w:val="22"/>
              </w:rPr>
            </w:pPr>
            <w:r w:rsidRPr="000C3008">
              <w:rPr>
                <w:sz w:val="22"/>
                <w:szCs w:val="22"/>
              </w:rPr>
              <w:t>Ref.:</w:t>
            </w:r>
          </w:p>
          <w:p w14:paraId="42B25DB9" w14:textId="77777777" w:rsidR="001350B9" w:rsidRPr="000C3008" w:rsidRDefault="001350B9" w:rsidP="000C3008">
            <w:pPr>
              <w:tabs>
                <w:tab w:val="left" w:pos="4111"/>
              </w:tabs>
              <w:spacing w:before="10"/>
              <w:ind w:left="57"/>
              <w:rPr>
                <w:sz w:val="22"/>
                <w:szCs w:val="22"/>
              </w:rPr>
            </w:pPr>
          </w:p>
        </w:tc>
        <w:tc>
          <w:tcPr>
            <w:tcW w:w="3394" w:type="dxa"/>
            <w:gridSpan w:val="2"/>
          </w:tcPr>
          <w:p w14:paraId="4FC2651D" w14:textId="152EDD42" w:rsidR="001350B9" w:rsidRPr="000C3008" w:rsidRDefault="001350B9" w:rsidP="000C3008">
            <w:pPr>
              <w:tabs>
                <w:tab w:val="left" w:pos="4111"/>
              </w:tabs>
              <w:spacing w:before="0"/>
              <w:ind w:left="57"/>
              <w:rPr>
                <w:b/>
                <w:sz w:val="22"/>
                <w:szCs w:val="22"/>
              </w:rPr>
            </w:pPr>
            <w:r w:rsidRPr="000C3008">
              <w:rPr>
                <w:b/>
                <w:sz w:val="22"/>
                <w:szCs w:val="22"/>
              </w:rPr>
              <w:t xml:space="preserve">Circular TSB </w:t>
            </w:r>
            <w:r w:rsidR="00DA133C" w:rsidRPr="000C3008">
              <w:rPr>
                <w:b/>
                <w:sz w:val="22"/>
                <w:szCs w:val="22"/>
              </w:rPr>
              <w:t>94</w:t>
            </w:r>
          </w:p>
          <w:p w14:paraId="7B9FBB10" w14:textId="3FE75690" w:rsidR="001350B9" w:rsidRPr="000C3008" w:rsidRDefault="001350B9" w:rsidP="000C3008">
            <w:pPr>
              <w:tabs>
                <w:tab w:val="left" w:pos="4111"/>
              </w:tabs>
              <w:spacing w:before="0"/>
              <w:ind w:left="57"/>
              <w:rPr>
                <w:sz w:val="22"/>
                <w:szCs w:val="22"/>
              </w:rPr>
            </w:pPr>
            <w:r w:rsidRPr="000C3008">
              <w:rPr>
                <w:sz w:val="22"/>
                <w:szCs w:val="22"/>
              </w:rPr>
              <w:t>C</w:t>
            </w:r>
            <w:r w:rsidR="00DA133C" w:rsidRPr="000C3008">
              <w:rPr>
                <w:sz w:val="22"/>
                <w:szCs w:val="22"/>
              </w:rPr>
              <w:t>E 11</w:t>
            </w:r>
            <w:r w:rsidRPr="000C3008">
              <w:rPr>
                <w:sz w:val="22"/>
                <w:szCs w:val="22"/>
              </w:rPr>
              <w:t>/</w:t>
            </w:r>
            <w:r w:rsidR="00DA133C" w:rsidRPr="000C3008">
              <w:rPr>
                <w:sz w:val="22"/>
                <w:szCs w:val="22"/>
              </w:rPr>
              <w:t>DA</w:t>
            </w:r>
          </w:p>
        </w:tc>
        <w:tc>
          <w:tcPr>
            <w:tcW w:w="5819" w:type="dxa"/>
            <w:vMerge w:val="restart"/>
          </w:tcPr>
          <w:p w14:paraId="7AE18E4D" w14:textId="3D1CCE0F" w:rsidR="00DA133C" w:rsidRPr="000C3008" w:rsidRDefault="001350B9" w:rsidP="000C3008">
            <w:pPr>
              <w:tabs>
                <w:tab w:val="clear" w:pos="794"/>
                <w:tab w:val="clear" w:pos="1191"/>
                <w:tab w:val="clear" w:pos="1588"/>
                <w:tab w:val="clear" w:pos="1985"/>
                <w:tab w:val="left" w:pos="284"/>
              </w:tabs>
              <w:spacing w:before="0" w:after="40"/>
              <w:ind w:left="288" w:hanging="230"/>
              <w:rPr>
                <w:sz w:val="22"/>
                <w:szCs w:val="22"/>
              </w:rPr>
            </w:pPr>
            <w:bookmarkStart w:id="0" w:name="Addressee_S"/>
            <w:bookmarkEnd w:id="0"/>
            <w:r w:rsidRPr="000C3008">
              <w:rPr>
                <w:sz w:val="22"/>
                <w:szCs w:val="22"/>
              </w:rPr>
              <w:t>-</w:t>
            </w:r>
            <w:r w:rsidRPr="000C3008">
              <w:rPr>
                <w:sz w:val="22"/>
                <w:szCs w:val="22"/>
              </w:rPr>
              <w:tab/>
              <w:t>A las Administraciones de los Estados Miembros de la Unión</w:t>
            </w:r>
            <w:r w:rsidR="00DA133C" w:rsidRPr="000C3008">
              <w:rPr>
                <w:sz w:val="22"/>
                <w:szCs w:val="22"/>
              </w:rPr>
              <w:t>;</w:t>
            </w:r>
          </w:p>
          <w:p w14:paraId="1519DB96" w14:textId="1B938DC9" w:rsidR="00DA133C" w:rsidRPr="000C3008" w:rsidRDefault="00DA133C" w:rsidP="000C3008">
            <w:pPr>
              <w:tabs>
                <w:tab w:val="clear" w:pos="794"/>
                <w:tab w:val="clear" w:pos="1191"/>
                <w:tab w:val="clear" w:pos="1588"/>
                <w:tab w:val="clear" w:pos="1985"/>
                <w:tab w:val="left" w:pos="284"/>
              </w:tabs>
              <w:spacing w:before="0" w:after="40"/>
              <w:ind w:left="288" w:hanging="230"/>
              <w:rPr>
                <w:sz w:val="22"/>
                <w:szCs w:val="22"/>
              </w:rPr>
            </w:pPr>
            <w:r w:rsidRPr="000C3008">
              <w:rPr>
                <w:sz w:val="22"/>
                <w:szCs w:val="22"/>
              </w:rPr>
              <w:t>-</w:t>
            </w:r>
            <w:r w:rsidRPr="000C3008">
              <w:rPr>
                <w:sz w:val="22"/>
                <w:szCs w:val="22"/>
              </w:rPr>
              <w:tab/>
              <w:t>Al Estado de Palestina Resolución 99 (Rev. Dubái, 2018)</w:t>
            </w:r>
          </w:p>
          <w:p w14:paraId="06B308CD" w14:textId="2AB65217" w:rsidR="00DA133C" w:rsidRPr="000C3008" w:rsidRDefault="00DA133C" w:rsidP="000C3008">
            <w:pPr>
              <w:tabs>
                <w:tab w:val="clear" w:pos="794"/>
                <w:tab w:val="clear" w:pos="1191"/>
                <w:tab w:val="clear" w:pos="1588"/>
                <w:tab w:val="clear" w:pos="1985"/>
                <w:tab w:val="left" w:pos="284"/>
              </w:tabs>
              <w:spacing w:before="0" w:after="40"/>
              <w:ind w:left="288" w:hanging="230"/>
              <w:rPr>
                <w:b/>
                <w:bCs/>
                <w:sz w:val="22"/>
                <w:szCs w:val="22"/>
              </w:rPr>
            </w:pPr>
            <w:r w:rsidRPr="000C3008">
              <w:rPr>
                <w:b/>
                <w:bCs/>
                <w:sz w:val="22"/>
                <w:szCs w:val="22"/>
              </w:rPr>
              <w:t>Copia:</w:t>
            </w:r>
          </w:p>
          <w:p w14:paraId="4C3D3834" w14:textId="2A36DE0B" w:rsidR="00DA133C" w:rsidRPr="000C3008" w:rsidRDefault="001350B9" w:rsidP="000C3008">
            <w:pPr>
              <w:tabs>
                <w:tab w:val="clear" w:pos="794"/>
                <w:tab w:val="clear" w:pos="1191"/>
                <w:tab w:val="clear" w:pos="1588"/>
                <w:tab w:val="clear" w:pos="1985"/>
                <w:tab w:val="left" w:pos="284"/>
              </w:tabs>
              <w:spacing w:before="0" w:after="40"/>
              <w:ind w:left="288" w:hanging="230"/>
              <w:rPr>
                <w:sz w:val="22"/>
                <w:szCs w:val="22"/>
              </w:rPr>
            </w:pPr>
            <w:r w:rsidRPr="000C3008">
              <w:rPr>
                <w:sz w:val="22"/>
                <w:szCs w:val="22"/>
              </w:rPr>
              <w:t>-</w:t>
            </w:r>
            <w:r w:rsidRPr="000C3008">
              <w:rPr>
                <w:sz w:val="22"/>
                <w:szCs w:val="22"/>
              </w:rPr>
              <w:tab/>
              <w:t>A los Miembros de Sector</w:t>
            </w:r>
            <w:r w:rsidR="00DA133C" w:rsidRPr="000C3008">
              <w:rPr>
                <w:sz w:val="22"/>
                <w:szCs w:val="22"/>
              </w:rPr>
              <w:t xml:space="preserve"> del</w:t>
            </w:r>
            <w:r w:rsidRPr="000C3008">
              <w:rPr>
                <w:sz w:val="22"/>
                <w:szCs w:val="22"/>
              </w:rPr>
              <w:t xml:space="preserve"> UIT</w:t>
            </w:r>
            <w:r w:rsidRPr="000C3008">
              <w:rPr>
                <w:sz w:val="22"/>
                <w:szCs w:val="22"/>
              </w:rPr>
              <w:noBreakHyphen/>
              <w:t>T;</w:t>
            </w:r>
          </w:p>
          <w:p w14:paraId="235CB94A" w14:textId="7A8AD019" w:rsidR="00DA133C" w:rsidRPr="000C3008" w:rsidRDefault="001350B9" w:rsidP="000C3008">
            <w:pPr>
              <w:tabs>
                <w:tab w:val="clear" w:pos="794"/>
                <w:tab w:val="clear" w:pos="1191"/>
                <w:tab w:val="clear" w:pos="1588"/>
                <w:tab w:val="clear" w:pos="1985"/>
                <w:tab w:val="left" w:pos="284"/>
              </w:tabs>
              <w:spacing w:before="0" w:after="40"/>
              <w:ind w:left="288" w:hanging="230"/>
              <w:rPr>
                <w:sz w:val="22"/>
                <w:szCs w:val="22"/>
              </w:rPr>
            </w:pPr>
            <w:r w:rsidRPr="000C3008">
              <w:rPr>
                <w:sz w:val="22"/>
                <w:szCs w:val="22"/>
              </w:rPr>
              <w:t>-</w:t>
            </w:r>
            <w:r w:rsidRPr="000C3008">
              <w:rPr>
                <w:sz w:val="22"/>
                <w:szCs w:val="22"/>
              </w:rPr>
              <w:tab/>
              <w:t>A los Asociados del UIT</w:t>
            </w:r>
            <w:r w:rsidRPr="000C3008">
              <w:rPr>
                <w:sz w:val="22"/>
                <w:szCs w:val="22"/>
              </w:rPr>
              <w:noBreakHyphen/>
              <w:t>T</w:t>
            </w:r>
            <w:r w:rsidR="00DA133C" w:rsidRPr="000C3008">
              <w:rPr>
                <w:sz w:val="22"/>
                <w:szCs w:val="22"/>
              </w:rPr>
              <w:t xml:space="preserve"> de la Comisión de </w:t>
            </w:r>
            <w:proofErr w:type="spellStart"/>
            <w:r w:rsidR="00DA133C" w:rsidRPr="000C3008">
              <w:rPr>
                <w:sz w:val="22"/>
                <w:szCs w:val="22"/>
              </w:rPr>
              <w:t>Estdio</w:t>
            </w:r>
            <w:proofErr w:type="spellEnd"/>
            <w:r w:rsidR="00DA133C" w:rsidRPr="000C3008">
              <w:rPr>
                <w:sz w:val="22"/>
                <w:szCs w:val="22"/>
              </w:rPr>
              <w:t> 11</w:t>
            </w:r>
            <w:r w:rsidRPr="000C3008">
              <w:rPr>
                <w:sz w:val="22"/>
                <w:szCs w:val="22"/>
              </w:rPr>
              <w:t>;</w:t>
            </w:r>
          </w:p>
          <w:p w14:paraId="3E1DD408" w14:textId="37BB94E0" w:rsidR="00DA133C" w:rsidRPr="000C3008" w:rsidRDefault="001350B9" w:rsidP="000C3008">
            <w:pPr>
              <w:tabs>
                <w:tab w:val="clear" w:pos="794"/>
                <w:tab w:val="clear" w:pos="1191"/>
                <w:tab w:val="clear" w:pos="1588"/>
                <w:tab w:val="clear" w:pos="1985"/>
                <w:tab w:val="left" w:pos="284"/>
              </w:tabs>
              <w:spacing w:before="0" w:after="40"/>
              <w:ind w:left="288" w:hanging="230"/>
              <w:rPr>
                <w:sz w:val="22"/>
                <w:szCs w:val="22"/>
              </w:rPr>
            </w:pPr>
            <w:r w:rsidRPr="000C3008">
              <w:rPr>
                <w:sz w:val="22"/>
                <w:szCs w:val="22"/>
              </w:rPr>
              <w:t>-</w:t>
            </w:r>
            <w:r w:rsidRPr="000C3008">
              <w:rPr>
                <w:sz w:val="22"/>
                <w:szCs w:val="22"/>
              </w:rPr>
              <w:tab/>
              <w:t>A las Instituciones Académicas de</w:t>
            </w:r>
            <w:r w:rsidR="00DA133C" w:rsidRPr="000C3008">
              <w:rPr>
                <w:sz w:val="22"/>
                <w:szCs w:val="22"/>
              </w:rPr>
              <w:t xml:space="preserve"> </w:t>
            </w:r>
            <w:r w:rsidRPr="000C3008">
              <w:rPr>
                <w:sz w:val="22"/>
                <w:szCs w:val="22"/>
              </w:rPr>
              <w:t>l</w:t>
            </w:r>
            <w:r w:rsidR="00DA133C" w:rsidRPr="000C3008">
              <w:rPr>
                <w:sz w:val="22"/>
                <w:szCs w:val="22"/>
              </w:rPr>
              <w:t>a</w:t>
            </w:r>
            <w:r w:rsidRPr="000C3008">
              <w:rPr>
                <w:sz w:val="22"/>
                <w:szCs w:val="22"/>
              </w:rPr>
              <w:t xml:space="preserve"> UIT;</w:t>
            </w:r>
          </w:p>
          <w:p w14:paraId="187AE467" w14:textId="15CBA90D" w:rsidR="00DA133C" w:rsidRPr="000C3008" w:rsidRDefault="001350B9" w:rsidP="000C3008">
            <w:pPr>
              <w:tabs>
                <w:tab w:val="clear" w:pos="794"/>
                <w:tab w:val="clear" w:pos="1191"/>
                <w:tab w:val="clear" w:pos="1588"/>
                <w:tab w:val="clear" w:pos="1985"/>
                <w:tab w:val="left" w:pos="284"/>
              </w:tabs>
              <w:spacing w:before="0" w:after="40"/>
              <w:ind w:left="288" w:hanging="230"/>
              <w:rPr>
                <w:sz w:val="22"/>
                <w:szCs w:val="22"/>
              </w:rPr>
            </w:pPr>
            <w:r w:rsidRPr="000C3008">
              <w:rPr>
                <w:sz w:val="22"/>
                <w:szCs w:val="22"/>
              </w:rPr>
              <w:t>-</w:t>
            </w:r>
            <w:r w:rsidRPr="000C3008">
              <w:rPr>
                <w:sz w:val="22"/>
                <w:szCs w:val="22"/>
              </w:rPr>
              <w:tab/>
              <w:t xml:space="preserve">Al </w:t>
            </w:r>
            <w:proofErr w:type="gramStart"/>
            <w:r w:rsidRPr="000C3008">
              <w:rPr>
                <w:sz w:val="22"/>
                <w:szCs w:val="22"/>
              </w:rPr>
              <w:t>Presidente</w:t>
            </w:r>
            <w:proofErr w:type="gramEnd"/>
            <w:r w:rsidRPr="000C3008">
              <w:rPr>
                <w:sz w:val="22"/>
                <w:szCs w:val="22"/>
              </w:rPr>
              <w:t xml:space="preserve"> y a los </w:t>
            </w:r>
            <w:proofErr w:type="gramStart"/>
            <w:r w:rsidRPr="000C3008">
              <w:rPr>
                <w:sz w:val="22"/>
                <w:szCs w:val="22"/>
              </w:rPr>
              <w:t>Vicepresidentes</w:t>
            </w:r>
            <w:proofErr w:type="gramEnd"/>
            <w:r w:rsidRPr="000C3008">
              <w:rPr>
                <w:sz w:val="22"/>
                <w:szCs w:val="22"/>
              </w:rPr>
              <w:t xml:space="preserve"> de la</w:t>
            </w:r>
            <w:r w:rsidR="00DA133C" w:rsidRPr="000C3008">
              <w:rPr>
                <w:sz w:val="22"/>
                <w:szCs w:val="22"/>
              </w:rPr>
              <w:t xml:space="preserve"> </w:t>
            </w:r>
            <w:r w:rsidRPr="000C3008">
              <w:rPr>
                <w:sz w:val="22"/>
                <w:szCs w:val="22"/>
              </w:rPr>
              <w:t>Comisión de Estudio</w:t>
            </w:r>
            <w:r w:rsidR="00DA133C" w:rsidRPr="000C3008">
              <w:rPr>
                <w:sz w:val="22"/>
                <w:szCs w:val="22"/>
              </w:rPr>
              <w:t> 11</w:t>
            </w:r>
            <w:r w:rsidRPr="000C3008">
              <w:rPr>
                <w:sz w:val="22"/>
                <w:szCs w:val="22"/>
              </w:rPr>
              <w:t>;</w:t>
            </w:r>
          </w:p>
          <w:p w14:paraId="4B047555" w14:textId="0A8DF352" w:rsidR="00DA133C" w:rsidRPr="000C3008" w:rsidRDefault="001350B9" w:rsidP="000C3008">
            <w:pPr>
              <w:tabs>
                <w:tab w:val="clear" w:pos="794"/>
                <w:tab w:val="clear" w:pos="1191"/>
                <w:tab w:val="clear" w:pos="1588"/>
                <w:tab w:val="clear" w:pos="1985"/>
                <w:tab w:val="left" w:pos="284"/>
              </w:tabs>
              <w:spacing w:before="0" w:after="40"/>
              <w:ind w:left="288" w:hanging="230"/>
              <w:rPr>
                <w:sz w:val="22"/>
                <w:szCs w:val="22"/>
              </w:rPr>
            </w:pPr>
            <w:r w:rsidRPr="000C3008">
              <w:rPr>
                <w:sz w:val="22"/>
                <w:szCs w:val="22"/>
              </w:rPr>
              <w:t>-</w:t>
            </w:r>
            <w:r w:rsidRPr="000C3008">
              <w:rPr>
                <w:sz w:val="22"/>
                <w:szCs w:val="22"/>
              </w:rPr>
              <w:tab/>
              <w:t xml:space="preserve">Al </w:t>
            </w:r>
            <w:proofErr w:type="gramStart"/>
            <w:r w:rsidRPr="000C3008">
              <w:rPr>
                <w:sz w:val="22"/>
                <w:szCs w:val="22"/>
              </w:rPr>
              <w:t>Director</w:t>
            </w:r>
            <w:proofErr w:type="gramEnd"/>
            <w:r w:rsidRPr="000C3008">
              <w:rPr>
                <w:sz w:val="22"/>
                <w:szCs w:val="22"/>
              </w:rPr>
              <w:t xml:space="preserve"> de la Oficina de Desarrollo de las Telecomunicaciones;</w:t>
            </w:r>
          </w:p>
          <w:p w14:paraId="64539B80" w14:textId="30EB395D" w:rsidR="001350B9" w:rsidRPr="000C3008" w:rsidRDefault="001350B9" w:rsidP="000C3008">
            <w:pPr>
              <w:tabs>
                <w:tab w:val="clear" w:pos="794"/>
                <w:tab w:val="clear" w:pos="1191"/>
                <w:tab w:val="clear" w:pos="1588"/>
                <w:tab w:val="clear" w:pos="1985"/>
                <w:tab w:val="left" w:pos="284"/>
              </w:tabs>
              <w:spacing w:before="0" w:after="40"/>
              <w:ind w:left="288" w:hanging="230"/>
              <w:rPr>
                <w:sz w:val="22"/>
                <w:szCs w:val="22"/>
              </w:rPr>
            </w:pPr>
            <w:r w:rsidRPr="000C3008">
              <w:rPr>
                <w:sz w:val="22"/>
                <w:szCs w:val="22"/>
              </w:rPr>
              <w:t>-</w:t>
            </w:r>
            <w:r w:rsidRPr="000C3008">
              <w:rPr>
                <w:sz w:val="22"/>
                <w:szCs w:val="22"/>
              </w:rPr>
              <w:tab/>
              <w:t xml:space="preserve">Al </w:t>
            </w:r>
            <w:proofErr w:type="gramStart"/>
            <w:r w:rsidRPr="000C3008">
              <w:rPr>
                <w:sz w:val="22"/>
                <w:szCs w:val="22"/>
              </w:rPr>
              <w:t>Director</w:t>
            </w:r>
            <w:proofErr w:type="gramEnd"/>
            <w:r w:rsidRPr="000C3008">
              <w:rPr>
                <w:sz w:val="22"/>
                <w:szCs w:val="22"/>
              </w:rPr>
              <w:t xml:space="preserve"> de la Oficina de Radiocomunicaciones</w:t>
            </w:r>
          </w:p>
        </w:tc>
      </w:tr>
      <w:tr w:rsidR="001350B9" w:rsidRPr="000C3008" w14:paraId="124A2942" w14:textId="77777777" w:rsidTr="000C3008">
        <w:trPr>
          <w:cantSplit/>
        </w:trPr>
        <w:tc>
          <w:tcPr>
            <w:tcW w:w="1083" w:type="dxa"/>
          </w:tcPr>
          <w:p w14:paraId="5E3F30E7" w14:textId="77777777" w:rsidR="001350B9" w:rsidRPr="000C3008" w:rsidRDefault="001350B9" w:rsidP="000C3008">
            <w:pPr>
              <w:tabs>
                <w:tab w:val="left" w:pos="4111"/>
              </w:tabs>
              <w:spacing w:before="10"/>
              <w:ind w:left="57"/>
              <w:rPr>
                <w:sz w:val="22"/>
                <w:szCs w:val="22"/>
              </w:rPr>
            </w:pPr>
            <w:r w:rsidRPr="000C3008">
              <w:rPr>
                <w:sz w:val="22"/>
                <w:szCs w:val="22"/>
              </w:rPr>
              <w:t>Tel.:</w:t>
            </w:r>
          </w:p>
        </w:tc>
        <w:tc>
          <w:tcPr>
            <w:tcW w:w="3394" w:type="dxa"/>
            <w:gridSpan w:val="2"/>
          </w:tcPr>
          <w:p w14:paraId="3943E5A9" w14:textId="4A1241CA" w:rsidR="001350B9" w:rsidRPr="000C3008" w:rsidRDefault="001350B9" w:rsidP="000C3008">
            <w:pPr>
              <w:tabs>
                <w:tab w:val="left" w:pos="4111"/>
              </w:tabs>
              <w:spacing w:before="0"/>
              <w:ind w:left="57"/>
              <w:rPr>
                <w:rStyle w:val="Hyperlink"/>
                <w:sz w:val="22"/>
                <w:szCs w:val="22"/>
              </w:rPr>
            </w:pPr>
            <w:r w:rsidRPr="000C3008">
              <w:rPr>
                <w:sz w:val="22"/>
                <w:szCs w:val="22"/>
              </w:rPr>
              <w:t>+41 22 730</w:t>
            </w:r>
            <w:r w:rsidR="00DA133C" w:rsidRPr="000C3008">
              <w:rPr>
                <w:sz w:val="22"/>
                <w:szCs w:val="22"/>
              </w:rPr>
              <w:t xml:space="preserve"> 5780</w:t>
            </w:r>
          </w:p>
        </w:tc>
        <w:tc>
          <w:tcPr>
            <w:tcW w:w="5819" w:type="dxa"/>
            <w:vMerge/>
          </w:tcPr>
          <w:p w14:paraId="7CCE52C4" w14:textId="77777777" w:rsidR="001350B9" w:rsidRPr="000C3008" w:rsidRDefault="001350B9" w:rsidP="000C3008">
            <w:pPr>
              <w:tabs>
                <w:tab w:val="left" w:pos="226"/>
                <w:tab w:val="left" w:pos="510"/>
              </w:tabs>
              <w:spacing w:before="0"/>
              <w:ind w:left="226" w:hanging="169"/>
              <w:rPr>
                <w:b/>
                <w:sz w:val="22"/>
                <w:szCs w:val="22"/>
              </w:rPr>
            </w:pPr>
          </w:p>
        </w:tc>
      </w:tr>
      <w:tr w:rsidR="001350B9" w:rsidRPr="000C3008" w14:paraId="7C939611" w14:textId="77777777" w:rsidTr="000C3008">
        <w:trPr>
          <w:cantSplit/>
        </w:trPr>
        <w:tc>
          <w:tcPr>
            <w:tcW w:w="1083" w:type="dxa"/>
          </w:tcPr>
          <w:p w14:paraId="421D8CC9" w14:textId="77777777" w:rsidR="001350B9" w:rsidRPr="000C3008" w:rsidRDefault="001350B9" w:rsidP="000C3008">
            <w:pPr>
              <w:tabs>
                <w:tab w:val="left" w:pos="4111"/>
              </w:tabs>
              <w:spacing w:before="10"/>
              <w:ind w:left="57"/>
              <w:rPr>
                <w:sz w:val="22"/>
                <w:szCs w:val="22"/>
              </w:rPr>
            </w:pPr>
            <w:r w:rsidRPr="000C3008">
              <w:rPr>
                <w:sz w:val="22"/>
                <w:szCs w:val="22"/>
              </w:rPr>
              <w:t>Fax:</w:t>
            </w:r>
          </w:p>
        </w:tc>
        <w:tc>
          <w:tcPr>
            <w:tcW w:w="3394" w:type="dxa"/>
            <w:gridSpan w:val="2"/>
          </w:tcPr>
          <w:p w14:paraId="02AEE3A0" w14:textId="77777777" w:rsidR="001350B9" w:rsidRPr="000C3008" w:rsidRDefault="001350B9" w:rsidP="000C3008">
            <w:pPr>
              <w:tabs>
                <w:tab w:val="left" w:pos="4111"/>
              </w:tabs>
              <w:spacing w:before="0"/>
              <w:ind w:left="57"/>
              <w:rPr>
                <w:rStyle w:val="Hyperlink"/>
                <w:sz w:val="22"/>
                <w:szCs w:val="22"/>
              </w:rPr>
            </w:pPr>
            <w:r w:rsidRPr="000C3008">
              <w:rPr>
                <w:sz w:val="22"/>
                <w:szCs w:val="22"/>
              </w:rPr>
              <w:t>+41 22 730 5853</w:t>
            </w:r>
          </w:p>
        </w:tc>
        <w:tc>
          <w:tcPr>
            <w:tcW w:w="5819" w:type="dxa"/>
            <w:vMerge/>
          </w:tcPr>
          <w:p w14:paraId="0A5F141F" w14:textId="77777777" w:rsidR="001350B9" w:rsidRPr="000C3008" w:rsidRDefault="001350B9" w:rsidP="000C3008">
            <w:pPr>
              <w:tabs>
                <w:tab w:val="left" w:pos="226"/>
                <w:tab w:val="left" w:pos="510"/>
              </w:tabs>
              <w:spacing w:before="0"/>
              <w:ind w:left="226" w:hanging="169"/>
              <w:rPr>
                <w:b/>
                <w:sz w:val="22"/>
                <w:szCs w:val="22"/>
              </w:rPr>
            </w:pPr>
          </w:p>
        </w:tc>
      </w:tr>
      <w:tr w:rsidR="001350B9" w:rsidRPr="000C3008" w14:paraId="70698074" w14:textId="77777777" w:rsidTr="000C3008">
        <w:trPr>
          <w:cantSplit/>
          <w:trHeight w:val="2306"/>
        </w:trPr>
        <w:tc>
          <w:tcPr>
            <w:tcW w:w="1083" w:type="dxa"/>
          </w:tcPr>
          <w:p w14:paraId="44F112D6" w14:textId="77777777" w:rsidR="001350B9" w:rsidRPr="000C3008" w:rsidRDefault="001350B9" w:rsidP="000C3008">
            <w:pPr>
              <w:tabs>
                <w:tab w:val="left" w:pos="4111"/>
              </w:tabs>
              <w:spacing w:before="10"/>
              <w:ind w:left="57"/>
              <w:rPr>
                <w:sz w:val="22"/>
                <w:szCs w:val="22"/>
              </w:rPr>
            </w:pPr>
            <w:r w:rsidRPr="000C3008">
              <w:rPr>
                <w:sz w:val="22"/>
                <w:szCs w:val="22"/>
              </w:rPr>
              <w:t>Correo-e:</w:t>
            </w:r>
          </w:p>
        </w:tc>
        <w:tc>
          <w:tcPr>
            <w:tcW w:w="3394" w:type="dxa"/>
            <w:gridSpan w:val="2"/>
          </w:tcPr>
          <w:p w14:paraId="6F6C726F" w14:textId="0358C3A1" w:rsidR="001350B9" w:rsidRPr="000C3008" w:rsidRDefault="00DA133C" w:rsidP="000C3008">
            <w:pPr>
              <w:tabs>
                <w:tab w:val="left" w:pos="4111"/>
              </w:tabs>
              <w:spacing w:before="0"/>
              <w:ind w:left="57"/>
              <w:rPr>
                <w:sz w:val="22"/>
                <w:szCs w:val="22"/>
              </w:rPr>
            </w:pPr>
            <w:hyperlink r:id="rId9" w:history="1">
              <w:r w:rsidRPr="000C3008">
                <w:rPr>
                  <w:rStyle w:val="Hyperlink"/>
                  <w:sz w:val="22"/>
                  <w:szCs w:val="22"/>
                </w:rPr>
                <w:t>tsbsg11@itu.int</w:t>
              </w:r>
            </w:hyperlink>
          </w:p>
        </w:tc>
        <w:tc>
          <w:tcPr>
            <w:tcW w:w="5819" w:type="dxa"/>
            <w:vMerge/>
          </w:tcPr>
          <w:p w14:paraId="2E6EEC3C" w14:textId="77777777" w:rsidR="001350B9" w:rsidRPr="000C3008" w:rsidRDefault="001350B9" w:rsidP="000C3008">
            <w:pPr>
              <w:tabs>
                <w:tab w:val="clear" w:pos="794"/>
                <w:tab w:val="clear" w:pos="1191"/>
                <w:tab w:val="clear" w:pos="1588"/>
                <w:tab w:val="clear" w:pos="1985"/>
                <w:tab w:val="left" w:pos="226"/>
                <w:tab w:val="left" w:pos="510"/>
              </w:tabs>
              <w:spacing w:before="0"/>
              <w:ind w:left="226" w:hanging="169"/>
              <w:rPr>
                <w:sz w:val="22"/>
                <w:szCs w:val="22"/>
              </w:rPr>
            </w:pPr>
          </w:p>
        </w:tc>
      </w:tr>
      <w:tr w:rsidR="007B6316" w:rsidRPr="000C3008" w14:paraId="7E476A5B" w14:textId="77777777" w:rsidTr="000C3008">
        <w:trPr>
          <w:cantSplit/>
        </w:trPr>
        <w:tc>
          <w:tcPr>
            <w:tcW w:w="1083" w:type="dxa"/>
          </w:tcPr>
          <w:p w14:paraId="2A81E118" w14:textId="77777777" w:rsidR="007B6316" w:rsidRPr="000C3008" w:rsidRDefault="007B6316" w:rsidP="000C3008">
            <w:pPr>
              <w:tabs>
                <w:tab w:val="left" w:pos="4111"/>
              </w:tabs>
              <w:spacing w:before="10"/>
              <w:ind w:left="57"/>
              <w:rPr>
                <w:sz w:val="22"/>
                <w:szCs w:val="22"/>
              </w:rPr>
            </w:pPr>
            <w:r w:rsidRPr="000C3008">
              <w:rPr>
                <w:b/>
                <w:bCs/>
                <w:sz w:val="22"/>
                <w:szCs w:val="22"/>
              </w:rPr>
              <w:t>Asunto</w:t>
            </w:r>
            <w:r w:rsidRPr="000C3008">
              <w:rPr>
                <w:sz w:val="22"/>
                <w:szCs w:val="22"/>
              </w:rPr>
              <w:t>:</w:t>
            </w:r>
          </w:p>
        </w:tc>
        <w:tc>
          <w:tcPr>
            <w:tcW w:w="9213" w:type="dxa"/>
            <w:gridSpan w:val="3"/>
          </w:tcPr>
          <w:p w14:paraId="53A50F43" w14:textId="42ABA2EA" w:rsidR="007B6316" w:rsidRPr="000C3008" w:rsidRDefault="00DA133C" w:rsidP="000C3008">
            <w:pPr>
              <w:tabs>
                <w:tab w:val="left" w:pos="4111"/>
              </w:tabs>
              <w:spacing w:before="0"/>
              <w:rPr>
                <w:b/>
                <w:sz w:val="22"/>
                <w:szCs w:val="22"/>
              </w:rPr>
            </w:pPr>
            <w:r w:rsidRPr="000C3008">
              <w:rPr>
                <w:b/>
                <w:bCs/>
                <w:color w:val="000000"/>
                <w:sz w:val="22"/>
                <w:szCs w:val="22"/>
                <w:lang w:val="es-ES"/>
              </w:rPr>
              <w:t xml:space="preserve">Consulta a los Estados Miembros sobre los proyectos de Recomendaciones determinadas UIT-T Q.5036 (antes Q.IEC-PDMF) y UIT-T Q.5015 (antes </w:t>
            </w:r>
            <w:proofErr w:type="spellStart"/>
            <w:r w:rsidRPr="000C3008">
              <w:rPr>
                <w:b/>
                <w:bCs/>
                <w:color w:val="000000"/>
                <w:sz w:val="22"/>
                <w:szCs w:val="22"/>
                <w:lang w:val="es-ES"/>
              </w:rPr>
              <w:t>Q.cco-mec</w:t>
            </w:r>
            <w:proofErr w:type="spellEnd"/>
            <w:r w:rsidRPr="000C3008">
              <w:rPr>
                <w:b/>
                <w:bCs/>
                <w:color w:val="000000"/>
                <w:sz w:val="22"/>
                <w:szCs w:val="22"/>
                <w:lang w:val="es-ES"/>
              </w:rPr>
              <w:t>) propuestos para aprobación en la reunión de la Comisión de Estudio 11 del UIT-T (prevista en Ginebra, del 3 al 11 de marzo de 2026)</w:t>
            </w:r>
          </w:p>
        </w:tc>
      </w:tr>
    </w:tbl>
    <w:p w14:paraId="14C83047" w14:textId="36C91D2A" w:rsidR="00C34772" w:rsidRPr="000C3008" w:rsidRDefault="00C34772" w:rsidP="000C3008">
      <w:pPr>
        <w:rPr>
          <w:sz w:val="22"/>
          <w:szCs w:val="22"/>
        </w:rPr>
      </w:pPr>
      <w:bookmarkStart w:id="1" w:name="StartTyping_S"/>
      <w:bookmarkStart w:id="2" w:name="suitetext"/>
      <w:bookmarkStart w:id="3" w:name="text"/>
      <w:bookmarkEnd w:id="1"/>
      <w:bookmarkEnd w:id="2"/>
      <w:bookmarkEnd w:id="3"/>
      <w:r w:rsidRPr="000C3008">
        <w:rPr>
          <w:sz w:val="22"/>
          <w:szCs w:val="22"/>
        </w:rPr>
        <w:t>Muy Señora mía/Muy Señor mío</w:t>
      </w:r>
      <w:r w:rsidR="000C3008" w:rsidRPr="000C3008">
        <w:rPr>
          <w:sz w:val="22"/>
          <w:szCs w:val="22"/>
        </w:rPr>
        <w:t>,</w:t>
      </w:r>
    </w:p>
    <w:p w14:paraId="5EF0DA26" w14:textId="2D585B4E" w:rsidR="007B6316" w:rsidRPr="000C3008" w:rsidRDefault="00DA133C" w:rsidP="007B6316">
      <w:pPr>
        <w:rPr>
          <w:sz w:val="22"/>
          <w:szCs w:val="22"/>
          <w:lang w:val="es-ES"/>
        </w:rPr>
      </w:pPr>
      <w:r w:rsidRPr="000C3008">
        <w:rPr>
          <w:sz w:val="22"/>
          <w:szCs w:val="22"/>
          <w:lang w:val="es-ES"/>
        </w:rPr>
        <w:t>1</w:t>
      </w:r>
      <w:r w:rsidRPr="000C3008">
        <w:rPr>
          <w:sz w:val="22"/>
          <w:szCs w:val="22"/>
          <w:lang w:val="es-ES"/>
        </w:rPr>
        <w:tab/>
      </w:r>
      <w:proofErr w:type="gramStart"/>
      <w:r w:rsidRPr="000C3008">
        <w:rPr>
          <w:sz w:val="22"/>
          <w:szCs w:val="22"/>
          <w:lang w:val="es-ES"/>
        </w:rPr>
        <w:t>La</w:t>
      </w:r>
      <w:proofErr w:type="gramEnd"/>
      <w:r w:rsidRPr="000C3008">
        <w:rPr>
          <w:sz w:val="22"/>
          <w:szCs w:val="22"/>
          <w:lang w:val="es-ES"/>
        </w:rPr>
        <w:t xml:space="preserve"> Comisión de Estudio 11 (Requisitos de señalización, protocolos, especificaciones de pruebas y lucha contra la falsificación de dispositivos de telecomunicaciones/TIC) tiene previsto aplicar el procedimiento de aprobación tradicional descrito en la Sección 9 de la Resolución</w:t>
      </w:r>
      <w:r w:rsidR="009F31D1" w:rsidRPr="000C3008">
        <w:rPr>
          <w:sz w:val="22"/>
          <w:szCs w:val="22"/>
          <w:lang w:val="es-ES"/>
        </w:rPr>
        <w:t> </w:t>
      </w:r>
      <w:r w:rsidRPr="000C3008">
        <w:rPr>
          <w:sz w:val="22"/>
          <w:szCs w:val="22"/>
          <w:lang w:val="es-ES"/>
        </w:rPr>
        <w:t>1 (Rev.</w:t>
      </w:r>
      <w:r w:rsidR="009F31D1" w:rsidRPr="000C3008">
        <w:rPr>
          <w:sz w:val="22"/>
          <w:szCs w:val="22"/>
          <w:lang w:val="es-ES"/>
        </w:rPr>
        <w:t> </w:t>
      </w:r>
      <w:r w:rsidRPr="000C3008">
        <w:rPr>
          <w:sz w:val="22"/>
          <w:szCs w:val="22"/>
          <w:lang w:val="es-ES"/>
        </w:rPr>
        <w:t>Ginebra, 2022) de la AMNT para la aprobación de los proyectos de Recomendaciones mencionados en su próxima reunión prevista en Ginebra, del 3-11 de marzo de 2026. El orden del día y toda la información pertinente sobre la reunión de la Comisión de Estudio 11 del UIT</w:t>
      </w:r>
      <w:r w:rsidR="009F31D1" w:rsidRPr="000C3008">
        <w:rPr>
          <w:sz w:val="22"/>
          <w:szCs w:val="22"/>
          <w:lang w:val="es-ES"/>
        </w:rPr>
        <w:noBreakHyphen/>
      </w:r>
      <w:r w:rsidRPr="000C3008">
        <w:rPr>
          <w:sz w:val="22"/>
          <w:szCs w:val="22"/>
          <w:lang w:val="es-ES"/>
        </w:rPr>
        <w:t>T se publicarán a su debido tiempo.</w:t>
      </w:r>
    </w:p>
    <w:p w14:paraId="1E4C2FCD" w14:textId="0CD05C79" w:rsidR="00DA133C" w:rsidRPr="000C3008" w:rsidRDefault="00DA133C" w:rsidP="007B6316">
      <w:pPr>
        <w:rPr>
          <w:sz w:val="22"/>
          <w:szCs w:val="22"/>
          <w:lang w:val="es-ES"/>
        </w:rPr>
      </w:pPr>
      <w:r w:rsidRPr="000C3008">
        <w:rPr>
          <w:sz w:val="22"/>
          <w:szCs w:val="22"/>
          <w:lang w:val="es-ES"/>
        </w:rPr>
        <w:t>2</w:t>
      </w:r>
      <w:r w:rsidRPr="000C3008">
        <w:rPr>
          <w:sz w:val="22"/>
          <w:szCs w:val="22"/>
          <w:lang w:val="es-ES"/>
        </w:rPr>
        <w:tab/>
      </w:r>
      <w:proofErr w:type="gramStart"/>
      <w:r w:rsidRPr="000C3008">
        <w:rPr>
          <w:sz w:val="22"/>
          <w:szCs w:val="22"/>
          <w:lang w:val="es-ES"/>
        </w:rPr>
        <w:t>El</w:t>
      </w:r>
      <w:proofErr w:type="gramEnd"/>
      <w:r w:rsidRPr="000C3008">
        <w:rPr>
          <w:sz w:val="22"/>
          <w:szCs w:val="22"/>
          <w:lang w:val="es-ES"/>
        </w:rPr>
        <w:t xml:space="preserve"> </w:t>
      </w:r>
      <w:r w:rsidRPr="000C3008">
        <w:rPr>
          <w:b/>
          <w:bCs/>
          <w:sz w:val="22"/>
          <w:szCs w:val="22"/>
          <w:lang w:val="es-ES"/>
        </w:rPr>
        <w:t>Anexo 1</w:t>
      </w:r>
      <w:r w:rsidRPr="000C3008">
        <w:rPr>
          <w:sz w:val="22"/>
          <w:szCs w:val="22"/>
          <w:lang w:val="es-ES"/>
        </w:rPr>
        <w:t xml:space="preserve"> contiene los títulos, resúmenes y ubicaciones de los proyectos de Recomendación UIT-T propuestos para aprobación.</w:t>
      </w:r>
    </w:p>
    <w:p w14:paraId="04ECE6FF" w14:textId="66FDF196" w:rsidR="00DA133C" w:rsidRPr="000C3008" w:rsidRDefault="00DA133C" w:rsidP="007B6316">
      <w:pPr>
        <w:rPr>
          <w:sz w:val="22"/>
          <w:szCs w:val="22"/>
          <w:lang w:val="es-ES"/>
        </w:rPr>
      </w:pPr>
      <w:r w:rsidRPr="000C3008">
        <w:rPr>
          <w:sz w:val="22"/>
          <w:szCs w:val="22"/>
          <w:lang w:val="es-ES"/>
        </w:rPr>
        <w:t>3</w:t>
      </w:r>
      <w:r w:rsidRPr="000C3008">
        <w:rPr>
          <w:sz w:val="22"/>
          <w:szCs w:val="22"/>
          <w:lang w:val="es-ES"/>
        </w:rPr>
        <w:tab/>
      </w:r>
      <w:proofErr w:type="gramStart"/>
      <w:r w:rsidRPr="000C3008">
        <w:rPr>
          <w:sz w:val="22"/>
          <w:szCs w:val="22"/>
          <w:lang w:val="es-ES"/>
        </w:rPr>
        <w:t>Con</w:t>
      </w:r>
      <w:proofErr w:type="gramEnd"/>
      <w:r w:rsidRPr="000C3008">
        <w:rPr>
          <w:sz w:val="22"/>
          <w:szCs w:val="22"/>
          <w:lang w:val="es-ES"/>
        </w:rPr>
        <w:t xml:space="preserve"> esta Circular se inicia la consulta oficial con los Estados Miembros de la UIT sobre si estos textos pueden considerarse para aprobación en la próxima reunión, de acuerdo con la cláusula</w:t>
      </w:r>
      <w:r w:rsidR="009F31D1" w:rsidRPr="000C3008">
        <w:rPr>
          <w:sz w:val="22"/>
          <w:szCs w:val="22"/>
          <w:lang w:val="es-ES"/>
        </w:rPr>
        <w:t> </w:t>
      </w:r>
      <w:r w:rsidRPr="000C3008">
        <w:rPr>
          <w:sz w:val="22"/>
          <w:szCs w:val="22"/>
          <w:lang w:val="es-ES"/>
        </w:rPr>
        <w:t>9.4 de la Resolución</w:t>
      </w:r>
      <w:r w:rsidR="009F31D1" w:rsidRPr="000C3008">
        <w:rPr>
          <w:sz w:val="22"/>
          <w:szCs w:val="22"/>
          <w:lang w:val="es-ES"/>
        </w:rPr>
        <w:t> </w:t>
      </w:r>
      <w:r w:rsidRPr="000C3008">
        <w:rPr>
          <w:sz w:val="22"/>
          <w:szCs w:val="22"/>
          <w:lang w:val="es-ES"/>
        </w:rPr>
        <w:t xml:space="preserve">1. Se ruega a los Estados Miembros que completen y devuelvan el formulario del </w:t>
      </w:r>
      <w:r w:rsidRPr="000C3008">
        <w:rPr>
          <w:b/>
          <w:bCs/>
          <w:sz w:val="22"/>
          <w:szCs w:val="22"/>
          <w:lang w:val="es-ES"/>
        </w:rPr>
        <w:t>Anexo 2</w:t>
      </w:r>
      <w:r w:rsidRPr="000C3008">
        <w:rPr>
          <w:sz w:val="22"/>
          <w:szCs w:val="22"/>
          <w:lang w:val="es-ES"/>
        </w:rPr>
        <w:t xml:space="preserve"> antes de las 23.59 horas UTC del </w:t>
      </w:r>
      <w:r w:rsidRPr="000C3008">
        <w:rPr>
          <w:b/>
          <w:bCs/>
          <w:sz w:val="22"/>
          <w:szCs w:val="22"/>
          <w:lang w:val="es-ES"/>
        </w:rPr>
        <w:t>19 de febrero de 2026</w:t>
      </w:r>
      <w:r w:rsidRPr="000C3008">
        <w:rPr>
          <w:sz w:val="22"/>
          <w:szCs w:val="22"/>
          <w:lang w:val="es-ES"/>
        </w:rPr>
        <w:t>.</w:t>
      </w:r>
    </w:p>
    <w:p w14:paraId="6A23364F" w14:textId="7B397B71" w:rsidR="00DA133C" w:rsidRPr="000C3008" w:rsidRDefault="00DA133C" w:rsidP="007B6316">
      <w:pPr>
        <w:rPr>
          <w:sz w:val="22"/>
          <w:szCs w:val="22"/>
          <w:lang w:val="es-ES"/>
        </w:rPr>
      </w:pPr>
      <w:bookmarkStart w:id="4" w:name="_Hlk172722338"/>
      <w:r w:rsidRPr="000C3008">
        <w:rPr>
          <w:sz w:val="22"/>
          <w:szCs w:val="22"/>
          <w:lang w:val="es-ES"/>
        </w:rPr>
        <w:t>4</w:t>
      </w:r>
      <w:r w:rsidRPr="000C3008">
        <w:rPr>
          <w:sz w:val="22"/>
          <w:szCs w:val="22"/>
          <w:lang w:val="es-ES"/>
        </w:rPr>
        <w:tab/>
      </w:r>
      <w:proofErr w:type="gramStart"/>
      <w:r w:rsidRPr="000C3008">
        <w:rPr>
          <w:sz w:val="22"/>
          <w:szCs w:val="22"/>
          <w:lang w:val="es-ES"/>
        </w:rPr>
        <w:t>Si</w:t>
      </w:r>
      <w:proofErr w:type="gramEnd"/>
      <w:r w:rsidRPr="000C3008">
        <w:rPr>
          <w:sz w:val="22"/>
          <w:szCs w:val="22"/>
          <w:lang w:val="es-ES"/>
        </w:rPr>
        <w:t xml:space="preserve"> el 70 % como mínimo de las respuestas de los Estados Miembros es favorable a que se considere la aprobación, se dedicará una sesión plenaria a la aplicación del procedimiento de aprobación. Los Estados Miembros que no otorguen autoridad para proceder deben informar al </w:t>
      </w:r>
      <w:proofErr w:type="gramStart"/>
      <w:r w:rsidRPr="000C3008">
        <w:rPr>
          <w:sz w:val="22"/>
          <w:szCs w:val="22"/>
          <w:lang w:val="es-ES"/>
        </w:rPr>
        <w:t>Director</w:t>
      </w:r>
      <w:proofErr w:type="gramEnd"/>
      <w:r w:rsidRPr="000C3008">
        <w:rPr>
          <w:sz w:val="22"/>
          <w:szCs w:val="22"/>
          <w:lang w:val="es-ES"/>
        </w:rPr>
        <w:t xml:space="preserve"> de la TSB de los motivos de su decisión e indicar los posibles cambios que harían posible el avance de los trabajos.</w:t>
      </w:r>
      <w:bookmarkEnd w:id="4"/>
    </w:p>
    <w:p w14:paraId="36CA2F7F" w14:textId="597AF362" w:rsidR="007B6316" w:rsidRPr="000C3008" w:rsidRDefault="007B6316" w:rsidP="007B6316">
      <w:pPr>
        <w:rPr>
          <w:sz w:val="22"/>
          <w:szCs w:val="22"/>
        </w:rPr>
      </w:pPr>
      <w:r w:rsidRPr="000C3008">
        <w:rPr>
          <w:sz w:val="22"/>
          <w:szCs w:val="22"/>
        </w:rPr>
        <w:t>Atentamente,</w:t>
      </w:r>
    </w:p>
    <w:p w14:paraId="0C87C205" w14:textId="38A0B647" w:rsidR="007B6316" w:rsidRPr="000C3008" w:rsidRDefault="00F665D2" w:rsidP="000C3008">
      <w:pPr>
        <w:spacing w:before="720"/>
        <w:rPr>
          <w:sz w:val="22"/>
          <w:szCs w:val="22"/>
        </w:rPr>
      </w:pPr>
      <w:r>
        <w:rPr>
          <w:rFonts w:cstheme="minorHAnsi"/>
          <w:noProof/>
          <w:sz w:val="22"/>
          <w:szCs w:val="22"/>
          <w:lang w:val="es-ES"/>
        </w:rPr>
        <w:drawing>
          <wp:anchor distT="0" distB="0" distL="114300" distR="114300" simplePos="0" relativeHeight="251658240" behindDoc="1" locked="0" layoutInCell="1" allowOverlap="1" wp14:anchorId="054238AA" wp14:editId="087D9A10">
            <wp:simplePos x="0" y="0"/>
            <wp:positionH relativeFrom="margin">
              <wp:align>left</wp:align>
            </wp:positionH>
            <wp:positionV relativeFrom="paragraph">
              <wp:posOffset>58420</wp:posOffset>
            </wp:positionV>
            <wp:extent cx="825500" cy="330200"/>
            <wp:effectExtent l="0" t="0" r="0" b="0"/>
            <wp:wrapNone/>
            <wp:docPr id="3507867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8675" name="Picture 2" descr="A black text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350B9" w:rsidRPr="000C3008">
        <w:rPr>
          <w:rFonts w:cstheme="minorHAnsi"/>
          <w:sz w:val="22"/>
          <w:szCs w:val="22"/>
          <w:lang w:val="es-ES"/>
        </w:rPr>
        <w:t>Seizo Onoe</w:t>
      </w:r>
      <w:r w:rsidR="007B6316" w:rsidRPr="000C3008">
        <w:rPr>
          <w:sz w:val="22"/>
          <w:szCs w:val="22"/>
        </w:rPr>
        <w:br/>
      </w:r>
      <w:proofErr w:type="gramStart"/>
      <w:r w:rsidR="007B6316" w:rsidRPr="000C3008">
        <w:rPr>
          <w:sz w:val="22"/>
          <w:szCs w:val="22"/>
        </w:rPr>
        <w:t>Director</w:t>
      </w:r>
      <w:proofErr w:type="gramEnd"/>
      <w:r w:rsidR="007B6316" w:rsidRPr="000C3008">
        <w:rPr>
          <w:sz w:val="22"/>
          <w:szCs w:val="22"/>
        </w:rPr>
        <w:t xml:space="preserve"> de la Oficina de </w:t>
      </w:r>
      <w:r w:rsidR="007B6316" w:rsidRPr="000C3008">
        <w:rPr>
          <w:sz w:val="22"/>
          <w:szCs w:val="22"/>
        </w:rPr>
        <w:br/>
        <w:t>Normalización de las Telecomunicaciones</w:t>
      </w:r>
    </w:p>
    <w:p w14:paraId="4F2AF84E" w14:textId="7367DFC3" w:rsidR="00401C20" w:rsidRPr="000C3008" w:rsidRDefault="00DA133C" w:rsidP="000C3008">
      <w:pPr>
        <w:spacing w:before="600"/>
        <w:ind w:right="86"/>
        <w:rPr>
          <w:sz w:val="22"/>
          <w:szCs w:val="22"/>
          <w:lang w:val="es-ES"/>
        </w:rPr>
      </w:pPr>
      <w:r w:rsidRPr="000C3008">
        <w:rPr>
          <w:b/>
          <w:bCs/>
          <w:sz w:val="22"/>
          <w:szCs w:val="22"/>
          <w:lang w:val="es-ES"/>
        </w:rPr>
        <w:t>Anexos:</w:t>
      </w:r>
      <w:r w:rsidRPr="000C3008">
        <w:rPr>
          <w:sz w:val="22"/>
          <w:szCs w:val="22"/>
          <w:lang w:val="es-ES"/>
        </w:rPr>
        <w:t xml:space="preserve"> 2</w:t>
      </w:r>
    </w:p>
    <w:p w14:paraId="73002D6E" w14:textId="68DBBCE2" w:rsidR="00DA133C" w:rsidRDefault="00DA133C">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0D0FD45B" w14:textId="77777777" w:rsidR="00DA133C" w:rsidRDefault="00DA133C" w:rsidP="00DA133C">
      <w:pPr>
        <w:pStyle w:val="AnnexNotitle"/>
        <w:rPr>
          <w:lang w:val="es-ES"/>
        </w:rPr>
      </w:pPr>
      <w:r>
        <w:rPr>
          <w:lang w:val="es-ES"/>
        </w:rPr>
        <w:lastRenderedPageBreak/>
        <w:t>Anexo 1</w:t>
      </w:r>
    </w:p>
    <w:p w14:paraId="29BD92FC" w14:textId="23FBC70C" w:rsidR="00DA133C" w:rsidRPr="00DA133C" w:rsidRDefault="00DA133C" w:rsidP="00DA133C">
      <w:pPr>
        <w:pStyle w:val="Annextitle0"/>
        <w:rPr>
          <w:rFonts w:asciiTheme="minorHAnsi" w:hAnsiTheme="minorHAnsi" w:cstheme="minorHAnsi"/>
          <w:szCs w:val="28"/>
          <w:lang w:val="es-ES"/>
        </w:rPr>
      </w:pPr>
      <w:r>
        <w:rPr>
          <w:bCs/>
          <w:lang w:val="es-ES"/>
        </w:rPr>
        <w:t xml:space="preserve">Resumen y ubicación de los proyectos de Recomendación determinada UIT-T Q.5036 (antes Q.IEC-PDMF) y UIT-T Q.5015 (antes </w:t>
      </w:r>
      <w:proofErr w:type="spellStart"/>
      <w:r>
        <w:rPr>
          <w:bCs/>
          <w:lang w:val="es-ES"/>
        </w:rPr>
        <w:t>Q.cco-mec</w:t>
      </w:r>
      <w:proofErr w:type="spellEnd"/>
      <w:r>
        <w:rPr>
          <w:bCs/>
          <w:lang w:val="es-ES"/>
        </w:rPr>
        <w:t>)</w:t>
      </w:r>
    </w:p>
    <w:p w14:paraId="68BCA510" w14:textId="238C4CBC" w:rsidR="00DA133C" w:rsidRPr="00D93063" w:rsidRDefault="00DA133C" w:rsidP="009F31D1">
      <w:pPr>
        <w:pStyle w:val="Heading1"/>
        <w:rPr>
          <w:rFonts w:cstheme="minorHAnsi"/>
          <w:sz w:val="22"/>
          <w:szCs w:val="22"/>
          <w:lang w:val="es-ES"/>
        </w:rPr>
      </w:pPr>
      <w:r>
        <w:rPr>
          <w:bCs/>
          <w:lang w:val="es-ES"/>
        </w:rPr>
        <w:t>1</w:t>
      </w:r>
      <w:r>
        <w:rPr>
          <w:lang w:val="es-ES"/>
        </w:rPr>
        <w:tab/>
      </w:r>
      <w:proofErr w:type="gramStart"/>
      <w:r w:rsidRPr="009F31D1">
        <w:t>Proyecto</w:t>
      </w:r>
      <w:proofErr w:type="gramEnd"/>
      <w:r>
        <w:rPr>
          <w:lang w:val="es-ES"/>
        </w:rPr>
        <w:t xml:space="preserve"> de nueva Recomendación UIT-T </w:t>
      </w:r>
      <w:r>
        <w:rPr>
          <w:bCs/>
          <w:lang w:val="es-ES"/>
        </w:rPr>
        <w:t>Q.5036 (antes Q.IEC-PDMF)</w:t>
      </w:r>
      <w:r>
        <w:rPr>
          <w:lang w:val="es-ES"/>
        </w:rPr>
        <w:t xml:space="preserve"> [</w:t>
      </w:r>
      <w:hyperlink r:id="rId11" w:history="1">
        <w:r w:rsidRPr="009F31D1">
          <w:rPr>
            <w:rStyle w:val="Hyperlink"/>
            <w:lang w:val="es-ES"/>
          </w:rPr>
          <w:t>SG11-R12</w:t>
        </w:r>
      </w:hyperlink>
      <w:r>
        <w:rPr>
          <w:lang w:val="es-ES"/>
        </w:rPr>
        <w:t>]</w:t>
      </w:r>
      <w:hyperlink r:id="rId12" w:history="1"/>
    </w:p>
    <w:p w14:paraId="281536A6" w14:textId="77777777" w:rsidR="00DA133C" w:rsidRPr="00146772" w:rsidRDefault="00DA133C" w:rsidP="00DA133C">
      <w:pPr>
        <w:rPr>
          <w:rFonts w:cstheme="minorHAnsi"/>
          <w:sz w:val="22"/>
          <w:szCs w:val="22"/>
        </w:rPr>
      </w:pPr>
      <w:r>
        <w:rPr>
          <w:lang w:val="es-ES"/>
        </w:rPr>
        <w:t>Interfaces de gestión de datos para el marco público de toma de decisiones sobre computación periférica inteligente.</w:t>
      </w:r>
    </w:p>
    <w:p w14:paraId="50DE3DFE" w14:textId="77ADB669" w:rsidR="00DA133C" w:rsidRPr="00146772" w:rsidRDefault="00DA133C" w:rsidP="009F31D1">
      <w:pPr>
        <w:pStyle w:val="Headingb0"/>
        <w:rPr>
          <w:rFonts w:cstheme="minorHAnsi"/>
          <w:sz w:val="22"/>
          <w:szCs w:val="22"/>
        </w:rPr>
      </w:pPr>
      <w:r>
        <w:rPr>
          <w:lang w:val="es-ES"/>
        </w:rPr>
        <w:t>Resumen</w:t>
      </w:r>
    </w:p>
    <w:p w14:paraId="78FD223F" w14:textId="008EAEDF" w:rsidR="00DA133C" w:rsidRPr="00960C3F" w:rsidRDefault="00DA133C" w:rsidP="00DA133C">
      <w:pPr>
        <w:rPr>
          <w:color w:val="000000"/>
          <w:sz w:val="22"/>
          <w:szCs w:val="18"/>
        </w:rPr>
      </w:pPr>
      <w:r>
        <w:rPr>
          <w:lang w:val="es-ES"/>
        </w:rPr>
        <w:t>En esta Recomendación se especifican las interfaces de gestión de datos para un marco público de toma de decisiones basado en la arquitectura de computación periférica inteligente descrita en UIT</w:t>
      </w:r>
      <w:r w:rsidR="009F31D1">
        <w:rPr>
          <w:lang w:val="es-ES"/>
        </w:rPr>
        <w:noBreakHyphen/>
      </w:r>
      <w:r>
        <w:rPr>
          <w:lang w:val="es-ES"/>
        </w:rPr>
        <w:t>T</w:t>
      </w:r>
      <w:r w:rsidR="009F31D1">
        <w:rPr>
          <w:lang w:val="es-ES"/>
        </w:rPr>
        <w:t> </w:t>
      </w:r>
      <w:r>
        <w:rPr>
          <w:lang w:val="es-ES"/>
        </w:rPr>
        <w:t>Q.5001. El marco apoya los servicios de toma de decisiones basados en la IA al permitir interfaces seguras y eficientes de recopilación de datos, gobernanza y gestión a partir de datos socioeconómicos distribuidos entre múltiples partes interesadas.</w:t>
      </w:r>
    </w:p>
    <w:p w14:paraId="2217B716" w14:textId="77777777" w:rsidR="00DA133C" w:rsidRPr="00960C3F" w:rsidRDefault="00DA133C" w:rsidP="00DA133C">
      <w:pPr>
        <w:rPr>
          <w:color w:val="000000"/>
          <w:sz w:val="22"/>
          <w:szCs w:val="18"/>
        </w:rPr>
      </w:pPr>
      <w:r>
        <w:rPr>
          <w:lang w:val="es-ES"/>
        </w:rPr>
        <w:t xml:space="preserve">El marco arquitectónico comprende tres capas, a saber, la capa de </w:t>
      </w:r>
      <w:proofErr w:type="spellStart"/>
      <w:r>
        <w:rPr>
          <w:lang w:val="es-ES"/>
        </w:rPr>
        <w:t>interfuncionamiento</w:t>
      </w:r>
      <w:proofErr w:type="spellEnd"/>
      <w:r>
        <w:rPr>
          <w:lang w:val="es-ES"/>
        </w:rPr>
        <w:t>, la capa de datos y la capa de servicio. Estas capas integran bloques funcionales para la recopilación de datos, la gobernanza y la gestión de servicios de toma de decisiones. Las API de la capa de datos soportan operaciones como la recopilación, recuperación, actualización y supresión de datos socioeconómicos almacenados en la periferia. Las API de la capa de servicio gobiernan las operaciones de datos y servicios, al tiempo que permiten la prestación de servicios públicos de toma de decisiones fiables y conformes.</w:t>
      </w:r>
    </w:p>
    <w:p w14:paraId="02D78590" w14:textId="77777777" w:rsidR="00DA133C" w:rsidRDefault="00DA133C" w:rsidP="00DA133C">
      <w:pPr>
        <w:rPr>
          <w:color w:val="000000"/>
          <w:sz w:val="22"/>
          <w:szCs w:val="18"/>
        </w:rPr>
      </w:pPr>
      <w:r>
        <w:rPr>
          <w:lang w:val="es-ES"/>
        </w:rPr>
        <w:t>Las funciones clave definidas en esta Recomendación incluyen funciones de gobernanza de datos, funciones de recopilación de datos y funciones de gestión de servicios para la toma de decisiones. Estas funciones garantizan la gestión de metadatos y de calidad, la recopilación sistemática de datos de fuentes heterogéneas y la prestación de servicios de toma de decisiones basados en la IA de manera segura y conforme.</w:t>
      </w:r>
    </w:p>
    <w:p w14:paraId="212B8C21" w14:textId="77777777" w:rsidR="00DA133C" w:rsidRPr="00146772" w:rsidRDefault="00DA133C" w:rsidP="00DA133C">
      <w:pPr>
        <w:rPr>
          <w:rFonts w:cstheme="minorHAnsi"/>
          <w:sz w:val="22"/>
          <w:szCs w:val="22"/>
        </w:rPr>
      </w:pPr>
      <w:r>
        <w:rPr>
          <w:lang w:val="es-ES"/>
        </w:rPr>
        <w:t>No se ha preparado un documento justificativo de la Recomendación UIT-T A.5 para este proyecto de texto determinado.</w:t>
      </w:r>
    </w:p>
    <w:p w14:paraId="1EAB84EA" w14:textId="77777777" w:rsidR="00DA133C" w:rsidRPr="00D93063" w:rsidRDefault="00DA133C" w:rsidP="009F31D1">
      <w:pPr>
        <w:pStyle w:val="Note"/>
        <w:rPr>
          <w:rFonts w:cstheme="minorHAnsi"/>
          <w:sz w:val="22"/>
          <w:szCs w:val="22"/>
          <w:lang w:val="es-ES"/>
        </w:rPr>
      </w:pPr>
      <w:r>
        <w:rPr>
          <w:lang w:val="es-ES"/>
        </w:rPr>
        <w:t>NOTA DE LA TSB – A la fecha de la presente Circular, la TSB había recibido una declaración de DPI en relación con este proyecto de texto. Para obtener información actualizada, se invita a los miembros a consultar la base de datos de DPI en www.itu.int/ipr/.</w:t>
      </w:r>
      <w:hyperlink r:id="rId13" w:history="1"/>
    </w:p>
    <w:p w14:paraId="3516D4F5" w14:textId="09C601C3" w:rsidR="00DA133C" w:rsidRPr="00D93063" w:rsidRDefault="00DA133C" w:rsidP="00DA133C">
      <w:pPr>
        <w:pStyle w:val="Heading1"/>
        <w:rPr>
          <w:rFonts w:cstheme="minorHAnsi"/>
          <w:sz w:val="22"/>
          <w:szCs w:val="22"/>
          <w:lang w:val="es-ES"/>
        </w:rPr>
      </w:pPr>
      <w:r>
        <w:rPr>
          <w:bCs/>
          <w:lang w:val="es-ES"/>
        </w:rPr>
        <w:t>2</w:t>
      </w:r>
      <w:r>
        <w:rPr>
          <w:lang w:val="es-ES"/>
        </w:rPr>
        <w:tab/>
      </w:r>
      <w:proofErr w:type="gramStart"/>
      <w:r>
        <w:rPr>
          <w:bCs/>
          <w:lang w:val="es-ES"/>
        </w:rPr>
        <w:t>Proyecto</w:t>
      </w:r>
      <w:proofErr w:type="gramEnd"/>
      <w:r>
        <w:rPr>
          <w:bCs/>
          <w:lang w:val="es-ES"/>
        </w:rPr>
        <w:t xml:space="preserve"> de nueva Recomendación UIT-T Q.5015 </w:t>
      </w:r>
      <w:r>
        <w:rPr>
          <w:lang w:val="es-ES"/>
        </w:rPr>
        <w:t>(</w:t>
      </w:r>
      <w:r>
        <w:rPr>
          <w:bCs/>
          <w:lang w:val="es-ES"/>
        </w:rPr>
        <w:t xml:space="preserve">antes </w:t>
      </w:r>
      <w:proofErr w:type="spellStart"/>
      <w:r>
        <w:rPr>
          <w:bCs/>
          <w:lang w:val="es-ES"/>
        </w:rPr>
        <w:t>Q.cco-mec</w:t>
      </w:r>
      <w:proofErr w:type="spellEnd"/>
      <w:r>
        <w:rPr>
          <w:lang w:val="es-ES"/>
        </w:rPr>
        <w:t>) [</w:t>
      </w:r>
      <w:hyperlink r:id="rId14" w:history="1">
        <w:r w:rsidRPr="009F31D1">
          <w:rPr>
            <w:rStyle w:val="Hyperlink"/>
            <w:lang w:val="es-ES"/>
          </w:rPr>
          <w:t>SG11-R11</w:t>
        </w:r>
      </w:hyperlink>
      <w:r>
        <w:rPr>
          <w:lang w:val="es-ES"/>
        </w:rPr>
        <w:t>]</w:t>
      </w:r>
      <w:hyperlink r:id="rId15" w:history="1"/>
    </w:p>
    <w:p w14:paraId="47F48D93" w14:textId="77777777" w:rsidR="00DA133C" w:rsidRPr="00CC0C6F" w:rsidRDefault="00DA133C" w:rsidP="00DA133C">
      <w:pPr>
        <w:rPr>
          <w:rFonts w:cstheme="minorHAnsi"/>
          <w:sz w:val="22"/>
          <w:szCs w:val="22"/>
        </w:rPr>
      </w:pPr>
      <w:r>
        <w:rPr>
          <w:lang w:val="es-ES"/>
        </w:rPr>
        <w:t>Requisitos de señalización para la orquestación compatibles con la computación confidencial en la computación periférica de acceso múltiple</w:t>
      </w:r>
    </w:p>
    <w:p w14:paraId="0BE820B0" w14:textId="77777777" w:rsidR="00DA133C" w:rsidRDefault="00DA133C" w:rsidP="009F31D1">
      <w:pPr>
        <w:pStyle w:val="Headingb0"/>
        <w:rPr>
          <w:rFonts w:cstheme="minorHAnsi"/>
          <w:sz w:val="22"/>
          <w:szCs w:val="22"/>
        </w:rPr>
      </w:pPr>
      <w:r>
        <w:rPr>
          <w:lang w:val="es-ES"/>
        </w:rPr>
        <w:t>Resumen</w:t>
      </w:r>
    </w:p>
    <w:p w14:paraId="633AC312" w14:textId="77777777" w:rsidR="00DA133C" w:rsidRPr="001E6EB7" w:rsidRDefault="00DA133C" w:rsidP="00DA133C">
      <w:pPr>
        <w:rPr>
          <w:rFonts w:cstheme="minorHAnsi"/>
          <w:sz w:val="22"/>
          <w:szCs w:val="22"/>
        </w:rPr>
      </w:pPr>
      <w:r>
        <w:rPr>
          <w:lang w:val="es-ES"/>
        </w:rPr>
        <w:t>La computación periférica multiacceso proporciona un entorno de procesamiento de datos cercano a la generación de datos de las industrias verticales. Con el fin de proporcionar un entorno neutral, fiable y acreditado que pueda proteger los datos y el código del modelo de algoritmo en tiempo de ejecución en la computación periférica multiacceso, la computación confidencial se considera una tecnología habilitadora.</w:t>
      </w:r>
    </w:p>
    <w:p w14:paraId="605A8026" w14:textId="77777777" w:rsidR="00DA133C" w:rsidRDefault="00DA133C" w:rsidP="00DA133C">
      <w:pPr>
        <w:rPr>
          <w:rFonts w:cstheme="minorHAnsi"/>
          <w:sz w:val="22"/>
          <w:szCs w:val="22"/>
        </w:rPr>
      </w:pPr>
      <w:r>
        <w:rPr>
          <w:lang w:val="es-ES"/>
        </w:rPr>
        <w:lastRenderedPageBreak/>
        <w:t>Esta Recomendación especifica la arquitectura de señalización, los procedimientos de señalización y los requisitos de señalización de la orquestación para soportar la computación confidencial en la computación periférica multiacceso.</w:t>
      </w:r>
    </w:p>
    <w:p w14:paraId="0AF32041" w14:textId="0E0ABED6" w:rsidR="00DA133C" w:rsidRPr="00D93063" w:rsidRDefault="00DA133C" w:rsidP="00DA133C">
      <w:pPr>
        <w:rPr>
          <w:rFonts w:cstheme="minorHAnsi"/>
          <w:sz w:val="22"/>
          <w:szCs w:val="22"/>
          <w:lang w:val="es-ES"/>
        </w:rPr>
      </w:pPr>
      <w:r>
        <w:rPr>
          <w:lang w:val="es-ES"/>
        </w:rPr>
        <w:t>Este proyecto de texto determinado incluye referencias normativas que requieren una justificación UIT-T A.5, la cual puede encontrarse en [</w:t>
      </w:r>
      <w:hyperlink r:id="rId16" w:history="1">
        <w:r w:rsidRPr="009F31D1">
          <w:rPr>
            <w:rStyle w:val="Hyperlink"/>
            <w:lang w:val="es-ES"/>
          </w:rPr>
          <w:t>SG11-TD619/GEN</w:t>
        </w:r>
      </w:hyperlink>
      <w:r>
        <w:rPr>
          <w:lang w:val="es-ES"/>
        </w:rPr>
        <w:t>].</w:t>
      </w:r>
      <w:hyperlink r:id="rId17" w:history="1"/>
    </w:p>
    <w:p w14:paraId="2C29070D" w14:textId="36C7EA11" w:rsidR="00DA133C" w:rsidRPr="00D93063" w:rsidRDefault="00DA133C" w:rsidP="009F31D1">
      <w:pPr>
        <w:pStyle w:val="Note"/>
        <w:rPr>
          <w:color w:val="000000"/>
          <w:sz w:val="22"/>
          <w:szCs w:val="18"/>
          <w:lang w:val="es-ES"/>
        </w:rPr>
      </w:pPr>
      <w:r>
        <w:rPr>
          <w:lang w:val="es-ES"/>
        </w:rPr>
        <w:t xml:space="preserve">NOTA DE LA TSB – A la fecha de la presente Circular, la TSB no había recibido ninguna declaración de DPI en relación con este proyecto de texto. Para obtener información actualizada, se invita a los miembros a consultar la base de datos de DPI en </w:t>
      </w:r>
      <w:hyperlink r:id="rId18" w:history="1">
        <w:r w:rsidRPr="009F31D1">
          <w:rPr>
            <w:rStyle w:val="Hyperlink"/>
          </w:rPr>
          <w:t>www</w:t>
        </w:r>
      </w:hyperlink>
      <w:r w:rsidRPr="009F31D1">
        <w:rPr>
          <w:rStyle w:val="Hyperlink"/>
        </w:rPr>
        <w:t>.itu.int/ipr/</w:t>
      </w:r>
      <w:r>
        <w:rPr>
          <w:lang w:val="es-ES"/>
        </w:rPr>
        <w:t>.</w:t>
      </w:r>
      <w:hyperlink r:id="rId19" w:history="1"/>
    </w:p>
    <w:p w14:paraId="6E3177F4" w14:textId="77777777" w:rsidR="00DA133C" w:rsidRDefault="00DA133C">
      <w:pPr>
        <w:tabs>
          <w:tab w:val="clear" w:pos="794"/>
          <w:tab w:val="clear" w:pos="1191"/>
          <w:tab w:val="clear" w:pos="1588"/>
          <w:tab w:val="clear" w:pos="1985"/>
        </w:tabs>
        <w:overflowPunct/>
        <w:autoSpaceDE/>
        <w:autoSpaceDN/>
        <w:adjustRightInd/>
        <w:spacing w:before="0"/>
        <w:textAlignment w:val="auto"/>
        <w:rPr>
          <w:rFonts w:ascii="Calibri" w:hAnsi="Calibri"/>
          <w:b/>
          <w:bCs/>
          <w:sz w:val="28"/>
          <w:lang w:val="es-ES"/>
        </w:rPr>
      </w:pPr>
      <w:r>
        <w:rPr>
          <w:bCs/>
          <w:lang w:val="es-ES"/>
        </w:rPr>
        <w:br w:type="page"/>
      </w:r>
    </w:p>
    <w:p w14:paraId="68DBA410" w14:textId="77777777" w:rsidR="00DA133C" w:rsidRDefault="00DA133C" w:rsidP="00DA133C">
      <w:pPr>
        <w:pStyle w:val="AnnexNotitle"/>
        <w:rPr>
          <w:lang w:val="es-ES"/>
        </w:rPr>
      </w:pPr>
      <w:r>
        <w:rPr>
          <w:lang w:val="es-ES"/>
        </w:rPr>
        <w:lastRenderedPageBreak/>
        <w:t>Anexo 2</w:t>
      </w:r>
    </w:p>
    <w:p w14:paraId="3D00425C" w14:textId="4913271E" w:rsidR="00DA133C" w:rsidRPr="00DA133C" w:rsidRDefault="00DA133C" w:rsidP="00DA133C">
      <w:pPr>
        <w:pStyle w:val="Annextitle0"/>
        <w:spacing w:before="120"/>
        <w:rPr>
          <w:rFonts w:asciiTheme="minorHAnsi" w:hAnsiTheme="minorHAnsi" w:cstheme="minorHAnsi"/>
          <w:szCs w:val="28"/>
          <w:lang w:val="es-ES"/>
        </w:rPr>
      </w:pPr>
      <w:r>
        <w:rPr>
          <w:bCs/>
          <w:lang w:val="es-ES"/>
        </w:rPr>
        <w:t>Asunto: Respuesta de Estado Miembro a la Circular 94 de la TSB: Consulta sobre los proyectos de nueva Recomendación determinada UIT-T Q.5036</w:t>
      </w:r>
      <w:r w:rsidR="009F31D1">
        <w:rPr>
          <w:bCs/>
          <w:lang w:val="es-ES"/>
        </w:rPr>
        <w:br/>
      </w:r>
      <w:r>
        <w:rPr>
          <w:bCs/>
          <w:lang w:val="es-ES"/>
        </w:rPr>
        <w:t>(antes Q.IEC</w:t>
      </w:r>
      <w:r w:rsidR="009F31D1">
        <w:rPr>
          <w:bCs/>
          <w:lang w:val="es-ES"/>
        </w:rPr>
        <w:noBreakHyphen/>
      </w:r>
      <w:r>
        <w:rPr>
          <w:bCs/>
          <w:lang w:val="es-ES"/>
        </w:rPr>
        <w:t xml:space="preserve">PDMF) y UIT-T Q.5015 (antes </w:t>
      </w:r>
      <w:proofErr w:type="spellStart"/>
      <w:r>
        <w:rPr>
          <w:bCs/>
          <w:lang w:val="es-ES"/>
        </w:rPr>
        <w:t>Q.cco-mec</w:t>
      </w:r>
      <w:proofErr w:type="spellEnd"/>
      <w:r>
        <w:rPr>
          <w:bCs/>
          <w:lang w:val="es-ES"/>
        </w:rPr>
        <w:t>)</w:t>
      </w:r>
    </w:p>
    <w:tbl>
      <w:tblPr>
        <w:tblW w:w="9957" w:type="dxa"/>
        <w:tblInd w:w="-176" w:type="dxa"/>
        <w:tblLayout w:type="fixed"/>
        <w:tblLook w:val="04A0" w:firstRow="1" w:lastRow="0" w:firstColumn="1" w:lastColumn="0" w:noHBand="0" w:noVBand="1"/>
      </w:tblPr>
      <w:tblGrid>
        <w:gridCol w:w="1169"/>
        <w:gridCol w:w="4536"/>
        <w:gridCol w:w="1134"/>
        <w:gridCol w:w="3118"/>
      </w:tblGrid>
      <w:tr w:rsidR="00DA133C" w:rsidRPr="004061EF" w14:paraId="53425787" w14:textId="77777777" w:rsidTr="009F31D1">
        <w:tc>
          <w:tcPr>
            <w:tcW w:w="1169" w:type="dxa"/>
          </w:tcPr>
          <w:p w14:paraId="4DFE8595" w14:textId="77777777" w:rsidR="00DA133C" w:rsidRPr="004061EF" w:rsidRDefault="00DA133C" w:rsidP="00323037">
            <w:pPr>
              <w:jc w:val="right"/>
              <w:rPr>
                <w:rFonts w:cstheme="minorHAnsi"/>
                <w:sz w:val="22"/>
                <w:szCs w:val="18"/>
              </w:rPr>
            </w:pPr>
            <w:r w:rsidRPr="004061EF">
              <w:rPr>
                <w:b/>
                <w:bCs/>
                <w:color w:val="000000"/>
                <w:sz w:val="22"/>
                <w:szCs w:val="18"/>
                <w:lang w:val="es-ES"/>
              </w:rPr>
              <w:t>A:</w:t>
            </w:r>
          </w:p>
        </w:tc>
        <w:tc>
          <w:tcPr>
            <w:tcW w:w="4536" w:type="dxa"/>
            <w:tcBorders>
              <w:right w:val="single" w:sz="8" w:space="0" w:color="auto"/>
            </w:tcBorders>
          </w:tcPr>
          <w:p w14:paraId="38578DE1" w14:textId="77777777" w:rsidR="00DA133C" w:rsidRPr="004061EF" w:rsidRDefault="00DA133C" w:rsidP="00323037">
            <w:pPr>
              <w:rPr>
                <w:rFonts w:cstheme="minorHAnsi"/>
                <w:sz w:val="22"/>
                <w:szCs w:val="18"/>
              </w:rPr>
            </w:pPr>
            <w:r w:rsidRPr="004061EF">
              <w:rPr>
                <w:color w:val="000000"/>
                <w:sz w:val="22"/>
                <w:szCs w:val="18"/>
                <w:lang w:val="es-ES"/>
              </w:rPr>
              <w:t xml:space="preserve">El </w:t>
            </w:r>
            <w:proofErr w:type="gramStart"/>
            <w:r w:rsidRPr="004061EF">
              <w:rPr>
                <w:color w:val="000000"/>
                <w:sz w:val="22"/>
                <w:szCs w:val="18"/>
                <w:lang w:val="es-ES"/>
              </w:rPr>
              <w:t>Director</w:t>
            </w:r>
            <w:proofErr w:type="gramEnd"/>
            <w:r w:rsidRPr="004061EF">
              <w:rPr>
                <w:color w:val="000000"/>
                <w:sz w:val="22"/>
                <w:szCs w:val="18"/>
                <w:lang w:val="es-ES"/>
              </w:rPr>
              <w:t xml:space="preserve"> de la Oficina de Normalización de las Telecomunicaciones</w:t>
            </w:r>
          </w:p>
          <w:p w14:paraId="11EAC808" w14:textId="77777777" w:rsidR="00DA133C" w:rsidRPr="004061EF" w:rsidRDefault="00DA133C" w:rsidP="00323037">
            <w:pPr>
              <w:spacing w:before="0"/>
              <w:rPr>
                <w:rFonts w:cstheme="minorHAnsi"/>
                <w:sz w:val="22"/>
                <w:szCs w:val="18"/>
              </w:rPr>
            </w:pPr>
            <w:r w:rsidRPr="004061EF">
              <w:rPr>
                <w:color w:val="000000"/>
                <w:sz w:val="22"/>
                <w:szCs w:val="18"/>
                <w:lang w:val="es-ES"/>
              </w:rPr>
              <w:t>Unión Internacional de Telecomunicaciones</w:t>
            </w:r>
          </w:p>
          <w:p w14:paraId="7708A5D5" w14:textId="77777777" w:rsidR="00DA133C" w:rsidRPr="004061EF" w:rsidRDefault="00DA133C" w:rsidP="00323037">
            <w:pPr>
              <w:spacing w:before="0"/>
              <w:rPr>
                <w:rFonts w:cstheme="minorHAnsi"/>
                <w:sz w:val="22"/>
                <w:szCs w:val="18"/>
              </w:rPr>
            </w:pPr>
            <w:r w:rsidRPr="004061EF">
              <w:rPr>
                <w:color w:val="000000"/>
                <w:sz w:val="22"/>
                <w:szCs w:val="18"/>
                <w:lang w:val="es-ES"/>
              </w:rPr>
              <w:t xml:space="preserve">Place des </w:t>
            </w:r>
            <w:proofErr w:type="spellStart"/>
            <w:r w:rsidRPr="004061EF">
              <w:rPr>
                <w:color w:val="000000"/>
                <w:sz w:val="22"/>
                <w:szCs w:val="18"/>
                <w:lang w:val="es-ES"/>
              </w:rPr>
              <w:t>Nations</w:t>
            </w:r>
            <w:proofErr w:type="spellEnd"/>
          </w:p>
          <w:p w14:paraId="21CECECC" w14:textId="77777777" w:rsidR="00DA133C" w:rsidRPr="004061EF" w:rsidRDefault="00DA133C" w:rsidP="00323037">
            <w:pPr>
              <w:spacing w:before="0"/>
              <w:rPr>
                <w:rFonts w:cstheme="minorHAnsi"/>
                <w:sz w:val="22"/>
                <w:szCs w:val="18"/>
              </w:rPr>
            </w:pPr>
            <w:r w:rsidRPr="004061EF">
              <w:rPr>
                <w:color w:val="000000"/>
                <w:sz w:val="22"/>
                <w:szCs w:val="18"/>
                <w:lang w:val="es-ES"/>
              </w:rPr>
              <w:t xml:space="preserve">CH 1211 </w:t>
            </w:r>
            <w:proofErr w:type="spellStart"/>
            <w:r w:rsidRPr="004061EF">
              <w:rPr>
                <w:color w:val="000000"/>
                <w:sz w:val="22"/>
                <w:szCs w:val="18"/>
                <w:lang w:val="es-ES"/>
              </w:rPr>
              <w:t>Ginera</w:t>
            </w:r>
            <w:proofErr w:type="spellEnd"/>
            <w:r w:rsidRPr="004061EF">
              <w:rPr>
                <w:color w:val="000000"/>
                <w:sz w:val="22"/>
                <w:szCs w:val="18"/>
                <w:lang w:val="es-ES"/>
              </w:rPr>
              <w:t xml:space="preserve"> 20, Suiza</w:t>
            </w:r>
          </w:p>
        </w:tc>
        <w:tc>
          <w:tcPr>
            <w:tcW w:w="1134" w:type="dxa"/>
            <w:tcBorders>
              <w:left w:val="single" w:sz="8" w:space="0" w:color="auto"/>
            </w:tcBorders>
          </w:tcPr>
          <w:p w14:paraId="15E029AD" w14:textId="77777777" w:rsidR="00DA133C" w:rsidRPr="004061EF" w:rsidRDefault="00DA133C" w:rsidP="00323037">
            <w:pPr>
              <w:jc w:val="right"/>
              <w:rPr>
                <w:rFonts w:cstheme="minorHAnsi"/>
                <w:sz w:val="22"/>
                <w:szCs w:val="18"/>
              </w:rPr>
            </w:pPr>
            <w:r w:rsidRPr="004061EF">
              <w:rPr>
                <w:b/>
                <w:bCs/>
                <w:color w:val="000000"/>
                <w:sz w:val="22"/>
                <w:szCs w:val="18"/>
                <w:lang w:val="es-ES"/>
              </w:rPr>
              <w:t>De:</w:t>
            </w:r>
          </w:p>
        </w:tc>
        <w:tc>
          <w:tcPr>
            <w:tcW w:w="3118" w:type="dxa"/>
          </w:tcPr>
          <w:p w14:paraId="53AB82DA" w14:textId="77777777" w:rsidR="00DA133C" w:rsidRPr="004061EF" w:rsidRDefault="00DA133C" w:rsidP="00323037">
            <w:pPr>
              <w:rPr>
                <w:rFonts w:cstheme="minorHAnsi"/>
                <w:sz w:val="22"/>
                <w:szCs w:val="18"/>
                <w:highlight w:val="green"/>
              </w:rPr>
            </w:pPr>
            <w:r w:rsidRPr="004061EF">
              <w:rPr>
                <w:color w:val="000000"/>
                <w:sz w:val="22"/>
                <w:szCs w:val="18"/>
                <w:highlight w:val="green"/>
                <w:lang w:val="es-ES"/>
              </w:rPr>
              <w:t>[Nombre]</w:t>
            </w:r>
          </w:p>
          <w:p w14:paraId="75C7B717" w14:textId="77777777" w:rsidR="00DA133C" w:rsidRPr="004061EF" w:rsidRDefault="00DA133C" w:rsidP="00323037">
            <w:pPr>
              <w:spacing w:before="0"/>
              <w:rPr>
                <w:rFonts w:cstheme="minorHAnsi"/>
                <w:sz w:val="22"/>
                <w:szCs w:val="18"/>
                <w:highlight w:val="green"/>
              </w:rPr>
            </w:pPr>
            <w:r w:rsidRPr="004061EF">
              <w:rPr>
                <w:color w:val="000000"/>
                <w:sz w:val="22"/>
                <w:szCs w:val="18"/>
                <w:highlight w:val="green"/>
                <w:lang w:val="es-ES"/>
              </w:rPr>
              <w:t>[Cargo oficial/título]</w:t>
            </w:r>
          </w:p>
          <w:p w14:paraId="09C7DBA7" w14:textId="77777777" w:rsidR="00DA133C" w:rsidRPr="004061EF" w:rsidRDefault="00DA133C" w:rsidP="00323037">
            <w:pPr>
              <w:spacing w:before="0"/>
              <w:rPr>
                <w:rFonts w:cstheme="minorHAnsi"/>
                <w:sz w:val="22"/>
                <w:szCs w:val="18"/>
              </w:rPr>
            </w:pPr>
            <w:r w:rsidRPr="004061EF">
              <w:rPr>
                <w:color w:val="000000"/>
                <w:sz w:val="22"/>
                <w:szCs w:val="18"/>
                <w:highlight w:val="green"/>
                <w:lang w:val="es-ES"/>
              </w:rPr>
              <w:t>[Dirección]</w:t>
            </w:r>
          </w:p>
        </w:tc>
      </w:tr>
      <w:tr w:rsidR="00DA133C" w:rsidRPr="004061EF" w14:paraId="0849064D" w14:textId="77777777" w:rsidTr="009F31D1">
        <w:tc>
          <w:tcPr>
            <w:tcW w:w="1169" w:type="dxa"/>
          </w:tcPr>
          <w:p w14:paraId="3324C949" w14:textId="77777777" w:rsidR="00DA133C" w:rsidRPr="004061EF" w:rsidRDefault="00DA133C" w:rsidP="00323037">
            <w:pPr>
              <w:spacing w:before="0"/>
              <w:jc w:val="right"/>
              <w:rPr>
                <w:rFonts w:cstheme="minorHAnsi"/>
                <w:sz w:val="22"/>
                <w:szCs w:val="18"/>
              </w:rPr>
            </w:pPr>
            <w:r w:rsidRPr="004061EF">
              <w:rPr>
                <w:b/>
                <w:bCs/>
                <w:color w:val="000000"/>
                <w:sz w:val="22"/>
                <w:szCs w:val="18"/>
                <w:lang w:val="es-ES"/>
              </w:rPr>
              <w:t>Fax:</w:t>
            </w:r>
          </w:p>
        </w:tc>
        <w:tc>
          <w:tcPr>
            <w:tcW w:w="4536" w:type="dxa"/>
            <w:tcBorders>
              <w:right w:val="single" w:sz="8" w:space="0" w:color="auto"/>
            </w:tcBorders>
          </w:tcPr>
          <w:p w14:paraId="254AB6EF" w14:textId="77777777" w:rsidR="00DA133C" w:rsidRPr="004061EF" w:rsidRDefault="00DA133C" w:rsidP="00323037">
            <w:pPr>
              <w:spacing w:before="0"/>
              <w:rPr>
                <w:rFonts w:cstheme="minorHAnsi"/>
                <w:sz w:val="22"/>
                <w:szCs w:val="18"/>
              </w:rPr>
            </w:pPr>
            <w:r w:rsidRPr="004061EF">
              <w:rPr>
                <w:color w:val="000000"/>
                <w:sz w:val="22"/>
                <w:szCs w:val="18"/>
                <w:lang w:val="es-ES"/>
              </w:rPr>
              <w:t>+41-22-730-5853</w:t>
            </w:r>
          </w:p>
        </w:tc>
        <w:tc>
          <w:tcPr>
            <w:tcW w:w="1134" w:type="dxa"/>
            <w:tcBorders>
              <w:left w:val="single" w:sz="8" w:space="0" w:color="auto"/>
            </w:tcBorders>
          </w:tcPr>
          <w:p w14:paraId="3E58B841" w14:textId="77777777" w:rsidR="00DA133C" w:rsidRPr="004061EF" w:rsidRDefault="00DA133C" w:rsidP="00323037">
            <w:pPr>
              <w:spacing w:before="0"/>
              <w:jc w:val="right"/>
              <w:rPr>
                <w:rFonts w:cstheme="minorHAnsi"/>
                <w:sz w:val="22"/>
                <w:szCs w:val="18"/>
              </w:rPr>
            </w:pPr>
            <w:r w:rsidRPr="004061EF">
              <w:rPr>
                <w:b/>
                <w:bCs/>
                <w:color w:val="000000"/>
                <w:sz w:val="22"/>
                <w:szCs w:val="18"/>
                <w:lang w:val="es-ES"/>
              </w:rPr>
              <w:t>Fax</w:t>
            </w:r>
            <w:r w:rsidRPr="004061EF">
              <w:rPr>
                <w:color w:val="000000"/>
                <w:sz w:val="22"/>
                <w:szCs w:val="18"/>
                <w:lang w:val="es-ES"/>
              </w:rPr>
              <w:t>:</w:t>
            </w:r>
          </w:p>
        </w:tc>
        <w:tc>
          <w:tcPr>
            <w:tcW w:w="3118" w:type="dxa"/>
          </w:tcPr>
          <w:p w14:paraId="6CA16FC0" w14:textId="77777777" w:rsidR="00DA133C" w:rsidRPr="004061EF" w:rsidRDefault="00DA133C" w:rsidP="00323037">
            <w:pPr>
              <w:spacing w:before="0"/>
              <w:rPr>
                <w:rFonts w:cstheme="minorHAnsi"/>
                <w:sz w:val="22"/>
                <w:szCs w:val="18"/>
              </w:rPr>
            </w:pPr>
          </w:p>
        </w:tc>
      </w:tr>
      <w:tr w:rsidR="00DA133C" w:rsidRPr="004061EF" w14:paraId="1F8D8D95" w14:textId="77777777" w:rsidTr="009F31D1">
        <w:tc>
          <w:tcPr>
            <w:tcW w:w="1169" w:type="dxa"/>
          </w:tcPr>
          <w:p w14:paraId="74835AA9" w14:textId="77777777" w:rsidR="00DA133C" w:rsidRPr="004061EF" w:rsidRDefault="00DA133C" w:rsidP="00323037">
            <w:pPr>
              <w:spacing w:before="0"/>
              <w:jc w:val="right"/>
              <w:rPr>
                <w:rFonts w:cstheme="minorHAnsi"/>
                <w:sz w:val="22"/>
                <w:szCs w:val="18"/>
              </w:rPr>
            </w:pPr>
            <w:r w:rsidRPr="004061EF">
              <w:rPr>
                <w:b/>
                <w:bCs/>
                <w:color w:val="000000"/>
                <w:sz w:val="22"/>
                <w:szCs w:val="18"/>
                <w:lang w:val="es-ES"/>
              </w:rPr>
              <w:t>Correo-e:</w:t>
            </w:r>
          </w:p>
        </w:tc>
        <w:tc>
          <w:tcPr>
            <w:tcW w:w="4536" w:type="dxa"/>
            <w:tcBorders>
              <w:right w:val="single" w:sz="8" w:space="0" w:color="auto"/>
            </w:tcBorders>
          </w:tcPr>
          <w:p w14:paraId="6E3A096A" w14:textId="271678BE" w:rsidR="00DA133C" w:rsidRPr="004061EF" w:rsidRDefault="00DA133C" w:rsidP="00323037">
            <w:pPr>
              <w:spacing w:before="0"/>
              <w:rPr>
                <w:rStyle w:val="Hyperlink"/>
                <w:sz w:val="22"/>
                <w:szCs w:val="18"/>
              </w:rPr>
            </w:pPr>
            <w:hyperlink r:id="rId20" w:history="1">
              <w:r w:rsidRPr="004061EF">
                <w:rPr>
                  <w:rStyle w:val="Hyperlink"/>
                  <w:sz w:val="22"/>
                  <w:szCs w:val="18"/>
                </w:rPr>
                <w:t>tsbdir@itu.int</w:t>
              </w:r>
            </w:hyperlink>
          </w:p>
        </w:tc>
        <w:tc>
          <w:tcPr>
            <w:tcW w:w="1134" w:type="dxa"/>
            <w:tcBorders>
              <w:left w:val="single" w:sz="8" w:space="0" w:color="auto"/>
            </w:tcBorders>
          </w:tcPr>
          <w:p w14:paraId="438829CF" w14:textId="77777777" w:rsidR="00DA133C" w:rsidRPr="004061EF" w:rsidRDefault="00DA133C" w:rsidP="00323037">
            <w:pPr>
              <w:spacing w:before="0"/>
              <w:jc w:val="right"/>
              <w:rPr>
                <w:rFonts w:cstheme="minorHAnsi"/>
                <w:sz w:val="22"/>
                <w:szCs w:val="18"/>
              </w:rPr>
            </w:pPr>
            <w:r w:rsidRPr="004061EF">
              <w:rPr>
                <w:b/>
                <w:bCs/>
                <w:color w:val="000000"/>
                <w:sz w:val="22"/>
                <w:szCs w:val="18"/>
                <w:lang w:val="es-ES"/>
              </w:rPr>
              <w:t>Correo-e</w:t>
            </w:r>
            <w:r w:rsidRPr="004061EF">
              <w:rPr>
                <w:color w:val="000000"/>
                <w:sz w:val="22"/>
                <w:szCs w:val="18"/>
                <w:lang w:val="es-ES"/>
              </w:rPr>
              <w:t>:</w:t>
            </w:r>
          </w:p>
        </w:tc>
        <w:tc>
          <w:tcPr>
            <w:tcW w:w="3118" w:type="dxa"/>
          </w:tcPr>
          <w:p w14:paraId="59B8BF3E" w14:textId="77777777" w:rsidR="00DA133C" w:rsidRPr="004061EF" w:rsidRDefault="00DA133C" w:rsidP="00323037">
            <w:pPr>
              <w:spacing w:before="0"/>
              <w:rPr>
                <w:rFonts w:cstheme="minorHAnsi"/>
                <w:sz w:val="22"/>
                <w:szCs w:val="18"/>
              </w:rPr>
            </w:pPr>
          </w:p>
        </w:tc>
      </w:tr>
      <w:tr w:rsidR="00DA133C" w:rsidRPr="004061EF" w14:paraId="1A284357" w14:textId="77777777" w:rsidTr="009F31D1">
        <w:tc>
          <w:tcPr>
            <w:tcW w:w="1169" w:type="dxa"/>
          </w:tcPr>
          <w:p w14:paraId="147D61BA" w14:textId="77777777" w:rsidR="00DA133C" w:rsidRPr="004061EF" w:rsidRDefault="00DA133C" w:rsidP="00323037">
            <w:pPr>
              <w:spacing w:before="0"/>
              <w:jc w:val="right"/>
              <w:rPr>
                <w:rFonts w:cstheme="minorHAnsi"/>
                <w:sz w:val="22"/>
                <w:szCs w:val="18"/>
              </w:rPr>
            </w:pPr>
          </w:p>
        </w:tc>
        <w:tc>
          <w:tcPr>
            <w:tcW w:w="4536" w:type="dxa"/>
            <w:tcBorders>
              <w:right w:val="single" w:sz="8" w:space="0" w:color="auto"/>
            </w:tcBorders>
          </w:tcPr>
          <w:p w14:paraId="291AD2D2" w14:textId="77777777" w:rsidR="00DA133C" w:rsidRPr="004061EF" w:rsidRDefault="00DA133C" w:rsidP="00323037">
            <w:pPr>
              <w:spacing w:before="0"/>
              <w:rPr>
                <w:rFonts w:cstheme="minorHAnsi"/>
                <w:sz w:val="22"/>
                <w:szCs w:val="18"/>
              </w:rPr>
            </w:pPr>
          </w:p>
        </w:tc>
        <w:tc>
          <w:tcPr>
            <w:tcW w:w="1134" w:type="dxa"/>
            <w:tcBorders>
              <w:left w:val="single" w:sz="8" w:space="0" w:color="auto"/>
            </w:tcBorders>
          </w:tcPr>
          <w:p w14:paraId="05168940" w14:textId="77777777" w:rsidR="00DA133C" w:rsidRPr="004061EF" w:rsidRDefault="00DA133C" w:rsidP="00323037">
            <w:pPr>
              <w:spacing w:before="0"/>
              <w:jc w:val="right"/>
              <w:rPr>
                <w:rFonts w:cstheme="minorHAnsi"/>
                <w:sz w:val="22"/>
                <w:szCs w:val="18"/>
              </w:rPr>
            </w:pPr>
            <w:r w:rsidRPr="004061EF">
              <w:rPr>
                <w:b/>
                <w:bCs/>
                <w:color w:val="000000"/>
                <w:sz w:val="22"/>
                <w:szCs w:val="18"/>
                <w:lang w:val="es-ES"/>
              </w:rPr>
              <w:t>Fecha:</w:t>
            </w:r>
          </w:p>
        </w:tc>
        <w:tc>
          <w:tcPr>
            <w:tcW w:w="3118" w:type="dxa"/>
          </w:tcPr>
          <w:p w14:paraId="4C9C1040" w14:textId="77777777" w:rsidR="00DA133C" w:rsidRPr="004061EF" w:rsidRDefault="00DA133C" w:rsidP="00323037">
            <w:pPr>
              <w:spacing w:before="0"/>
              <w:rPr>
                <w:rFonts w:cstheme="minorHAnsi"/>
                <w:sz w:val="22"/>
                <w:szCs w:val="18"/>
              </w:rPr>
            </w:pPr>
            <w:r w:rsidRPr="004061EF">
              <w:rPr>
                <w:color w:val="000000"/>
                <w:sz w:val="22"/>
                <w:szCs w:val="18"/>
                <w:highlight w:val="green"/>
                <w:lang w:val="es-ES"/>
              </w:rPr>
              <w:t>[Lugar,] [Fecha]</w:t>
            </w:r>
          </w:p>
        </w:tc>
      </w:tr>
    </w:tbl>
    <w:p w14:paraId="15AC1D27" w14:textId="77777777" w:rsidR="00DA133C" w:rsidRPr="004061EF" w:rsidRDefault="00DA133C" w:rsidP="00DA133C">
      <w:pPr>
        <w:spacing w:before="360"/>
        <w:rPr>
          <w:rFonts w:cstheme="minorHAnsi"/>
          <w:sz w:val="20"/>
        </w:rPr>
      </w:pPr>
      <w:r w:rsidRPr="004061EF">
        <w:rPr>
          <w:sz w:val="22"/>
          <w:szCs w:val="18"/>
          <w:lang w:val="es-ES"/>
        </w:rPr>
        <w:t>Muy Señora mía/Muy Señor mío:</w:t>
      </w:r>
    </w:p>
    <w:p w14:paraId="06E70BA8" w14:textId="77777777" w:rsidR="00DA133C" w:rsidRPr="004061EF" w:rsidRDefault="00DA133C" w:rsidP="00DA133C">
      <w:pPr>
        <w:spacing w:after="120"/>
        <w:rPr>
          <w:rFonts w:cstheme="minorHAnsi"/>
          <w:sz w:val="20"/>
        </w:rPr>
      </w:pPr>
      <w:r w:rsidRPr="004061EF">
        <w:rPr>
          <w:sz w:val="22"/>
          <w:szCs w:val="18"/>
          <w:lang w:val="es-ES"/>
        </w:rPr>
        <w:t>En lo que respecta a la consulta a los Estados Miembros sobre los proyectos de texto determinado que se enumeran en la Circular TSB 94, tengo a bien informarle de la opinión de esta Administración, que se refleja en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652"/>
      </w:tblGrid>
      <w:tr w:rsidR="00DA133C" w:rsidRPr="004061EF" w14:paraId="350AF27E" w14:textId="77777777" w:rsidTr="00323037">
        <w:trPr>
          <w:tblHeader/>
        </w:trPr>
        <w:tc>
          <w:tcPr>
            <w:tcW w:w="2067" w:type="dxa"/>
            <w:vAlign w:val="center"/>
          </w:tcPr>
          <w:p w14:paraId="68B6DF21" w14:textId="77777777" w:rsidR="00DA133C" w:rsidRPr="004061EF" w:rsidRDefault="00DA133C" w:rsidP="00323037">
            <w:pPr>
              <w:spacing w:after="120"/>
              <w:jc w:val="center"/>
              <w:rPr>
                <w:rFonts w:cstheme="minorHAnsi"/>
                <w:b/>
                <w:bCs/>
                <w:sz w:val="22"/>
                <w:szCs w:val="22"/>
                <w:lang w:val="es-ES"/>
              </w:rPr>
            </w:pPr>
          </w:p>
        </w:tc>
        <w:tc>
          <w:tcPr>
            <w:tcW w:w="7652" w:type="dxa"/>
            <w:vAlign w:val="center"/>
          </w:tcPr>
          <w:p w14:paraId="4A9AF08B" w14:textId="77777777" w:rsidR="00DA133C" w:rsidRPr="004061EF" w:rsidRDefault="00DA133C" w:rsidP="00323037">
            <w:pPr>
              <w:tabs>
                <w:tab w:val="clear" w:pos="794"/>
                <w:tab w:val="clear" w:pos="1191"/>
                <w:tab w:val="clear" w:pos="1588"/>
                <w:tab w:val="clear" w:pos="1985"/>
              </w:tabs>
              <w:spacing w:after="120"/>
              <w:ind w:left="939" w:hanging="459"/>
              <w:jc w:val="center"/>
              <w:rPr>
                <w:rFonts w:cstheme="minorHAnsi"/>
                <w:b/>
                <w:bCs/>
                <w:sz w:val="22"/>
                <w:szCs w:val="22"/>
              </w:rPr>
            </w:pPr>
            <w:r w:rsidRPr="004061EF">
              <w:rPr>
                <w:b/>
                <w:bCs/>
                <w:color w:val="000000"/>
                <w:sz w:val="22"/>
                <w:szCs w:val="22"/>
                <w:lang w:val="es-ES"/>
              </w:rPr>
              <w:t>Seleccione una de las dos casillas</w:t>
            </w:r>
          </w:p>
        </w:tc>
      </w:tr>
      <w:tr w:rsidR="00DA133C" w:rsidRPr="004061EF" w14:paraId="7DAF0887" w14:textId="77777777" w:rsidTr="00323037">
        <w:trPr>
          <w:trHeight w:val="1484"/>
        </w:trPr>
        <w:tc>
          <w:tcPr>
            <w:tcW w:w="2067" w:type="dxa"/>
            <w:vMerge w:val="restart"/>
            <w:vAlign w:val="center"/>
          </w:tcPr>
          <w:p w14:paraId="00059821" w14:textId="244E1835" w:rsidR="00DA133C" w:rsidRPr="004061EF" w:rsidRDefault="00DA133C" w:rsidP="00323037">
            <w:pPr>
              <w:spacing w:before="60" w:after="60"/>
              <w:jc w:val="center"/>
              <w:rPr>
                <w:rFonts w:cstheme="minorHAnsi"/>
                <w:b/>
                <w:bCs/>
                <w:sz w:val="22"/>
                <w:szCs w:val="22"/>
              </w:rPr>
            </w:pPr>
            <w:r w:rsidRPr="004061EF">
              <w:rPr>
                <w:b/>
                <w:bCs/>
                <w:color w:val="000000"/>
                <w:sz w:val="22"/>
                <w:szCs w:val="22"/>
                <w:lang w:val="es-ES"/>
              </w:rPr>
              <w:t>Proyecto de nueva Recomendación UIT-T Q.5036 (antes Q.IEC</w:t>
            </w:r>
            <w:r w:rsidR="009F31D1" w:rsidRPr="004061EF">
              <w:rPr>
                <w:b/>
                <w:bCs/>
                <w:color w:val="000000"/>
                <w:sz w:val="22"/>
                <w:szCs w:val="22"/>
                <w:lang w:val="es-ES"/>
              </w:rPr>
              <w:noBreakHyphen/>
            </w:r>
            <w:r w:rsidRPr="004061EF">
              <w:rPr>
                <w:b/>
                <w:bCs/>
                <w:color w:val="000000"/>
                <w:sz w:val="22"/>
                <w:szCs w:val="22"/>
                <w:lang w:val="es-ES"/>
              </w:rPr>
              <w:t>PDMF)</w:t>
            </w:r>
          </w:p>
        </w:tc>
        <w:tc>
          <w:tcPr>
            <w:tcW w:w="7652" w:type="dxa"/>
            <w:vAlign w:val="center"/>
          </w:tcPr>
          <w:p w14:paraId="71A9E0FC" w14:textId="09260373" w:rsidR="00DA133C" w:rsidRPr="004061EF" w:rsidRDefault="009F31D1" w:rsidP="00323037">
            <w:pPr>
              <w:tabs>
                <w:tab w:val="clear" w:pos="794"/>
                <w:tab w:val="clear" w:pos="1191"/>
                <w:tab w:val="clear" w:pos="1588"/>
                <w:tab w:val="clear" w:pos="1985"/>
              </w:tabs>
              <w:spacing w:before="60" w:after="60"/>
              <w:ind w:left="45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00DA133C" w:rsidRPr="004061EF">
              <w:rPr>
                <w:color w:val="000000"/>
                <w:sz w:val="22"/>
                <w:szCs w:val="22"/>
                <w:lang w:val="es-ES"/>
              </w:rPr>
              <w:tab/>
            </w:r>
            <w:r w:rsidR="00DA133C" w:rsidRPr="004061EF">
              <w:rPr>
                <w:b/>
                <w:bCs/>
                <w:color w:val="000000"/>
                <w:sz w:val="22"/>
                <w:szCs w:val="22"/>
                <w:lang w:val="es-ES"/>
              </w:rPr>
              <w:t>Otorga autoridad</w:t>
            </w:r>
            <w:r w:rsidR="00DA133C" w:rsidRPr="004061EF">
              <w:rPr>
                <w:color w:val="000000"/>
                <w:sz w:val="22"/>
                <w:szCs w:val="22"/>
                <w:lang w:val="es-ES"/>
              </w:rPr>
              <w:t xml:space="preserve"> a la Comisión de Estudio 11 a fin de examinar este texto para aprobación (en cuyo caso seleccionará una de las dos opciones):</w:t>
            </w:r>
          </w:p>
          <w:p w14:paraId="1D2909D4" w14:textId="17BAE9DD" w:rsidR="00DA133C" w:rsidRPr="004061EF" w:rsidRDefault="009F31D1" w:rsidP="00323037">
            <w:pPr>
              <w:tabs>
                <w:tab w:val="clear" w:pos="794"/>
                <w:tab w:val="clear" w:pos="1191"/>
                <w:tab w:val="clear" w:pos="1588"/>
                <w:tab w:val="clear" w:pos="1985"/>
              </w:tabs>
              <w:spacing w:before="60" w:after="60"/>
              <w:ind w:left="93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00DA133C" w:rsidRPr="004061EF">
              <w:rPr>
                <w:color w:val="000000"/>
                <w:sz w:val="22"/>
                <w:szCs w:val="22"/>
                <w:lang w:val="es-ES"/>
              </w:rPr>
              <w:tab/>
              <w:t>Sin comentarios o cambios sugeridos</w:t>
            </w:r>
          </w:p>
          <w:p w14:paraId="4A6AC908" w14:textId="0CB98C95" w:rsidR="00DA133C" w:rsidRPr="004061EF" w:rsidRDefault="009F31D1" w:rsidP="00323037">
            <w:pPr>
              <w:tabs>
                <w:tab w:val="clear" w:pos="794"/>
                <w:tab w:val="clear" w:pos="1191"/>
                <w:tab w:val="clear" w:pos="1588"/>
                <w:tab w:val="clear" w:pos="1985"/>
              </w:tabs>
              <w:spacing w:before="60" w:after="60"/>
              <w:ind w:left="93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00DA133C" w:rsidRPr="004061EF">
              <w:rPr>
                <w:color w:val="000000"/>
                <w:sz w:val="22"/>
                <w:szCs w:val="22"/>
                <w:lang w:val="es-ES"/>
              </w:rPr>
              <w:tab/>
              <w:t>Se adjuntan los comentarios o cambios sugeridos</w:t>
            </w:r>
          </w:p>
        </w:tc>
      </w:tr>
      <w:tr w:rsidR="00DA133C" w:rsidRPr="004061EF" w14:paraId="0F3B2344" w14:textId="77777777" w:rsidTr="00323037">
        <w:trPr>
          <w:trHeight w:val="1106"/>
        </w:trPr>
        <w:tc>
          <w:tcPr>
            <w:tcW w:w="2067" w:type="dxa"/>
            <w:vMerge/>
            <w:vAlign w:val="center"/>
          </w:tcPr>
          <w:p w14:paraId="3EE70DF7" w14:textId="77777777" w:rsidR="00DA133C" w:rsidRPr="004061EF" w:rsidRDefault="00DA133C" w:rsidP="00323037">
            <w:pPr>
              <w:spacing w:before="60" w:after="60"/>
              <w:jc w:val="center"/>
              <w:rPr>
                <w:rFonts w:cstheme="minorHAnsi"/>
                <w:b/>
                <w:bCs/>
                <w:sz w:val="22"/>
                <w:szCs w:val="22"/>
              </w:rPr>
            </w:pPr>
          </w:p>
        </w:tc>
        <w:tc>
          <w:tcPr>
            <w:tcW w:w="7652" w:type="dxa"/>
            <w:vAlign w:val="center"/>
          </w:tcPr>
          <w:p w14:paraId="410F9E5D" w14:textId="35A2C4B4" w:rsidR="00DA133C" w:rsidRPr="004061EF" w:rsidRDefault="009F31D1" w:rsidP="00323037">
            <w:pPr>
              <w:tabs>
                <w:tab w:val="clear" w:pos="794"/>
                <w:tab w:val="clear" w:pos="1191"/>
                <w:tab w:val="clear" w:pos="1588"/>
                <w:tab w:val="clear" w:pos="1985"/>
                <w:tab w:val="left" w:pos="250"/>
              </w:tabs>
              <w:spacing w:before="60" w:after="60"/>
              <w:ind w:left="45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00DA133C" w:rsidRPr="004061EF">
              <w:rPr>
                <w:color w:val="000000"/>
                <w:sz w:val="22"/>
                <w:szCs w:val="22"/>
                <w:lang w:val="es-ES"/>
              </w:rPr>
              <w:tab/>
            </w:r>
            <w:r w:rsidR="00DA133C" w:rsidRPr="004061EF">
              <w:rPr>
                <w:b/>
                <w:bCs/>
                <w:color w:val="000000"/>
                <w:sz w:val="22"/>
                <w:szCs w:val="22"/>
                <w:lang w:val="es-ES"/>
              </w:rPr>
              <w:t>No otorga autoridad</w:t>
            </w:r>
            <w:r w:rsidR="00DA133C" w:rsidRPr="004061EF">
              <w:rPr>
                <w:color w:val="000000"/>
                <w:sz w:val="22"/>
                <w:szCs w:val="22"/>
                <w:lang w:val="es-ES"/>
              </w:rPr>
              <w:t xml:space="preserve"> a la Comisión de Estudio 11 a fin de examinar este texto para aprobación (se adjuntan los motivos para esta opinión y las posibles modificaciones que permitirían que prosiguieran los trabajos).</w:t>
            </w:r>
          </w:p>
        </w:tc>
      </w:tr>
      <w:tr w:rsidR="00DA133C" w:rsidRPr="004061EF" w14:paraId="42F76C92" w14:textId="77777777" w:rsidTr="00323037">
        <w:trPr>
          <w:trHeight w:val="1574"/>
        </w:trPr>
        <w:tc>
          <w:tcPr>
            <w:tcW w:w="2067" w:type="dxa"/>
            <w:vMerge w:val="restart"/>
            <w:vAlign w:val="center"/>
          </w:tcPr>
          <w:p w14:paraId="6AC49422" w14:textId="77777777" w:rsidR="00DA133C" w:rsidRPr="004061EF" w:rsidRDefault="00DA133C" w:rsidP="00323037">
            <w:pPr>
              <w:spacing w:before="60" w:after="60"/>
              <w:jc w:val="center"/>
              <w:rPr>
                <w:rFonts w:cstheme="minorHAnsi"/>
                <w:b/>
                <w:bCs/>
                <w:sz w:val="22"/>
                <w:szCs w:val="22"/>
              </w:rPr>
            </w:pPr>
            <w:r w:rsidRPr="004061EF">
              <w:rPr>
                <w:b/>
                <w:bCs/>
                <w:color w:val="000000"/>
                <w:sz w:val="22"/>
                <w:szCs w:val="22"/>
                <w:lang w:val="es-ES"/>
              </w:rPr>
              <w:t xml:space="preserve">Proyecto de nueva Recomendación UIT-T Q.5015 (antes </w:t>
            </w:r>
            <w:proofErr w:type="spellStart"/>
            <w:r w:rsidRPr="004061EF">
              <w:rPr>
                <w:b/>
                <w:bCs/>
                <w:color w:val="000000"/>
                <w:sz w:val="22"/>
                <w:szCs w:val="22"/>
                <w:lang w:val="es-ES"/>
              </w:rPr>
              <w:t>Q.cco-mec</w:t>
            </w:r>
            <w:proofErr w:type="spellEnd"/>
            <w:r w:rsidRPr="004061EF">
              <w:rPr>
                <w:b/>
                <w:bCs/>
                <w:color w:val="000000"/>
                <w:sz w:val="22"/>
                <w:szCs w:val="22"/>
                <w:lang w:val="es-ES"/>
              </w:rPr>
              <w:t>)</w:t>
            </w:r>
          </w:p>
        </w:tc>
        <w:tc>
          <w:tcPr>
            <w:tcW w:w="7652" w:type="dxa"/>
            <w:vAlign w:val="center"/>
          </w:tcPr>
          <w:p w14:paraId="1273D18B" w14:textId="5557D316" w:rsidR="00DA133C" w:rsidRPr="004061EF" w:rsidRDefault="009F31D1" w:rsidP="00323037">
            <w:pPr>
              <w:tabs>
                <w:tab w:val="clear" w:pos="794"/>
                <w:tab w:val="clear" w:pos="1191"/>
                <w:tab w:val="clear" w:pos="1588"/>
                <w:tab w:val="clear" w:pos="1985"/>
              </w:tabs>
              <w:spacing w:before="60" w:after="60"/>
              <w:ind w:left="45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00DA133C" w:rsidRPr="004061EF">
              <w:rPr>
                <w:color w:val="000000"/>
                <w:sz w:val="22"/>
                <w:szCs w:val="22"/>
                <w:lang w:val="es-ES"/>
              </w:rPr>
              <w:tab/>
            </w:r>
            <w:r w:rsidR="00DA133C" w:rsidRPr="004061EF">
              <w:rPr>
                <w:b/>
                <w:bCs/>
                <w:color w:val="000000"/>
                <w:sz w:val="22"/>
                <w:szCs w:val="22"/>
                <w:lang w:val="es-ES"/>
              </w:rPr>
              <w:t>Otorga autoridad</w:t>
            </w:r>
            <w:r w:rsidR="00DA133C" w:rsidRPr="004061EF">
              <w:rPr>
                <w:color w:val="000000"/>
                <w:sz w:val="22"/>
                <w:szCs w:val="22"/>
                <w:lang w:val="es-ES"/>
              </w:rPr>
              <w:t xml:space="preserve"> a la Comisión de Estudio 11 a fin de examinar este texto para aprobación (en cuyo caso seleccionará una de las dos opciones):</w:t>
            </w:r>
          </w:p>
          <w:p w14:paraId="003A7846" w14:textId="7CB16D32" w:rsidR="00DA133C" w:rsidRPr="004061EF" w:rsidRDefault="009F31D1" w:rsidP="00323037">
            <w:pPr>
              <w:tabs>
                <w:tab w:val="clear" w:pos="794"/>
                <w:tab w:val="clear" w:pos="1191"/>
                <w:tab w:val="clear" w:pos="1588"/>
                <w:tab w:val="clear" w:pos="1985"/>
              </w:tabs>
              <w:spacing w:before="60" w:after="60"/>
              <w:ind w:left="93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00DA133C" w:rsidRPr="004061EF">
              <w:rPr>
                <w:color w:val="000000"/>
                <w:sz w:val="22"/>
                <w:szCs w:val="22"/>
                <w:lang w:val="es-ES"/>
              </w:rPr>
              <w:tab/>
              <w:t>Sin comentarios o cambios sugeridos</w:t>
            </w:r>
          </w:p>
          <w:p w14:paraId="5E24C070" w14:textId="73BFE3D4" w:rsidR="00DA133C" w:rsidRPr="004061EF" w:rsidRDefault="009F31D1" w:rsidP="00323037">
            <w:pPr>
              <w:tabs>
                <w:tab w:val="clear" w:pos="794"/>
                <w:tab w:val="clear" w:pos="1191"/>
                <w:tab w:val="clear" w:pos="1588"/>
                <w:tab w:val="clear" w:pos="1985"/>
              </w:tabs>
              <w:spacing w:before="60" w:after="60"/>
              <w:ind w:left="93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00DA133C" w:rsidRPr="004061EF">
              <w:rPr>
                <w:color w:val="000000"/>
                <w:sz w:val="22"/>
                <w:szCs w:val="22"/>
                <w:lang w:val="es-ES"/>
              </w:rPr>
              <w:tab/>
              <w:t>Se adjuntan los comentarios o cambios sugeridos</w:t>
            </w:r>
          </w:p>
        </w:tc>
      </w:tr>
      <w:tr w:rsidR="00DA133C" w:rsidRPr="004061EF" w14:paraId="6202066A" w14:textId="77777777" w:rsidTr="00323037">
        <w:trPr>
          <w:trHeight w:val="1349"/>
        </w:trPr>
        <w:tc>
          <w:tcPr>
            <w:tcW w:w="2067" w:type="dxa"/>
            <w:vMerge/>
            <w:vAlign w:val="center"/>
          </w:tcPr>
          <w:p w14:paraId="290CE3C6" w14:textId="77777777" w:rsidR="00DA133C" w:rsidRPr="004061EF" w:rsidRDefault="00DA133C" w:rsidP="00323037">
            <w:pPr>
              <w:spacing w:before="60" w:after="60"/>
              <w:jc w:val="center"/>
              <w:rPr>
                <w:rFonts w:cstheme="minorHAnsi"/>
                <w:b/>
                <w:bCs/>
                <w:sz w:val="22"/>
                <w:szCs w:val="22"/>
                <w:lang w:val="es-ES"/>
              </w:rPr>
            </w:pPr>
          </w:p>
        </w:tc>
        <w:tc>
          <w:tcPr>
            <w:tcW w:w="7652" w:type="dxa"/>
            <w:vAlign w:val="center"/>
          </w:tcPr>
          <w:p w14:paraId="6E8AE863" w14:textId="49E4E468" w:rsidR="00DA133C" w:rsidRPr="004061EF" w:rsidRDefault="009F31D1" w:rsidP="00323037">
            <w:pPr>
              <w:tabs>
                <w:tab w:val="clear" w:pos="794"/>
                <w:tab w:val="clear" w:pos="1191"/>
                <w:tab w:val="clear" w:pos="1588"/>
                <w:tab w:val="clear" w:pos="1985"/>
                <w:tab w:val="left" w:pos="250"/>
              </w:tabs>
              <w:spacing w:before="60" w:after="60"/>
              <w:ind w:left="45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00DA133C" w:rsidRPr="004061EF">
              <w:rPr>
                <w:color w:val="000000"/>
                <w:sz w:val="22"/>
                <w:szCs w:val="22"/>
                <w:lang w:val="es-ES"/>
              </w:rPr>
              <w:tab/>
            </w:r>
            <w:r w:rsidR="00DA133C" w:rsidRPr="004061EF">
              <w:rPr>
                <w:b/>
                <w:bCs/>
                <w:color w:val="000000"/>
                <w:sz w:val="22"/>
                <w:szCs w:val="22"/>
                <w:lang w:val="es-ES"/>
              </w:rPr>
              <w:t>No otorga autoridad</w:t>
            </w:r>
            <w:r w:rsidR="00DA133C" w:rsidRPr="004061EF">
              <w:rPr>
                <w:color w:val="000000"/>
                <w:sz w:val="22"/>
                <w:szCs w:val="22"/>
                <w:lang w:val="es-ES"/>
              </w:rPr>
              <w:t xml:space="preserve"> a la Comisión de Estudio 11 a fin de examinar este texto para aprobación (se adjuntan los motivos para esta opinión y las posibles modificaciones que permitirían que prosiguieran los trabajos).</w:t>
            </w:r>
          </w:p>
        </w:tc>
      </w:tr>
    </w:tbl>
    <w:p w14:paraId="25AD9C0A" w14:textId="77777777" w:rsidR="00DA133C" w:rsidRPr="004061EF" w:rsidRDefault="00DA133C" w:rsidP="004061EF">
      <w:pPr>
        <w:rPr>
          <w:rFonts w:cstheme="minorHAnsi"/>
          <w:sz w:val="22"/>
          <w:szCs w:val="22"/>
        </w:rPr>
      </w:pPr>
      <w:r w:rsidRPr="004061EF">
        <w:rPr>
          <w:sz w:val="22"/>
          <w:szCs w:val="22"/>
          <w:lang w:val="es-ES"/>
        </w:rPr>
        <w:t>Atentamente,</w:t>
      </w:r>
    </w:p>
    <w:p w14:paraId="50EA27E8" w14:textId="11854230" w:rsidR="00DA133C" w:rsidRPr="004061EF" w:rsidRDefault="00DA133C" w:rsidP="004061EF">
      <w:pPr>
        <w:spacing w:before="1080"/>
        <w:rPr>
          <w:sz w:val="22"/>
          <w:szCs w:val="22"/>
          <w:lang w:val="es-ES"/>
        </w:rPr>
      </w:pPr>
      <w:r w:rsidRPr="004061EF">
        <w:rPr>
          <w:sz w:val="22"/>
          <w:szCs w:val="22"/>
          <w:highlight w:val="green"/>
          <w:lang w:val="es-ES"/>
        </w:rPr>
        <w:t>[Nombre]</w:t>
      </w:r>
      <w:r w:rsidRPr="004061EF">
        <w:rPr>
          <w:sz w:val="22"/>
          <w:szCs w:val="22"/>
          <w:highlight w:val="green"/>
          <w:lang w:val="es-ES"/>
        </w:rPr>
        <w:br/>
        <w:t>[Cargo oficial/título]</w:t>
      </w:r>
      <w:r w:rsidRPr="004061EF">
        <w:rPr>
          <w:sz w:val="22"/>
          <w:szCs w:val="22"/>
          <w:lang w:val="es-ES"/>
        </w:rPr>
        <w:br/>
        <w:t xml:space="preserve">Administración de </w:t>
      </w:r>
      <w:r w:rsidRPr="004061EF">
        <w:rPr>
          <w:sz w:val="22"/>
          <w:szCs w:val="22"/>
          <w:highlight w:val="green"/>
          <w:lang w:val="es-ES"/>
        </w:rPr>
        <w:t>[Estado Miembro]</w:t>
      </w:r>
    </w:p>
    <w:p w14:paraId="4048D972" w14:textId="66B915E5" w:rsidR="00DA133C" w:rsidRPr="004061EF" w:rsidRDefault="00DA133C" w:rsidP="004061EF">
      <w:pPr>
        <w:jc w:val="center"/>
        <w:rPr>
          <w:sz w:val="22"/>
          <w:szCs w:val="22"/>
        </w:rPr>
      </w:pPr>
      <w:r w:rsidRPr="004061EF">
        <w:rPr>
          <w:sz w:val="22"/>
          <w:szCs w:val="22"/>
        </w:rPr>
        <w:t>______________</w:t>
      </w:r>
    </w:p>
    <w:sectPr w:rsidR="00DA133C" w:rsidRPr="004061EF" w:rsidSect="00B87E9E">
      <w:headerReference w:type="default" r:id="rId21"/>
      <w:footerReference w:type="first" r:id="rId22"/>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3CE1" w14:textId="77777777" w:rsidR="00DA133C" w:rsidRDefault="00DA133C">
      <w:r>
        <w:separator/>
      </w:r>
    </w:p>
  </w:endnote>
  <w:endnote w:type="continuationSeparator" w:id="0">
    <w:p w14:paraId="1A38B7B8" w14:textId="77777777" w:rsidR="00DA133C" w:rsidRDefault="00DA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C739"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E12C" w14:textId="77777777" w:rsidR="00DA133C" w:rsidRDefault="00DA133C">
      <w:r>
        <w:t>____________________</w:t>
      </w:r>
    </w:p>
  </w:footnote>
  <w:footnote w:type="continuationSeparator" w:id="0">
    <w:p w14:paraId="00B27B47" w14:textId="77777777" w:rsidR="00DA133C" w:rsidRDefault="00DA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3FB3" w14:textId="334C6A56"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15982C94" w14:textId="3661AE07" w:rsidR="002A7EBD" w:rsidRPr="00303D62" w:rsidRDefault="002A7EBD">
    <w:pPr>
      <w:pStyle w:val="Header"/>
      <w:rPr>
        <w:sz w:val="18"/>
        <w:szCs w:val="18"/>
      </w:rPr>
    </w:pPr>
    <w:r>
      <w:rPr>
        <w:rStyle w:val="PageNumber"/>
        <w:sz w:val="18"/>
        <w:szCs w:val="18"/>
      </w:rPr>
      <w:t>Circular TSB 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3C"/>
    <w:rsid w:val="00002529"/>
    <w:rsid w:val="000725B8"/>
    <w:rsid w:val="00085662"/>
    <w:rsid w:val="000C3008"/>
    <w:rsid w:val="000C382F"/>
    <w:rsid w:val="001173CC"/>
    <w:rsid w:val="001350B9"/>
    <w:rsid w:val="0014464D"/>
    <w:rsid w:val="001A54CC"/>
    <w:rsid w:val="001F249A"/>
    <w:rsid w:val="00257FB4"/>
    <w:rsid w:val="002A7EBD"/>
    <w:rsid w:val="002E496E"/>
    <w:rsid w:val="00303D62"/>
    <w:rsid w:val="00335367"/>
    <w:rsid w:val="00370C2D"/>
    <w:rsid w:val="003D1E8D"/>
    <w:rsid w:val="003D673B"/>
    <w:rsid w:val="003F2855"/>
    <w:rsid w:val="00401C20"/>
    <w:rsid w:val="004061EF"/>
    <w:rsid w:val="004A7957"/>
    <w:rsid w:val="004C4144"/>
    <w:rsid w:val="0055719E"/>
    <w:rsid w:val="006969B4"/>
    <w:rsid w:val="006E4F7B"/>
    <w:rsid w:val="00781E2A"/>
    <w:rsid w:val="007933A2"/>
    <w:rsid w:val="007B6316"/>
    <w:rsid w:val="00814503"/>
    <w:rsid w:val="00817FD5"/>
    <w:rsid w:val="008258C2"/>
    <w:rsid w:val="00827F25"/>
    <w:rsid w:val="008505BD"/>
    <w:rsid w:val="00850C78"/>
    <w:rsid w:val="00876165"/>
    <w:rsid w:val="00884D12"/>
    <w:rsid w:val="008C17AD"/>
    <w:rsid w:val="008D02CD"/>
    <w:rsid w:val="008D38D0"/>
    <w:rsid w:val="0091370C"/>
    <w:rsid w:val="0095172A"/>
    <w:rsid w:val="009A0BA0"/>
    <w:rsid w:val="009F31D1"/>
    <w:rsid w:val="00A54E47"/>
    <w:rsid w:val="00AB6E3A"/>
    <w:rsid w:val="00AE7093"/>
    <w:rsid w:val="00B422BC"/>
    <w:rsid w:val="00B43F77"/>
    <w:rsid w:val="00B55A3E"/>
    <w:rsid w:val="00B87E9E"/>
    <w:rsid w:val="00B95F0A"/>
    <w:rsid w:val="00B96180"/>
    <w:rsid w:val="00C116FE"/>
    <w:rsid w:val="00C17AC0"/>
    <w:rsid w:val="00C34772"/>
    <w:rsid w:val="00C5465A"/>
    <w:rsid w:val="00D54642"/>
    <w:rsid w:val="00D834E7"/>
    <w:rsid w:val="00DA133C"/>
    <w:rsid w:val="00DD77C9"/>
    <w:rsid w:val="00DF3538"/>
    <w:rsid w:val="00E839B0"/>
    <w:rsid w:val="00E92C09"/>
    <w:rsid w:val="00F14380"/>
    <w:rsid w:val="00F6461F"/>
    <w:rsid w:val="00F665D2"/>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C5E87"/>
  <w15:docId w15:val="{6327EAF6-DC8A-40B6-A0E9-E0FCF73F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Annextitle0">
    <w:name w:val="Annex_title"/>
    <w:basedOn w:val="Normal"/>
    <w:next w:val="Normal"/>
    <w:rsid w:val="00DA133C"/>
    <w:pPr>
      <w:keepNext/>
      <w:keepLines/>
      <w:spacing w:before="240" w:after="280"/>
      <w:jc w:val="center"/>
    </w:pPr>
    <w:rPr>
      <w:rFonts w:ascii="Calibri" w:hAnsi="Calibri"/>
      <w:b/>
      <w:sz w:val="28"/>
      <w:lang w:val="en-GB"/>
    </w:rPr>
  </w:style>
  <w:style w:type="paragraph" w:customStyle="1" w:styleId="Reasons">
    <w:name w:val="Reasons"/>
    <w:basedOn w:val="Normal"/>
    <w:qFormat/>
    <w:rsid w:val="00DA133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DA1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pr/" TargetMode="External"/><Relationship Id="rId18" Type="http://schemas.openxmlformats.org/officeDocument/2006/relationships/hyperlink" Target="http://www.itu.int/ip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d/meetingdoc.asp?lang=en&amp;parent=T25-SG11-R-0012" TargetMode="External"/><Relationship Id="rId17" Type="http://schemas.openxmlformats.org/officeDocument/2006/relationships/hyperlink" Target="https://www.itu.int/md/T25-SG11-251117-TD-GEN-0619/en" TargetMode="External"/><Relationship Id="rId2" Type="http://schemas.openxmlformats.org/officeDocument/2006/relationships/numbering" Target="numbering.xml"/><Relationship Id="rId16" Type="http://schemas.openxmlformats.org/officeDocument/2006/relationships/hyperlink" Target="https://www.itu.int/md/T25-SG11-251117-TD-GEN-0619/es" TargetMode="External"/><Relationship Id="rId20" Type="http://schemas.openxmlformats.org/officeDocument/2006/relationships/hyperlink" Target="mailto:tsbdir@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1-R-0012/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meetingdoc.asp?lang=en&amp;parent=T25-SG11-R-0011"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u.int/ipr/" TargetMode="Externa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s://www.itu.int/md/T25-SG11-R-0011/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25</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Manager>ITU-T</Manager>
  <Company>International Telecommunication Union (ITU)</Company>
  <LinksUpToDate>false</LinksUpToDate>
  <CharactersWithSpaces>8740</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Spanish</dc:creator>
  <dc:description>2502997S.docx  For: _x000d_Document date: _x000d_Saved by ITU51018020 at 11:12:13 on 18.12.25</dc:description>
  <cp:lastModifiedBy>Braud, Olivia</cp:lastModifiedBy>
  <cp:revision>8</cp:revision>
  <cp:lastPrinted>2025-12-18T10:22:00Z</cp:lastPrinted>
  <dcterms:created xsi:type="dcterms:W3CDTF">2025-12-02T14:55:00Z</dcterms:created>
  <dcterms:modified xsi:type="dcterms:W3CDTF">2025-12-18T10:23:00Z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2502997S.docx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