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170" w:type="dxa"/>
        <w:tblLayout w:type="fixed"/>
        <w:tblLook w:val="0000" w:firstRow="0" w:lastRow="0" w:firstColumn="0" w:lastColumn="0" w:noHBand="0" w:noVBand="0"/>
      </w:tblPr>
      <w:tblGrid>
        <w:gridCol w:w="1238"/>
        <w:gridCol w:w="4007"/>
        <w:gridCol w:w="2402"/>
        <w:gridCol w:w="2523"/>
      </w:tblGrid>
      <w:tr w:rsidR="00FA46A0" w:rsidRPr="0050551E" w14:paraId="493727AE" w14:textId="77777777" w:rsidTr="00F17F00">
        <w:trPr>
          <w:trHeight w:val="1260"/>
        </w:trPr>
        <w:tc>
          <w:tcPr>
            <w:tcW w:w="123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3F7D3C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3F7D3C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3F7D3C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3F7D3C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3F7D3C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3F7D3C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523" w:type="dxa"/>
            <w:vAlign w:val="center"/>
          </w:tcPr>
          <w:p w14:paraId="552D62E1" w14:textId="77777777" w:rsidR="00FA46A0" w:rsidRPr="003F7D3C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3F7D3C" w14:paraId="0DC86AF3" w14:textId="77777777" w:rsidTr="002035D7">
        <w:trPr>
          <w:cantSplit/>
          <w:trHeight w:val="357"/>
        </w:trPr>
        <w:tc>
          <w:tcPr>
            <w:tcW w:w="5245" w:type="dxa"/>
            <w:gridSpan w:val="2"/>
            <w:vAlign w:val="center"/>
          </w:tcPr>
          <w:p w14:paraId="63FA2529" w14:textId="77777777" w:rsidR="00FA46A0" w:rsidRPr="003F7D3C" w:rsidRDefault="00FA46A0" w:rsidP="00E32725">
            <w:pPr>
              <w:pStyle w:val="Tabletext"/>
              <w:spacing w:before="120" w:after="120"/>
              <w:rPr>
                <w:szCs w:val="22"/>
                <w:lang w:val="ru-RU"/>
              </w:rPr>
            </w:pPr>
          </w:p>
        </w:tc>
        <w:tc>
          <w:tcPr>
            <w:tcW w:w="4925" w:type="dxa"/>
            <w:gridSpan w:val="2"/>
            <w:vAlign w:val="center"/>
          </w:tcPr>
          <w:p w14:paraId="0E7085C4" w14:textId="504F1732" w:rsidR="00FA46A0" w:rsidRPr="003F7D3C" w:rsidRDefault="00DF3447" w:rsidP="00E32725">
            <w:pPr>
              <w:pStyle w:val="Tabletext"/>
              <w:spacing w:before="120" w:after="120"/>
              <w:rPr>
                <w:szCs w:val="22"/>
                <w:lang w:val="ru-RU"/>
              </w:rPr>
            </w:pPr>
            <w:r w:rsidRPr="003F7D3C">
              <w:rPr>
                <w:lang w:val="ru-RU"/>
              </w:rPr>
              <w:t xml:space="preserve">Женева, </w:t>
            </w:r>
            <w:r w:rsidR="00567B40" w:rsidRPr="003F7D3C">
              <w:rPr>
                <w:rFonts w:cstheme="minorHAnsi"/>
                <w:color w:val="000000"/>
                <w:szCs w:val="22"/>
                <w:lang w:val="ru-RU"/>
              </w:rPr>
              <w:t xml:space="preserve">1 декабря </w:t>
            </w:r>
            <w:r w:rsidR="00375817" w:rsidRPr="003F7D3C">
              <w:rPr>
                <w:lang w:val="ru-RU"/>
              </w:rPr>
              <w:t>2025</w:t>
            </w:r>
            <w:r w:rsidRPr="003F7D3C">
              <w:rPr>
                <w:lang w:val="ru-RU"/>
              </w:rPr>
              <w:t xml:space="preserve"> года</w:t>
            </w:r>
          </w:p>
        </w:tc>
      </w:tr>
      <w:tr w:rsidR="00B84746" w:rsidRPr="0050551E" w14:paraId="21DD573F" w14:textId="77777777" w:rsidTr="002035D7">
        <w:trPr>
          <w:cantSplit/>
          <w:trHeight w:val="306"/>
        </w:trPr>
        <w:tc>
          <w:tcPr>
            <w:tcW w:w="1238" w:type="dxa"/>
          </w:tcPr>
          <w:p w14:paraId="5CBBAF56" w14:textId="77777777" w:rsidR="00B84746" w:rsidRPr="003F7D3C" w:rsidRDefault="00B84746" w:rsidP="0050551E">
            <w:pPr>
              <w:pStyle w:val="Tabletext"/>
              <w:spacing w:before="0"/>
              <w:ind w:left="70"/>
              <w:rPr>
                <w:szCs w:val="22"/>
                <w:lang w:val="ru-RU"/>
              </w:rPr>
            </w:pPr>
            <w:r w:rsidRPr="003F7D3C">
              <w:rPr>
                <w:b/>
                <w:bCs/>
                <w:szCs w:val="22"/>
                <w:lang w:val="ru-RU"/>
              </w:rPr>
              <w:t>Осн</w:t>
            </w:r>
            <w:r w:rsidRPr="003F7D3C">
              <w:rPr>
                <w:szCs w:val="22"/>
                <w:lang w:val="ru-RU"/>
              </w:rPr>
              <w:t>.:</w:t>
            </w:r>
          </w:p>
        </w:tc>
        <w:tc>
          <w:tcPr>
            <w:tcW w:w="4007" w:type="dxa"/>
          </w:tcPr>
          <w:p w14:paraId="274265E3" w14:textId="01043FD1" w:rsidR="00B84746" w:rsidRPr="003F7D3C" w:rsidRDefault="00B84746" w:rsidP="00E32725">
            <w:pPr>
              <w:pStyle w:val="Tabletext"/>
              <w:spacing w:before="0"/>
              <w:rPr>
                <w:b/>
                <w:bCs/>
                <w:szCs w:val="22"/>
                <w:lang w:val="ru-RU"/>
              </w:rPr>
            </w:pPr>
            <w:r w:rsidRPr="003F7D3C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567B40" w:rsidRPr="003F7D3C">
              <w:rPr>
                <w:b/>
                <w:bCs/>
                <w:szCs w:val="22"/>
                <w:lang w:val="ru-RU"/>
              </w:rPr>
              <w:t>94</w:t>
            </w:r>
            <w:r w:rsidRPr="003F7D3C">
              <w:rPr>
                <w:b/>
                <w:bCs/>
                <w:szCs w:val="22"/>
                <w:lang w:val="ru-RU"/>
              </w:rPr>
              <w:t xml:space="preserve"> БСЭ</w:t>
            </w:r>
            <w:r w:rsidRPr="003F7D3C">
              <w:rPr>
                <w:b/>
                <w:bCs/>
                <w:szCs w:val="22"/>
                <w:lang w:val="ru-RU"/>
              </w:rPr>
              <w:br/>
            </w:r>
            <w:r w:rsidR="00621104" w:rsidRPr="003F7D3C">
              <w:rPr>
                <w:lang w:val="ru-RU"/>
              </w:rPr>
              <w:t>SG11/DA</w:t>
            </w:r>
          </w:p>
        </w:tc>
        <w:tc>
          <w:tcPr>
            <w:tcW w:w="4925" w:type="dxa"/>
            <w:gridSpan w:val="2"/>
            <w:vMerge w:val="restart"/>
          </w:tcPr>
          <w:p w14:paraId="04E7EB04" w14:textId="73F39979" w:rsidR="00B84746" w:rsidRPr="003F7D3C" w:rsidRDefault="00B84746" w:rsidP="00E327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b/>
                <w:bCs/>
                <w:szCs w:val="22"/>
                <w:lang w:val="ru-RU"/>
              </w:rPr>
              <w:t>Кому</w:t>
            </w:r>
            <w:r w:rsidRPr="003F7D3C">
              <w:rPr>
                <w:szCs w:val="22"/>
                <w:lang w:val="ru-RU"/>
              </w:rPr>
              <w:t>:</w:t>
            </w:r>
          </w:p>
          <w:p w14:paraId="1A727018" w14:textId="428FE7B1" w:rsidR="00B84746" w:rsidRPr="003F7D3C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B84746" w:rsidRPr="003F7D3C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BBD01A0" w14:textId="270859B4" w:rsidR="00375817" w:rsidRPr="003F7D3C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375817" w:rsidRPr="003F7D3C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0EFCD1F" w14:textId="77777777" w:rsidR="00E30580" w:rsidRPr="003F7D3C" w:rsidRDefault="00E30580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b/>
                <w:bCs/>
                <w:szCs w:val="22"/>
                <w:lang w:val="ru-RU"/>
              </w:rPr>
              <w:t>Копии</w:t>
            </w:r>
            <w:r w:rsidRPr="003F7D3C">
              <w:rPr>
                <w:szCs w:val="22"/>
                <w:lang w:val="ru-RU"/>
              </w:rPr>
              <w:t>:</w:t>
            </w:r>
          </w:p>
          <w:p w14:paraId="081F1570" w14:textId="1747BAF0" w:rsidR="00B84746" w:rsidRPr="00E32725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B84746" w:rsidRPr="003F7D3C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6C3E8DAA" w:rsidR="00B84746" w:rsidRPr="003F7D3C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B84746" w:rsidRPr="003F7D3C">
              <w:rPr>
                <w:szCs w:val="22"/>
                <w:lang w:val="ru-RU"/>
              </w:rPr>
              <w:tab/>
              <w:t>Ассоциированным членам</w:t>
            </w:r>
            <w:r w:rsidR="00F12D97" w:rsidRPr="003F7D3C">
              <w:rPr>
                <w:szCs w:val="22"/>
                <w:lang w:val="ru-RU"/>
              </w:rPr>
              <w:t xml:space="preserve">, </w:t>
            </w:r>
            <w:r w:rsidR="00F12D97" w:rsidRPr="003F7D3C">
              <w:rPr>
                <w:lang w:val="ru-RU"/>
              </w:rPr>
              <w:t>участвующим в</w:t>
            </w:r>
            <w:r w:rsidR="00E32725">
              <w:rPr>
                <w:lang w:val="ru-RU"/>
              </w:rPr>
              <w:t> </w:t>
            </w:r>
            <w:r w:rsidR="00F12D97" w:rsidRPr="003F7D3C">
              <w:rPr>
                <w:lang w:val="ru-RU"/>
              </w:rPr>
              <w:t xml:space="preserve">работе </w:t>
            </w:r>
            <w:r w:rsidR="00325E4D" w:rsidRPr="003F7D3C">
              <w:rPr>
                <w:lang w:val="ru-RU"/>
              </w:rPr>
              <w:t>11</w:t>
            </w:r>
            <w:r w:rsidR="00F12D97" w:rsidRPr="003F7D3C">
              <w:rPr>
                <w:lang w:val="ru-RU"/>
              </w:rPr>
              <w:noBreakHyphen/>
              <w:t>й Исследовательской комиссии</w:t>
            </w:r>
            <w:r w:rsidR="00325E4D" w:rsidRPr="003F7D3C">
              <w:rPr>
                <w:szCs w:val="22"/>
                <w:lang w:val="ru-RU"/>
              </w:rPr>
              <w:t xml:space="preserve"> МСЭ-Т</w:t>
            </w:r>
          </w:p>
          <w:p w14:paraId="16ECAE56" w14:textId="2438AABD" w:rsidR="00B84746" w:rsidRPr="003F7D3C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B84746" w:rsidRPr="003F7D3C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6EEAE5D9" w:rsidR="00B84746" w:rsidRPr="003F7D3C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B84746" w:rsidRPr="003F7D3C">
              <w:rPr>
                <w:szCs w:val="22"/>
                <w:lang w:val="ru-RU"/>
              </w:rPr>
              <w:tab/>
            </w:r>
            <w:r w:rsidR="00F12D97" w:rsidRPr="003F7D3C">
              <w:rPr>
                <w:lang w:val="ru-RU"/>
              </w:rPr>
              <w:t xml:space="preserve">Председателю и заместителям </w:t>
            </w:r>
            <w:r w:rsidR="00F26A42" w:rsidRPr="003F7D3C">
              <w:rPr>
                <w:lang w:val="ru-RU"/>
              </w:rPr>
              <w:t xml:space="preserve">Председателя </w:t>
            </w:r>
            <w:r w:rsidR="00325E4D" w:rsidRPr="003F7D3C">
              <w:rPr>
                <w:lang w:val="ru-RU"/>
              </w:rPr>
              <w:t>11</w:t>
            </w:r>
            <w:r w:rsidR="00F12D97" w:rsidRPr="003F7D3C">
              <w:rPr>
                <w:lang w:val="ru-RU"/>
              </w:rPr>
              <w:noBreakHyphen/>
              <w:t>й</w:t>
            </w:r>
            <w:r w:rsidRPr="003F7D3C">
              <w:rPr>
                <w:lang w:val="ru-RU"/>
              </w:rPr>
              <w:t> </w:t>
            </w:r>
            <w:r w:rsidR="00F12D97" w:rsidRPr="003F7D3C">
              <w:rPr>
                <w:lang w:val="ru-RU"/>
              </w:rPr>
              <w:t>Исследовательской комиссии МСЭ-Т</w:t>
            </w:r>
          </w:p>
          <w:p w14:paraId="7A2D983B" w14:textId="5A6B4D5A" w:rsidR="00B84746" w:rsidRPr="003F7D3C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B84746" w:rsidRPr="003F7D3C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6493ADB3" w:rsidR="00ED2F1E" w:rsidRPr="003F7D3C" w:rsidRDefault="00BD6B68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line="240" w:lineRule="exact"/>
              <w:ind w:left="284" w:hanging="284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sym w:font="Symbol" w:char="F02D"/>
            </w:r>
            <w:r w:rsidR="00B84746" w:rsidRPr="003F7D3C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621104" w:rsidRPr="003F7D3C" w14:paraId="59643F58" w14:textId="77777777" w:rsidTr="002035D7">
        <w:trPr>
          <w:cantSplit/>
          <w:trHeight w:val="70"/>
        </w:trPr>
        <w:tc>
          <w:tcPr>
            <w:tcW w:w="1238" w:type="dxa"/>
          </w:tcPr>
          <w:p w14:paraId="0F76D4B7" w14:textId="1C2D0D2C" w:rsidR="00621104" w:rsidRPr="003F7D3C" w:rsidRDefault="00621104" w:rsidP="0050551E">
            <w:pPr>
              <w:pStyle w:val="Tabletext"/>
              <w:ind w:left="70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t>Тел.:</w:t>
            </w:r>
          </w:p>
        </w:tc>
        <w:tc>
          <w:tcPr>
            <w:tcW w:w="4007" w:type="dxa"/>
          </w:tcPr>
          <w:p w14:paraId="5CCB23E1" w14:textId="07FB2609" w:rsidR="00621104" w:rsidRPr="003F7D3C" w:rsidRDefault="00621104" w:rsidP="00E32725">
            <w:pPr>
              <w:pStyle w:val="Tabletext"/>
              <w:rPr>
                <w:b/>
                <w:szCs w:val="22"/>
                <w:lang w:val="ru-RU"/>
              </w:rPr>
            </w:pPr>
            <w:r w:rsidRPr="003F7D3C">
              <w:rPr>
                <w:rFonts w:cstheme="minorHAnsi"/>
                <w:szCs w:val="22"/>
                <w:lang w:val="ru-RU"/>
              </w:rPr>
              <w:t>+41 22 730 5780</w:t>
            </w:r>
          </w:p>
        </w:tc>
        <w:tc>
          <w:tcPr>
            <w:tcW w:w="4925" w:type="dxa"/>
            <w:gridSpan w:val="2"/>
            <w:vMerge/>
          </w:tcPr>
          <w:p w14:paraId="782C5FCD" w14:textId="77777777" w:rsidR="00621104" w:rsidRPr="003F7D3C" w:rsidRDefault="00621104" w:rsidP="0062110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621104" w:rsidRPr="003F7D3C" w14:paraId="3EF71149" w14:textId="77777777" w:rsidTr="00E32725">
        <w:trPr>
          <w:cantSplit/>
          <w:trHeight w:val="218"/>
        </w:trPr>
        <w:tc>
          <w:tcPr>
            <w:tcW w:w="1238" w:type="dxa"/>
          </w:tcPr>
          <w:p w14:paraId="65A440B2" w14:textId="7E271778" w:rsidR="00621104" w:rsidRPr="003F7D3C" w:rsidRDefault="00621104" w:rsidP="0050551E">
            <w:pPr>
              <w:pStyle w:val="Tabletext"/>
              <w:ind w:left="70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t>Факс:</w:t>
            </w:r>
          </w:p>
        </w:tc>
        <w:tc>
          <w:tcPr>
            <w:tcW w:w="4007" w:type="dxa"/>
          </w:tcPr>
          <w:p w14:paraId="6952E333" w14:textId="10F9A427" w:rsidR="00621104" w:rsidRPr="003F7D3C" w:rsidRDefault="00621104" w:rsidP="00E32725">
            <w:pPr>
              <w:pStyle w:val="Tabletext"/>
              <w:rPr>
                <w:szCs w:val="22"/>
                <w:lang w:val="ru-RU"/>
              </w:rPr>
            </w:pPr>
            <w:r w:rsidRPr="003F7D3C">
              <w:rPr>
                <w:rFonts w:cstheme="minorHAnsi"/>
                <w:szCs w:val="22"/>
                <w:lang w:val="ru-RU"/>
              </w:rPr>
              <w:t>+41 22 730 5853</w:t>
            </w:r>
          </w:p>
        </w:tc>
        <w:tc>
          <w:tcPr>
            <w:tcW w:w="4925" w:type="dxa"/>
            <w:gridSpan w:val="2"/>
            <w:vMerge/>
          </w:tcPr>
          <w:p w14:paraId="2BE30301" w14:textId="77777777" w:rsidR="00621104" w:rsidRPr="003F7D3C" w:rsidRDefault="00621104" w:rsidP="0062110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621104" w:rsidRPr="003F7D3C" w14:paraId="14553D92" w14:textId="77777777" w:rsidTr="002035D7">
        <w:trPr>
          <w:cantSplit/>
          <w:trHeight w:val="801"/>
        </w:trPr>
        <w:tc>
          <w:tcPr>
            <w:tcW w:w="1238" w:type="dxa"/>
          </w:tcPr>
          <w:p w14:paraId="75DF072E" w14:textId="209F9EC1" w:rsidR="00621104" w:rsidRPr="003F7D3C" w:rsidRDefault="00621104" w:rsidP="0050551E">
            <w:pPr>
              <w:pStyle w:val="Tabletext"/>
              <w:ind w:left="70"/>
              <w:rPr>
                <w:szCs w:val="22"/>
                <w:lang w:val="ru-RU"/>
              </w:rPr>
            </w:pPr>
            <w:r w:rsidRPr="003F7D3C">
              <w:rPr>
                <w:szCs w:val="22"/>
                <w:lang w:val="ru-RU"/>
              </w:rPr>
              <w:t>Эл. почта:</w:t>
            </w:r>
          </w:p>
        </w:tc>
        <w:tc>
          <w:tcPr>
            <w:tcW w:w="4007" w:type="dxa"/>
          </w:tcPr>
          <w:p w14:paraId="0823655A" w14:textId="316899CB" w:rsidR="00621104" w:rsidRPr="003F7D3C" w:rsidRDefault="00621104" w:rsidP="00E327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3F7D3C">
                <w:rPr>
                  <w:rStyle w:val="Hyperlink"/>
                  <w:rFonts w:cstheme="minorHAnsi"/>
                  <w:szCs w:val="22"/>
                  <w:lang w:val="ru-RU"/>
                </w:rPr>
                <w:t>tsbsg11@itu.int</w:t>
              </w:r>
            </w:hyperlink>
          </w:p>
        </w:tc>
        <w:tc>
          <w:tcPr>
            <w:tcW w:w="4925" w:type="dxa"/>
            <w:gridSpan w:val="2"/>
            <w:vMerge/>
          </w:tcPr>
          <w:p w14:paraId="498BD41D" w14:textId="33BA8E1E" w:rsidR="00621104" w:rsidRPr="003F7D3C" w:rsidRDefault="00621104" w:rsidP="0062110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50551E" w14:paraId="5C105EF0" w14:textId="77777777" w:rsidTr="00F17F00">
        <w:trPr>
          <w:cantSplit/>
        </w:trPr>
        <w:tc>
          <w:tcPr>
            <w:tcW w:w="1238" w:type="dxa"/>
          </w:tcPr>
          <w:p w14:paraId="2527C622" w14:textId="77777777" w:rsidR="00F12D97" w:rsidRPr="003F7D3C" w:rsidRDefault="00F12D97" w:rsidP="0050551E">
            <w:pPr>
              <w:pStyle w:val="Tabletext"/>
              <w:spacing w:before="120" w:after="0"/>
              <w:ind w:left="70"/>
              <w:rPr>
                <w:szCs w:val="22"/>
                <w:lang w:val="ru-RU"/>
              </w:rPr>
            </w:pPr>
            <w:r w:rsidRPr="003F7D3C">
              <w:rPr>
                <w:b/>
                <w:bCs/>
                <w:szCs w:val="22"/>
                <w:lang w:val="ru-RU"/>
              </w:rPr>
              <w:t>Предмет</w:t>
            </w:r>
            <w:r w:rsidRPr="003F7D3C">
              <w:rPr>
                <w:szCs w:val="22"/>
                <w:lang w:val="ru-RU"/>
              </w:rPr>
              <w:t>:</w:t>
            </w:r>
          </w:p>
        </w:tc>
        <w:tc>
          <w:tcPr>
            <w:tcW w:w="8932" w:type="dxa"/>
            <w:gridSpan w:val="3"/>
          </w:tcPr>
          <w:p w14:paraId="01E8D3C2" w14:textId="09EA750D" w:rsidR="00F12D97" w:rsidRPr="003F7D3C" w:rsidRDefault="00567B40" w:rsidP="00E32725">
            <w:pPr>
              <w:pStyle w:val="Tabletext"/>
              <w:spacing w:before="120" w:after="60"/>
              <w:rPr>
                <w:rFonts w:cstheme="minorHAnsi"/>
                <w:b/>
                <w:szCs w:val="22"/>
                <w:lang w:val="ru-RU"/>
              </w:rPr>
            </w:pPr>
            <w:r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Консультации с Государствами-Членами по проектам Рекомендаций МСЭ-Т Q.5036 (ранее</w:t>
            </w:r>
            <w:r w:rsidR="002035D7"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 </w:t>
            </w:r>
            <w:r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– Q.IEC-PDMF) и МСЭ-T Q.5015 (ранее – Q.cco-mec), по которым сделаны заключения, и которые предложены для утверждения на собрании 11</w:t>
            </w:r>
            <w:r w:rsidR="00E32725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noBreakHyphen/>
            </w:r>
            <w:r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й</w:t>
            </w:r>
            <w:r w:rsidR="00E32725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 </w:t>
            </w:r>
            <w:r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 xml:space="preserve">Исследовательской комиссии МСЭ-Т </w:t>
            </w:r>
            <w:r w:rsidR="00E32725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br/>
            </w:r>
            <w:r w:rsidRPr="003F7D3C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(планируется провести в Женеве, 3–11 марта 2026 г.)</w:t>
            </w:r>
          </w:p>
        </w:tc>
      </w:tr>
    </w:tbl>
    <w:p w14:paraId="660599B5" w14:textId="77777777" w:rsidR="00414B3C" w:rsidRPr="003F7D3C" w:rsidRDefault="00414B3C" w:rsidP="0050551E">
      <w:pPr>
        <w:pStyle w:val="Normalaftertitle0"/>
        <w:spacing w:before="120"/>
        <w:rPr>
          <w:lang w:val="ru-RU"/>
        </w:rPr>
      </w:pPr>
      <w:r w:rsidRPr="003F7D3C">
        <w:rPr>
          <w:lang w:val="ru-RU"/>
        </w:rPr>
        <w:t>Уважаемая госпожа,</w:t>
      </w:r>
      <w:r w:rsidRPr="003F7D3C">
        <w:rPr>
          <w:lang w:val="ru-RU"/>
        </w:rPr>
        <w:br/>
        <w:t>уважаемый господин,</w:t>
      </w:r>
    </w:p>
    <w:p w14:paraId="13322DDF" w14:textId="4AA6A87F" w:rsidR="00375817" w:rsidRPr="003F7D3C" w:rsidRDefault="00375817" w:rsidP="00E32725">
      <w:pPr>
        <w:spacing w:line="240" w:lineRule="exact"/>
        <w:rPr>
          <w:lang w:val="ru-RU"/>
        </w:rPr>
      </w:pPr>
      <w:r w:rsidRPr="003F7D3C">
        <w:rPr>
          <w:bCs/>
          <w:lang w:val="ru-RU"/>
        </w:rPr>
        <w:t>1</w:t>
      </w:r>
      <w:r w:rsidRPr="003F7D3C">
        <w:rPr>
          <w:lang w:val="ru-RU"/>
        </w:rPr>
        <w:tab/>
      </w:r>
      <w:r w:rsidR="00325E4D" w:rsidRPr="003F7D3C">
        <w:rPr>
          <w:lang w:val="ru-RU"/>
        </w:rPr>
        <w:t>11-я Исследовательская комиссия МСЭ-Т (Требования к сигнализации, протоколы, спецификации тестирования и борьба с контрафактными устройствами электросвязи/ИКТ) намерена применить традиционную процедуру утверждения, описанную в разделе 9 Резолюции 1 (Пересм.</w:t>
      </w:r>
      <w:r w:rsidR="00BD6B68" w:rsidRPr="003F7D3C">
        <w:rPr>
          <w:lang w:val="ru-RU"/>
        </w:rPr>
        <w:t> </w:t>
      </w:r>
      <w:r w:rsidR="00325E4D" w:rsidRPr="003F7D3C">
        <w:rPr>
          <w:lang w:val="ru-RU"/>
        </w:rPr>
        <w:t>Женева, 2022 г.) ВАСЭ, для утверждения указанных выше проектов Рекомендаций на своем следующем собрании, которое планируется провести в Женеве</w:t>
      </w:r>
      <w:r w:rsidRPr="003F7D3C">
        <w:rPr>
          <w:lang w:val="ru-RU"/>
        </w:rPr>
        <w:t xml:space="preserve"> </w:t>
      </w:r>
      <w:r w:rsidR="00567B40" w:rsidRPr="003F7D3C">
        <w:rPr>
          <w:rFonts w:cstheme="minorHAnsi"/>
          <w:lang w:val="ru-RU"/>
        </w:rPr>
        <w:t>3–11 марта 2026 года</w:t>
      </w:r>
      <w:r w:rsidRPr="003F7D3C">
        <w:rPr>
          <w:lang w:val="ru-RU"/>
        </w:rPr>
        <w:t xml:space="preserve">. </w:t>
      </w:r>
      <w:r w:rsidR="00325E4D" w:rsidRPr="003F7D3C">
        <w:rPr>
          <w:bCs/>
          <w:lang w:val="ru-RU"/>
        </w:rPr>
        <w:t>Повестка дня и</w:t>
      </w:r>
      <w:r w:rsidR="00E32725">
        <w:rPr>
          <w:bCs/>
          <w:lang w:val="ru-RU"/>
        </w:rPr>
        <w:t> </w:t>
      </w:r>
      <w:r w:rsidR="00325E4D" w:rsidRPr="003F7D3C">
        <w:rPr>
          <w:bCs/>
          <w:lang w:val="ru-RU"/>
        </w:rPr>
        <w:t>вся соответствующая информация, касающаяся собрания 11-й Исследовательской комиссии МСЭ-Т, будут опубликованы в установленном порядке</w:t>
      </w:r>
      <w:r w:rsidRPr="003F7D3C">
        <w:rPr>
          <w:lang w:val="ru-RU"/>
        </w:rPr>
        <w:t>.</w:t>
      </w:r>
    </w:p>
    <w:p w14:paraId="07168341" w14:textId="27EC890D" w:rsidR="00375817" w:rsidRPr="003F7D3C" w:rsidRDefault="00375817" w:rsidP="00E32725">
      <w:pPr>
        <w:spacing w:line="240" w:lineRule="exact"/>
        <w:rPr>
          <w:lang w:val="ru-RU"/>
        </w:rPr>
      </w:pPr>
      <w:r w:rsidRPr="003F7D3C">
        <w:rPr>
          <w:bCs/>
          <w:lang w:val="ru-RU"/>
        </w:rPr>
        <w:t>2</w:t>
      </w:r>
      <w:r w:rsidRPr="003F7D3C">
        <w:rPr>
          <w:lang w:val="ru-RU"/>
        </w:rPr>
        <w:tab/>
        <w:t>Названи</w:t>
      </w:r>
      <w:r w:rsidR="00B60271" w:rsidRPr="003F7D3C">
        <w:rPr>
          <w:lang w:val="ru-RU"/>
        </w:rPr>
        <w:t>я</w:t>
      </w:r>
      <w:r w:rsidRPr="003F7D3C">
        <w:rPr>
          <w:lang w:val="ru-RU"/>
        </w:rPr>
        <w:t xml:space="preserve">, резюме предлагаемых к утверждению проектов </w:t>
      </w:r>
      <w:r w:rsidR="0037493A" w:rsidRPr="003F7D3C">
        <w:rPr>
          <w:lang w:val="ru-RU"/>
        </w:rPr>
        <w:t>Рекомендаций</w:t>
      </w:r>
      <w:r w:rsidRPr="003F7D3C">
        <w:rPr>
          <w:lang w:val="ru-RU"/>
        </w:rPr>
        <w:t xml:space="preserve"> МСЭ-Т и указание на</w:t>
      </w:r>
      <w:r w:rsidR="00DA5BCE" w:rsidRPr="003F7D3C">
        <w:rPr>
          <w:lang w:val="ru-RU"/>
        </w:rPr>
        <w:t> </w:t>
      </w:r>
      <w:r w:rsidRPr="003F7D3C">
        <w:rPr>
          <w:lang w:val="ru-RU"/>
        </w:rPr>
        <w:t xml:space="preserve">место их размещения содержатся в </w:t>
      </w:r>
      <w:r w:rsidRPr="003F7D3C">
        <w:rPr>
          <w:b/>
          <w:bCs/>
          <w:lang w:val="ru-RU"/>
        </w:rPr>
        <w:t>Приложении 1</w:t>
      </w:r>
      <w:r w:rsidRPr="003F7D3C">
        <w:rPr>
          <w:lang w:val="ru-RU"/>
        </w:rPr>
        <w:t>.</w:t>
      </w:r>
    </w:p>
    <w:p w14:paraId="05B613C8" w14:textId="3BC1883F" w:rsidR="00375817" w:rsidRPr="003F7D3C" w:rsidRDefault="00375817" w:rsidP="00E32725">
      <w:pPr>
        <w:spacing w:line="240" w:lineRule="exact"/>
        <w:rPr>
          <w:lang w:val="ru-RU"/>
        </w:rPr>
      </w:pPr>
      <w:r w:rsidRPr="003F7D3C">
        <w:rPr>
          <w:bCs/>
          <w:lang w:val="ru-RU"/>
        </w:rPr>
        <w:t>3</w:t>
      </w:r>
      <w:r w:rsidRPr="003F7D3C">
        <w:rPr>
          <w:lang w:val="ru-RU"/>
        </w:rPr>
        <w:tab/>
        <w:t>Настоящий Циркуляр открывает официальные консультации с Государ</w:t>
      </w:r>
      <w:r w:rsidRPr="003F7D3C">
        <w:rPr>
          <w:rFonts w:cstheme="minorHAnsi"/>
          <w:lang w:val="ru-RU"/>
        </w:rPr>
        <w:t>ствами − Членами</w:t>
      </w:r>
      <w:r w:rsidRPr="003F7D3C">
        <w:rPr>
          <w:lang w:val="ru-RU"/>
        </w:rPr>
        <w:t xml:space="preserve"> МСЭ относительно возможности рассмотрения этих текстов с целью их утверждения на предстоящем собрании в соответствии с п. 9.4 Резолюции 1. Государствам-Членам предлагается заполнить содержащуюся в </w:t>
      </w:r>
      <w:r w:rsidRPr="003F7D3C">
        <w:rPr>
          <w:b/>
          <w:bCs/>
          <w:lang w:val="ru-RU"/>
        </w:rPr>
        <w:t>Приложении 2</w:t>
      </w:r>
      <w:r w:rsidRPr="003F7D3C">
        <w:rPr>
          <w:lang w:val="ru-RU"/>
        </w:rPr>
        <w:t xml:space="preserve"> форму и вернуть ее не позднее 23 час. 59 мин. UTC </w:t>
      </w:r>
      <w:r w:rsidR="00567B40" w:rsidRPr="003F7D3C">
        <w:rPr>
          <w:rFonts w:cstheme="minorHAnsi"/>
          <w:b/>
          <w:bCs/>
          <w:lang w:val="ru-RU"/>
        </w:rPr>
        <w:t>19 февраля 2026 года</w:t>
      </w:r>
      <w:r w:rsidRPr="003F7D3C">
        <w:rPr>
          <w:lang w:val="ru-RU"/>
        </w:rPr>
        <w:t>.</w:t>
      </w:r>
    </w:p>
    <w:p w14:paraId="352197DA" w14:textId="21D853E6" w:rsidR="00375817" w:rsidRPr="003F7D3C" w:rsidRDefault="0062108A" w:rsidP="00E32725">
      <w:pPr>
        <w:spacing w:line="240" w:lineRule="exact"/>
        <w:rPr>
          <w:lang w:val="ru-RU"/>
        </w:rPr>
      </w:pPr>
      <w:r w:rsidRPr="003F7D3C">
        <w:rPr>
          <w:lang w:val="ru-RU"/>
        </w:rPr>
        <w:t>4</w:t>
      </w:r>
      <w:r w:rsidRPr="003F7D3C">
        <w:rPr>
          <w:lang w:val="ru-RU"/>
        </w:rPr>
        <w:tab/>
      </w:r>
      <w:r w:rsidR="00B60271" w:rsidRPr="003F7D3C">
        <w:rPr>
          <w:lang w:val="ru-RU"/>
        </w:rPr>
        <w:t xml:space="preserve"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</w:t>
      </w:r>
      <w:r w:rsidR="00375817" w:rsidRPr="003F7D3C">
        <w:rPr>
          <w:lang w:val="ru-RU"/>
        </w:rPr>
        <w:t>Государства</w:t>
      </w:r>
      <w:r w:rsidR="00BD6B68" w:rsidRPr="003F7D3C">
        <w:rPr>
          <w:lang w:val="ru-RU"/>
        </w:rPr>
        <w:t>­</w:t>
      </w:r>
      <w:r w:rsidR="00375817" w:rsidRPr="003F7D3C">
        <w:rPr>
          <w:lang w:val="ru-RU"/>
        </w:rPr>
        <w:t>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30989D37" w14:textId="2AFBB705" w:rsidR="00ED1464" w:rsidRPr="003F7D3C" w:rsidRDefault="00ED1464" w:rsidP="00E32725">
      <w:pPr>
        <w:spacing w:line="240" w:lineRule="exact"/>
        <w:rPr>
          <w:lang w:val="ru-RU"/>
        </w:rPr>
      </w:pPr>
      <w:r w:rsidRPr="003F7D3C">
        <w:rPr>
          <w:lang w:val="ru-RU"/>
        </w:rPr>
        <w:t>С уважением,</w:t>
      </w:r>
    </w:p>
    <w:p w14:paraId="0877DB6C" w14:textId="15A91495" w:rsidR="00ED1464" w:rsidRPr="003F7D3C" w:rsidRDefault="00F2597A" w:rsidP="0050551E">
      <w:pPr>
        <w:spacing w:before="72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476CBE98" wp14:editId="0892AB70">
            <wp:simplePos x="0" y="0"/>
            <wp:positionH relativeFrom="margin">
              <wp:align>left</wp:align>
            </wp:positionH>
            <wp:positionV relativeFrom="paragraph">
              <wp:posOffset>60960</wp:posOffset>
            </wp:positionV>
            <wp:extent cx="768389" cy="342918"/>
            <wp:effectExtent l="0" t="0" r="0" b="0"/>
            <wp:wrapNone/>
            <wp:docPr id="486343257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43257" name="Picture 1" descr="A black text on a whit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464" w:rsidRPr="003F7D3C">
        <w:rPr>
          <w:lang w:val="ru-RU"/>
        </w:rPr>
        <w:t xml:space="preserve">Сейдзо Оноэ </w:t>
      </w:r>
      <w:r w:rsidR="00ED1464" w:rsidRPr="003F7D3C">
        <w:rPr>
          <w:lang w:val="ru-RU"/>
        </w:rPr>
        <w:br/>
        <w:t xml:space="preserve">Директор Бюро </w:t>
      </w:r>
      <w:r w:rsidR="00ED1464" w:rsidRPr="003F7D3C">
        <w:rPr>
          <w:lang w:val="ru-RU"/>
        </w:rPr>
        <w:br/>
        <w:t>стандартизации электросвязи</w:t>
      </w:r>
    </w:p>
    <w:p w14:paraId="5FFA3DE0" w14:textId="4BEDA435" w:rsidR="002035D7" w:rsidRPr="0050551E" w:rsidRDefault="00C62B05" w:rsidP="00E32725">
      <w:pPr>
        <w:rPr>
          <w:lang w:val="ru-RU"/>
        </w:rPr>
      </w:pPr>
      <w:r w:rsidRPr="003F7D3C">
        <w:rPr>
          <w:b/>
          <w:bCs/>
          <w:lang w:val="ru-RU"/>
        </w:rPr>
        <w:t>Приложения</w:t>
      </w:r>
      <w:r w:rsidRPr="003F7D3C">
        <w:rPr>
          <w:lang w:val="ru-RU"/>
        </w:rPr>
        <w:t>: 2</w:t>
      </w:r>
      <w:r w:rsidR="002035D7" w:rsidRPr="0050551E">
        <w:rPr>
          <w:lang w:val="ru-RU"/>
        </w:rPr>
        <w:br w:type="page"/>
      </w:r>
    </w:p>
    <w:p w14:paraId="5384ECF1" w14:textId="7DE89DCA" w:rsidR="00713D99" w:rsidRPr="003F7D3C" w:rsidRDefault="00713D99" w:rsidP="00BD6B68">
      <w:pPr>
        <w:pStyle w:val="AnnexNo"/>
        <w:rPr>
          <w:lang w:val="ru-RU"/>
        </w:rPr>
      </w:pPr>
      <w:r w:rsidRPr="003F7D3C">
        <w:rPr>
          <w:lang w:val="ru-RU"/>
        </w:rPr>
        <w:lastRenderedPageBreak/>
        <w:t>ПРИЛОЖЕНИЕ 1</w:t>
      </w:r>
    </w:p>
    <w:p w14:paraId="0C57CACE" w14:textId="353D07C5" w:rsidR="00375817" w:rsidRPr="003F7D3C" w:rsidRDefault="00375817" w:rsidP="00BD6B68">
      <w:pPr>
        <w:pStyle w:val="Annextitle"/>
        <w:rPr>
          <w:lang w:val="ru-RU"/>
        </w:rPr>
      </w:pPr>
      <w:r w:rsidRPr="003F7D3C">
        <w:rPr>
          <w:lang w:val="ru-RU"/>
        </w:rPr>
        <w:t xml:space="preserve">Резюме и указания на места размещения </w:t>
      </w:r>
      <w:r w:rsidR="00DD488D" w:rsidRPr="003F7D3C">
        <w:rPr>
          <w:lang w:val="ru-RU"/>
        </w:rPr>
        <w:t xml:space="preserve">проектов Рекомендаций МСЭ-Т </w:t>
      </w:r>
      <w:r w:rsidR="00567B40" w:rsidRPr="003F7D3C">
        <w:rPr>
          <w:lang w:val="ru-RU"/>
        </w:rPr>
        <w:t>Q.5036 (ранее – Q.IEC-PDMF) и МСЭ-Т Q.5015 (ранее – Q.cco-mec)</w:t>
      </w:r>
      <w:r w:rsidRPr="003F7D3C">
        <w:rPr>
          <w:lang w:val="ru-RU"/>
        </w:rPr>
        <w:t>,</w:t>
      </w:r>
      <w:r w:rsidR="00E32725">
        <w:rPr>
          <w:lang w:val="ru-RU"/>
        </w:rPr>
        <w:t xml:space="preserve"> </w:t>
      </w:r>
      <w:r w:rsidR="00BD6B68" w:rsidRPr="003F7D3C">
        <w:rPr>
          <w:lang w:val="ru-RU"/>
        </w:rPr>
        <w:br/>
      </w:r>
      <w:r w:rsidRPr="003F7D3C">
        <w:rPr>
          <w:lang w:val="ru-RU"/>
        </w:rPr>
        <w:t>по которым сделаны</w:t>
      </w:r>
      <w:r w:rsidR="00BD6B68" w:rsidRPr="003F7D3C">
        <w:rPr>
          <w:lang w:val="ru-RU"/>
        </w:rPr>
        <w:t> </w:t>
      </w:r>
      <w:r w:rsidRPr="003F7D3C">
        <w:rPr>
          <w:lang w:val="ru-RU"/>
        </w:rPr>
        <w:t>заключения</w:t>
      </w:r>
    </w:p>
    <w:p w14:paraId="1F0C0134" w14:textId="0FF04C3A" w:rsidR="00375817" w:rsidRPr="003F7D3C" w:rsidRDefault="00632434" w:rsidP="002035D7">
      <w:pPr>
        <w:pStyle w:val="Heading1"/>
        <w:rPr>
          <w:lang w:val="ru-RU"/>
        </w:rPr>
      </w:pPr>
      <w:r w:rsidRPr="003F7D3C">
        <w:rPr>
          <w:lang w:val="ru-RU"/>
        </w:rPr>
        <w:t>1</w:t>
      </w:r>
      <w:r w:rsidRPr="003F7D3C">
        <w:rPr>
          <w:lang w:val="ru-RU"/>
        </w:rPr>
        <w:tab/>
      </w:r>
      <w:r w:rsidR="00375817" w:rsidRPr="003F7D3C">
        <w:rPr>
          <w:lang w:val="ru-RU"/>
        </w:rPr>
        <w:t xml:space="preserve">Проект </w:t>
      </w:r>
      <w:r w:rsidR="00DD488D" w:rsidRPr="003F7D3C">
        <w:rPr>
          <w:lang w:val="ru-RU"/>
        </w:rPr>
        <w:t xml:space="preserve">новой Рекомендации МСЭ-Т </w:t>
      </w:r>
      <w:r w:rsidR="00567B40" w:rsidRPr="003F7D3C">
        <w:rPr>
          <w:rFonts w:cstheme="minorHAnsi"/>
          <w:szCs w:val="22"/>
          <w:lang w:val="ru-RU"/>
        </w:rPr>
        <w:t>Q.5036 (ранее – Q.IEC-PDMF) [</w:t>
      </w:r>
      <w:hyperlink r:id="rId14" w:history="1">
        <w:r w:rsidR="00567B40" w:rsidRPr="003F7D3C">
          <w:rPr>
            <w:rStyle w:val="Hyperlink"/>
            <w:rFonts w:cstheme="minorHAnsi"/>
            <w:szCs w:val="22"/>
            <w:lang w:val="ru-RU"/>
          </w:rPr>
          <w:t>SG11-R12</w:t>
        </w:r>
      </w:hyperlink>
      <w:r w:rsidR="00567B40" w:rsidRPr="003F7D3C">
        <w:rPr>
          <w:rFonts w:cstheme="minorHAnsi"/>
          <w:szCs w:val="22"/>
          <w:lang w:val="ru-RU"/>
        </w:rPr>
        <w:t>]</w:t>
      </w:r>
    </w:p>
    <w:p w14:paraId="48B45716" w14:textId="48CA9617" w:rsidR="00DD488D" w:rsidRPr="003F7D3C" w:rsidRDefault="00567B40" w:rsidP="00E32725">
      <w:pPr>
        <w:spacing w:line="240" w:lineRule="exact"/>
        <w:rPr>
          <w:rFonts w:cstheme="minorHAnsi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Интерфейсы управления данными для структуры принятия государственных решений на основе интеллектуальных периферийных вычислений</w:t>
      </w:r>
    </w:p>
    <w:p w14:paraId="497DCCD2" w14:textId="77777777" w:rsidR="00DD488D" w:rsidRPr="003F7D3C" w:rsidRDefault="00DD488D" w:rsidP="00BD6B68">
      <w:pPr>
        <w:pStyle w:val="Headingb"/>
        <w:rPr>
          <w:rFonts w:cstheme="minorHAnsi"/>
          <w:szCs w:val="22"/>
          <w:lang w:val="ru-RU"/>
        </w:rPr>
      </w:pPr>
      <w:r w:rsidRPr="003F7D3C">
        <w:rPr>
          <w:lang w:val="ru-RU"/>
        </w:rPr>
        <w:t>Резюме</w:t>
      </w:r>
    </w:p>
    <w:p w14:paraId="627A72B4" w14:textId="77777777" w:rsidR="00567B40" w:rsidRPr="003F7D3C" w:rsidRDefault="00567B40" w:rsidP="00E32725">
      <w:pPr>
        <w:spacing w:line="240" w:lineRule="exact"/>
        <w:rPr>
          <w:rFonts w:cstheme="minorHAnsi"/>
          <w:color w:val="000000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В данной Рекомендации определены интерфейсы управления данными для структуры принятия государственных решений на основе архитектуры интеллектуальных периферийных вычислений, описанной в Рекомендации МСЭ-Т Q.5001. Структура поддерживает услуги принятия решений с применением ИИ, обеспечивая защищенные и эффективные интерфейсы сбора данных, руководства и управления на основе социально-экономических данных, распределенных между различными заинтересованными сторонами.</w:t>
      </w:r>
    </w:p>
    <w:p w14:paraId="0E8F5E6D" w14:textId="1B75FC43" w:rsidR="00567B40" w:rsidRPr="003F7D3C" w:rsidRDefault="00567B40" w:rsidP="00E32725">
      <w:pPr>
        <w:spacing w:line="240" w:lineRule="exact"/>
        <w:rPr>
          <w:rFonts w:cstheme="minorHAnsi"/>
          <w:color w:val="000000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Архитектурная основа состоит из трех уровней: уровня взаимодействия, уровня данных и уровня услуг. Эти уровни объединяют функциональные блоки для сбора данных, руководства и управления услугой принятия решений. API уровня данных поддерживают такие операции, как сбор, извлечение, обновление и удаление данных по социально-экономическим аспектам, хранящихся на периферии. API уровня услуги управляют операциями с данными и услугами, обеспечивая при этом надежные и соответствующие требованиям услуги принятия государственных решений.</w:t>
      </w:r>
    </w:p>
    <w:p w14:paraId="2D2638D1" w14:textId="77777777" w:rsidR="00567B40" w:rsidRPr="003F7D3C" w:rsidRDefault="00567B40" w:rsidP="00E32725">
      <w:pPr>
        <w:spacing w:line="240" w:lineRule="exact"/>
        <w:rPr>
          <w:rFonts w:cstheme="minorHAnsi"/>
          <w:color w:val="000000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К основным функциям, определенным в данной Рекомендации, относятся функции управления данными, функции сбора данных и функции управления услугой принятия решений. Эти функции обеспечивают управление метаданными и качеством, систематический сбор данных из разнородных источников и предоставление услуги принятия решений с применением ИИ в защищенном и соответствующем требованиям режиме.</w:t>
      </w:r>
    </w:p>
    <w:p w14:paraId="2E5E6CC3" w14:textId="77777777" w:rsidR="00567B40" w:rsidRPr="003F7D3C" w:rsidRDefault="00567B40" w:rsidP="00E32725">
      <w:pPr>
        <w:spacing w:line="240" w:lineRule="exact"/>
        <w:rPr>
          <w:rFonts w:cstheme="minorHAnsi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Документ для обоснования согласно Рекомендации МСЭ-T A.5 данного проекта текста, по которому сделано заключение, не подготавливался.</w:t>
      </w:r>
    </w:p>
    <w:p w14:paraId="777F4F93" w14:textId="495C5C67" w:rsidR="00567B40" w:rsidRPr="003F7D3C" w:rsidRDefault="00567B40" w:rsidP="00567B40">
      <w:pPr>
        <w:rPr>
          <w:rFonts w:cstheme="minorHAnsi"/>
          <w:sz w:val="20"/>
          <w:szCs w:val="20"/>
          <w:lang w:val="ru-RU"/>
        </w:rPr>
      </w:pPr>
      <w:r w:rsidRPr="003F7D3C">
        <w:rPr>
          <w:rFonts w:cstheme="minorHAnsi"/>
          <w:sz w:val="20"/>
          <w:szCs w:val="20"/>
          <w:lang w:val="ru-RU"/>
        </w:rPr>
        <w:t xml:space="preserve">ПРИМЕЧАНИЕ БСЭ. – На дату настоящего Циркуляра БСЭ получило одно заявление в соответствии с </w:t>
      </w:r>
      <w:bookmarkStart w:id="0" w:name="_Hlk216447425"/>
      <w:r w:rsidRPr="003F7D3C">
        <w:rPr>
          <w:rFonts w:cstheme="minorHAnsi"/>
          <w:sz w:val="20"/>
          <w:szCs w:val="20"/>
          <w:lang w:val="ru-RU"/>
        </w:rPr>
        <w:t>политикой в</w:t>
      </w:r>
      <w:r w:rsidR="00E32725">
        <w:rPr>
          <w:rFonts w:cstheme="minorHAnsi"/>
          <w:sz w:val="20"/>
          <w:szCs w:val="20"/>
          <w:lang w:val="ru-RU"/>
        </w:rPr>
        <w:t> </w:t>
      </w:r>
      <w:r w:rsidRPr="003F7D3C">
        <w:rPr>
          <w:rFonts w:cstheme="minorHAnsi"/>
          <w:sz w:val="20"/>
          <w:szCs w:val="20"/>
          <w:lang w:val="ru-RU"/>
        </w:rPr>
        <w:t xml:space="preserve">области прав интеллектуальной собственности (ПИС) </w:t>
      </w:r>
      <w:bookmarkEnd w:id="0"/>
      <w:r w:rsidRPr="003F7D3C">
        <w:rPr>
          <w:rFonts w:cstheme="minorHAnsi"/>
          <w:sz w:val="20"/>
          <w:szCs w:val="20"/>
          <w:lang w:val="ru-RU"/>
        </w:rPr>
        <w:t xml:space="preserve">в отношении данного проекта текста. Для получения актуальной информации членам предлагается обращаться к базе данных ПИС по адресу: </w:t>
      </w:r>
      <w:hyperlink r:id="rId15" w:history="1">
        <w:r w:rsidRPr="003F7D3C">
          <w:rPr>
            <w:rStyle w:val="Hyperlink"/>
            <w:rFonts w:cstheme="minorHAnsi"/>
            <w:sz w:val="20"/>
            <w:szCs w:val="20"/>
            <w:lang w:val="ru-RU"/>
          </w:rPr>
          <w:t>www.itu.int/ipr/</w:t>
        </w:r>
      </w:hyperlink>
      <w:r w:rsidRPr="003F7D3C">
        <w:rPr>
          <w:rFonts w:cstheme="minorHAnsi"/>
          <w:sz w:val="20"/>
          <w:szCs w:val="20"/>
          <w:lang w:val="ru-RU"/>
        </w:rPr>
        <w:t>.</w:t>
      </w:r>
      <w:hyperlink r:id="rId16" w:history="1"/>
    </w:p>
    <w:p w14:paraId="657A23BE" w14:textId="64076C6F" w:rsidR="00375817" w:rsidRPr="003F7D3C" w:rsidRDefault="00632434" w:rsidP="00632434">
      <w:pPr>
        <w:pStyle w:val="Heading1"/>
        <w:rPr>
          <w:lang w:val="ru-RU"/>
        </w:rPr>
      </w:pPr>
      <w:r w:rsidRPr="003F7D3C">
        <w:rPr>
          <w:lang w:val="ru-RU"/>
        </w:rPr>
        <w:t>2</w:t>
      </w:r>
      <w:r w:rsidRPr="003F7D3C">
        <w:rPr>
          <w:lang w:val="ru-RU"/>
        </w:rPr>
        <w:tab/>
      </w:r>
      <w:r w:rsidR="00375817" w:rsidRPr="003F7D3C">
        <w:rPr>
          <w:lang w:val="ru-RU"/>
        </w:rPr>
        <w:t xml:space="preserve">Проект </w:t>
      </w:r>
      <w:r w:rsidR="00DD488D" w:rsidRPr="003F7D3C">
        <w:rPr>
          <w:lang w:val="ru-RU"/>
        </w:rPr>
        <w:t xml:space="preserve">новой Рекомендации МСЭ-T </w:t>
      </w:r>
      <w:r w:rsidR="00567B40" w:rsidRPr="003F7D3C">
        <w:rPr>
          <w:rFonts w:cstheme="minorHAnsi"/>
          <w:szCs w:val="22"/>
          <w:lang w:val="ru-RU"/>
        </w:rPr>
        <w:t>Q.5015 (ранее – Q.cco-mec) [</w:t>
      </w:r>
      <w:hyperlink r:id="rId17" w:history="1">
        <w:r w:rsidR="00567B40" w:rsidRPr="003F7D3C">
          <w:rPr>
            <w:rStyle w:val="Hyperlink"/>
            <w:rFonts w:cstheme="minorHAnsi"/>
            <w:szCs w:val="22"/>
            <w:lang w:val="ru-RU"/>
          </w:rPr>
          <w:t>SG11-R11</w:t>
        </w:r>
      </w:hyperlink>
      <w:r w:rsidR="00567B40" w:rsidRPr="003F7D3C">
        <w:rPr>
          <w:rFonts w:cstheme="minorHAnsi"/>
          <w:szCs w:val="22"/>
          <w:lang w:val="ru-RU"/>
        </w:rPr>
        <w:t>]</w:t>
      </w:r>
    </w:p>
    <w:p w14:paraId="2FAA551F" w14:textId="357A1924" w:rsidR="00DD488D" w:rsidRPr="003F7D3C" w:rsidRDefault="00567B40" w:rsidP="00E32725">
      <w:pPr>
        <w:spacing w:line="240" w:lineRule="exact"/>
        <w:rPr>
          <w:rFonts w:cstheme="minorHAnsi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Требования к сигнализации для оркестровки, поддерживающей конфиденциальные вычисления в периферийных вычислениях с множественным доступом</w:t>
      </w:r>
    </w:p>
    <w:p w14:paraId="34905696" w14:textId="77777777" w:rsidR="00DD488D" w:rsidRPr="003F7D3C" w:rsidRDefault="00DD488D" w:rsidP="00BD6B68">
      <w:pPr>
        <w:pStyle w:val="Headingb"/>
        <w:rPr>
          <w:rFonts w:cstheme="minorHAnsi"/>
          <w:szCs w:val="22"/>
          <w:lang w:val="ru-RU"/>
        </w:rPr>
      </w:pPr>
      <w:r w:rsidRPr="003F7D3C">
        <w:rPr>
          <w:lang w:val="ru-RU"/>
        </w:rPr>
        <w:t>Резюме</w:t>
      </w:r>
    </w:p>
    <w:p w14:paraId="3DB888D1" w14:textId="77777777" w:rsidR="00567B40" w:rsidRPr="003F7D3C" w:rsidRDefault="00567B40" w:rsidP="00E32725">
      <w:pPr>
        <w:spacing w:line="240" w:lineRule="exact"/>
        <w:rPr>
          <w:rFonts w:cstheme="minorHAnsi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Периферийные вычисления с множественным доступом (MEC) обеспечивают среду обработки данных, близкую к среде генерации данных вертикальных отраслей. В качестве опорной технологии для формирования нейтральной, надежной и проверенной среды, которая может обеспечить защиту данных и кода модели алгоритма в течение рабочего времени в MEC, рассматриваются конфиденциальные вычисления.</w:t>
      </w:r>
    </w:p>
    <w:p w14:paraId="6B659AE1" w14:textId="77777777" w:rsidR="00567B40" w:rsidRPr="003F7D3C" w:rsidRDefault="00567B40" w:rsidP="00E32725">
      <w:pPr>
        <w:spacing w:line="240" w:lineRule="exact"/>
        <w:rPr>
          <w:rFonts w:cstheme="minorHAnsi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В данной Рекомендации определены архитектура сигнализации, процедуры сигнализации и требования к сигнализации оркестровки для поддержки конфиденциальных вычислений в MEC.</w:t>
      </w:r>
    </w:p>
    <w:p w14:paraId="33F3AB97" w14:textId="491C667E" w:rsidR="00567B40" w:rsidRPr="003F7D3C" w:rsidRDefault="00567B40" w:rsidP="00E32725">
      <w:pPr>
        <w:spacing w:line="240" w:lineRule="exact"/>
        <w:rPr>
          <w:rFonts w:cstheme="minorHAnsi"/>
          <w:szCs w:val="22"/>
          <w:lang w:val="ru-RU"/>
        </w:rPr>
      </w:pPr>
      <w:r w:rsidRPr="003F7D3C">
        <w:rPr>
          <w:rFonts w:cstheme="minorHAnsi"/>
          <w:szCs w:val="22"/>
          <w:lang w:val="ru-RU"/>
        </w:rPr>
        <w:t>В этом проекте текста, по которому сделано заключение, приведены нормативные ссылки, требующие обоснования согласно Рекомендации МСЭ-Т A.5, которое представлено в</w:t>
      </w:r>
      <w:r w:rsidR="00E32725">
        <w:rPr>
          <w:rFonts w:cstheme="minorHAnsi"/>
          <w:szCs w:val="22"/>
          <w:lang w:val="ru-RU"/>
        </w:rPr>
        <w:t> </w:t>
      </w:r>
      <w:r w:rsidRPr="003F7D3C">
        <w:rPr>
          <w:rFonts w:cstheme="minorHAnsi"/>
          <w:szCs w:val="22"/>
          <w:lang w:val="ru-RU"/>
        </w:rPr>
        <w:t>[</w:t>
      </w:r>
      <w:hyperlink r:id="rId18" w:history="1">
        <w:r w:rsidRPr="003F7D3C">
          <w:rPr>
            <w:rStyle w:val="Hyperlink"/>
            <w:rFonts w:cstheme="minorHAnsi"/>
            <w:szCs w:val="22"/>
            <w:lang w:val="ru-RU"/>
          </w:rPr>
          <w:t>SG11</w:t>
        </w:r>
        <w:r w:rsidR="00E32725">
          <w:rPr>
            <w:rStyle w:val="Hyperlink"/>
            <w:rFonts w:cstheme="minorHAnsi"/>
            <w:szCs w:val="22"/>
            <w:lang w:val="ru-RU"/>
          </w:rPr>
          <w:noBreakHyphen/>
        </w:r>
        <w:r w:rsidRPr="003F7D3C">
          <w:rPr>
            <w:rStyle w:val="Hyperlink"/>
            <w:rFonts w:cstheme="minorHAnsi"/>
            <w:szCs w:val="22"/>
            <w:lang w:val="ru-RU"/>
          </w:rPr>
          <w:t>TD619/GEN</w:t>
        </w:r>
      </w:hyperlink>
      <w:r w:rsidRPr="003F7D3C">
        <w:rPr>
          <w:rFonts w:cstheme="minorHAnsi"/>
          <w:szCs w:val="22"/>
          <w:lang w:val="ru-RU"/>
        </w:rPr>
        <w:t>].</w:t>
      </w:r>
      <w:hyperlink r:id="rId19" w:history="1"/>
    </w:p>
    <w:p w14:paraId="7BFBB5A0" w14:textId="3BD33F9C" w:rsidR="00A7119D" w:rsidRPr="003F7D3C" w:rsidRDefault="00567B40" w:rsidP="00E32725">
      <w:pPr>
        <w:pStyle w:val="Note"/>
        <w:rPr>
          <w:lang w:val="ru-RU"/>
        </w:rPr>
      </w:pPr>
      <w:r w:rsidRPr="003F7D3C">
        <w:rPr>
          <w:rFonts w:cstheme="minorHAnsi"/>
          <w:szCs w:val="20"/>
          <w:lang w:val="ru-RU"/>
        </w:rPr>
        <w:t>ПРИМЕЧАНИЕ БСЭ. – На дату настоящего Циркуляра БСЭ не получило в отношении настоящего проекта текста каких-либо заявлений в соответствии с политикой в области прав интеллектуальной собственности (ПИС). Для</w:t>
      </w:r>
      <w:r w:rsidR="00E32725">
        <w:rPr>
          <w:rFonts w:cstheme="minorHAnsi"/>
          <w:szCs w:val="20"/>
          <w:lang w:val="ru-RU"/>
        </w:rPr>
        <w:t> </w:t>
      </w:r>
      <w:r w:rsidRPr="003F7D3C">
        <w:rPr>
          <w:rFonts w:cstheme="minorHAnsi"/>
          <w:szCs w:val="20"/>
          <w:lang w:val="ru-RU"/>
        </w:rPr>
        <w:t xml:space="preserve">получения актуальной информации членам предлагается обращаться к базе данных ПИС по адресу: </w:t>
      </w:r>
      <w:hyperlink r:id="rId20" w:history="1">
        <w:r w:rsidRPr="003F7D3C">
          <w:rPr>
            <w:rStyle w:val="Hyperlink"/>
            <w:rFonts w:cstheme="minorHAnsi"/>
            <w:szCs w:val="20"/>
            <w:lang w:val="ru-RU"/>
          </w:rPr>
          <w:t>www.itu.int/ipr/</w:t>
        </w:r>
      </w:hyperlink>
      <w:r w:rsidRPr="003F7D3C">
        <w:rPr>
          <w:rFonts w:cstheme="minorHAnsi"/>
          <w:szCs w:val="20"/>
          <w:lang w:val="ru-RU"/>
        </w:rPr>
        <w:t>.</w:t>
      </w:r>
      <w:r w:rsidR="00A7119D" w:rsidRPr="003F7D3C">
        <w:rPr>
          <w:lang w:val="ru-RU"/>
        </w:rPr>
        <w:br w:type="page"/>
      </w:r>
    </w:p>
    <w:p w14:paraId="50BC49D3" w14:textId="609CD747" w:rsidR="00713D99" w:rsidRPr="003F7D3C" w:rsidRDefault="00713D99" w:rsidP="00BF1038">
      <w:pPr>
        <w:pStyle w:val="AnnexNo"/>
        <w:pageBreakBefore/>
        <w:rPr>
          <w:lang w:val="ru-RU"/>
        </w:rPr>
      </w:pPr>
      <w:r w:rsidRPr="003F7D3C">
        <w:rPr>
          <w:lang w:val="ru-RU"/>
        </w:rPr>
        <w:lastRenderedPageBreak/>
        <w:t>ПРИЛОЖЕНИЕ 2</w:t>
      </w:r>
    </w:p>
    <w:p w14:paraId="6268FE8A" w14:textId="3EA85229" w:rsidR="00713D99" w:rsidRPr="003F7D3C" w:rsidRDefault="00375817" w:rsidP="003B7466">
      <w:pPr>
        <w:pStyle w:val="Annextitle"/>
        <w:spacing w:after="240"/>
        <w:rPr>
          <w:lang w:val="ru-RU"/>
        </w:rPr>
      </w:pPr>
      <w:r w:rsidRPr="003F7D3C">
        <w:rPr>
          <w:bCs/>
          <w:lang w:val="ru-RU"/>
        </w:rPr>
        <w:t xml:space="preserve">Предмет: ответ Государства-Члена на Циркуляр </w:t>
      </w:r>
      <w:r w:rsidR="00567B40" w:rsidRPr="003F7D3C">
        <w:rPr>
          <w:bCs/>
          <w:lang w:val="ru-RU"/>
        </w:rPr>
        <w:t>94</w:t>
      </w:r>
      <w:r w:rsidR="00F97DE1" w:rsidRPr="003F7D3C">
        <w:rPr>
          <w:bCs/>
          <w:lang w:val="ru-RU"/>
        </w:rPr>
        <w:t xml:space="preserve"> </w:t>
      </w:r>
      <w:r w:rsidRPr="003F7D3C">
        <w:rPr>
          <w:bCs/>
          <w:lang w:val="ru-RU"/>
        </w:rPr>
        <w:t>БСЭ</w:t>
      </w:r>
      <w:r w:rsidR="00DA5BCE" w:rsidRPr="003F7D3C">
        <w:rPr>
          <w:bCs/>
          <w:lang w:val="ru-RU"/>
        </w:rPr>
        <w:t>:</w:t>
      </w:r>
      <w:r w:rsidRPr="003F7D3C">
        <w:rPr>
          <w:lang w:val="ru-RU"/>
        </w:rPr>
        <w:br/>
      </w:r>
      <w:r w:rsidRPr="003F7D3C">
        <w:rPr>
          <w:bCs/>
          <w:lang w:val="ru-RU"/>
        </w:rPr>
        <w:t xml:space="preserve">Консультации по проектам Рекомендаций </w:t>
      </w:r>
      <w:r w:rsidR="00F81915" w:rsidRPr="003F7D3C">
        <w:rPr>
          <w:bCs/>
          <w:lang w:val="ru-RU"/>
        </w:rPr>
        <w:t xml:space="preserve">МСЭ-Т </w:t>
      </w:r>
      <w:r w:rsidR="00567B40" w:rsidRPr="003F7D3C">
        <w:rPr>
          <w:bCs/>
          <w:lang w:val="ru-RU"/>
        </w:rPr>
        <w:t>Q.5036 (ранее – Q.IEC-PDMF) и</w:t>
      </w:r>
      <w:r w:rsidR="00D82D96" w:rsidRPr="003F7D3C">
        <w:rPr>
          <w:bCs/>
          <w:lang w:val="ru-RU"/>
        </w:rPr>
        <w:t> </w:t>
      </w:r>
      <w:r w:rsidR="00567B40" w:rsidRPr="003F7D3C">
        <w:rPr>
          <w:bCs/>
          <w:lang w:val="ru-RU"/>
        </w:rPr>
        <w:t>МСЭ-Т Q.5015 (ранее – Q.cco-mec)</w:t>
      </w:r>
      <w:r w:rsidRPr="003F7D3C">
        <w:rPr>
          <w:bCs/>
          <w:lang w:val="ru-RU"/>
        </w:rPr>
        <w:t>, по которым сделаны заключения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50551E" w14:paraId="19031902" w14:textId="77777777" w:rsidTr="009F717B">
        <w:tc>
          <w:tcPr>
            <w:tcW w:w="1064" w:type="dxa"/>
          </w:tcPr>
          <w:p w14:paraId="70F9DAA2" w14:textId="77777777" w:rsidR="00713D99" w:rsidRPr="003F7D3C" w:rsidRDefault="00713D99" w:rsidP="003B7466">
            <w:pPr>
              <w:spacing w:before="240"/>
              <w:ind w:left="-113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Кому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EEEFBEA" w14:textId="38358E2C" w:rsidR="00713D99" w:rsidRPr="003F7D3C" w:rsidRDefault="00713D99" w:rsidP="00F254DD">
            <w:pPr>
              <w:spacing w:before="240"/>
              <w:rPr>
                <w:lang w:val="ru-RU"/>
              </w:rPr>
            </w:pPr>
            <w:r w:rsidRPr="003F7D3C">
              <w:rPr>
                <w:lang w:val="ru-RU"/>
              </w:rPr>
              <w:t xml:space="preserve">Директору </w:t>
            </w:r>
            <w:r w:rsidRPr="003F7D3C">
              <w:rPr>
                <w:lang w:val="ru-RU"/>
              </w:rPr>
              <w:br/>
              <w:t>Бюро стандартизации электросвязи</w:t>
            </w:r>
            <w:r w:rsidR="00A7119D" w:rsidRPr="003F7D3C">
              <w:rPr>
                <w:lang w:val="ru-RU"/>
              </w:rPr>
              <w:br/>
            </w:r>
            <w:r w:rsidRPr="003F7D3C">
              <w:rPr>
                <w:lang w:val="ru-RU"/>
              </w:rPr>
              <w:t>Международный союз электросвязи</w:t>
            </w:r>
            <w:r w:rsidR="00A7119D" w:rsidRPr="003F7D3C">
              <w:rPr>
                <w:lang w:val="ru-RU"/>
              </w:rPr>
              <w:br/>
            </w:r>
            <w:r w:rsidRPr="003F7D3C">
              <w:rPr>
                <w:lang w:val="ru-RU"/>
              </w:rPr>
              <w:t>Place des Nations</w:t>
            </w:r>
            <w:r w:rsidR="00A7119D" w:rsidRPr="003F7D3C">
              <w:rPr>
                <w:lang w:val="ru-RU"/>
              </w:rPr>
              <w:br/>
            </w:r>
            <w:r w:rsidRPr="003F7D3C">
              <w:rPr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1432708" w14:textId="454C2E28" w:rsidR="00713D99" w:rsidRPr="003F7D3C" w:rsidRDefault="00713D99" w:rsidP="00713D99">
            <w:pPr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От</w:t>
            </w:r>
            <w:r w:rsidR="00A00E0A" w:rsidRPr="003F7D3C">
              <w:rPr>
                <w:b/>
                <w:bCs/>
                <w:lang w:val="ru-RU"/>
              </w:rPr>
              <w:t xml:space="preserve"> кого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5546D26A" w14:textId="1C5306B8" w:rsidR="00713D99" w:rsidRPr="003F7D3C" w:rsidRDefault="00713D99" w:rsidP="0006300A">
            <w:pPr>
              <w:rPr>
                <w:lang w:val="ru-RU"/>
              </w:rPr>
            </w:pPr>
            <w:r w:rsidRPr="003F7D3C">
              <w:rPr>
                <w:highlight w:val="green"/>
                <w:lang w:val="ru-RU"/>
              </w:rPr>
              <w:t>[Фамилия]</w:t>
            </w:r>
            <w:r w:rsidR="00A7119D" w:rsidRPr="003F7D3C">
              <w:rPr>
                <w:highlight w:val="green"/>
                <w:lang w:val="ru-RU"/>
              </w:rPr>
              <w:br/>
            </w:r>
            <w:r w:rsidRPr="003F7D3C">
              <w:rPr>
                <w:highlight w:val="green"/>
                <w:lang w:val="ru-RU"/>
              </w:rPr>
              <w:t>[Официальная должность/титул]</w:t>
            </w:r>
            <w:r w:rsidR="00A7119D" w:rsidRPr="003F7D3C">
              <w:rPr>
                <w:highlight w:val="green"/>
                <w:lang w:val="ru-RU"/>
              </w:rPr>
              <w:br/>
            </w:r>
            <w:r w:rsidRPr="003F7D3C">
              <w:rPr>
                <w:highlight w:val="green"/>
                <w:lang w:val="ru-RU"/>
              </w:rPr>
              <w:t>[Адрес]</w:t>
            </w:r>
          </w:p>
        </w:tc>
      </w:tr>
      <w:tr w:rsidR="00713D99" w:rsidRPr="003F7D3C" w14:paraId="6B3A3593" w14:textId="77777777" w:rsidTr="009F717B">
        <w:tc>
          <w:tcPr>
            <w:tcW w:w="1064" w:type="dxa"/>
          </w:tcPr>
          <w:p w14:paraId="26E315CE" w14:textId="77777777" w:rsidR="00713D99" w:rsidRPr="003F7D3C" w:rsidRDefault="00713D99" w:rsidP="00F254DD">
            <w:pPr>
              <w:spacing w:before="60"/>
              <w:ind w:left="-113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Факс</w:t>
            </w:r>
            <w:r w:rsidRPr="003F7D3C">
              <w:rPr>
                <w:lang w:val="ru-RU"/>
              </w:rPr>
              <w:t>:</w:t>
            </w:r>
          </w:p>
          <w:p w14:paraId="70C83C86" w14:textId="77777777" w:rsidR="00713D99" w:rsidRPr="003F7D3C" w:rsidRDefault="00713D99" w:rsidP="00713D99">
            <w:pPr>
              <w:spacing w:before="0"/>
              <w:ind w:left="-113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Эл. почта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4CC6E5D4" w14:textId="77777777" w:rsidR="00713D99" w:rsidRPr="003F7D3C" w:rsidRDefault="00713D99" w:rsidP="00F254DD">
            <w:pPr>
              <w:spacing w:before="60"/>
              <w:rPr>
                <w:lang w:val="ru-RU"/>
              </w:rPr>
            </w:pPr>
            <w:r w:rsidRPr="003F7D3C">
              <w:rPr>
                <w:lang w:val="ru-RU"/>
              </w:rPr>
              <w:t>+41 22 730 5853</w:t>
            </w:r>
          </w:p>
          <w:p w14:paraId="056BC751" w14:textId="77777777" w:rsidR="00713D99" w:rsidRPr="003F7D3C" w:rsidRDefault="00713D99" w:rsidP="00713D99">
            <w:pPr>
              <w:spacing w:before="0"/>
              <w:rPr>
                <w:lang w:val="ru-RU"/>
              </w:rPr>
            </w:pPr>
            <w:hyperlink r:id="rId21" w:history="1">
              <w:r w:rsidRPr="003F7D3C">
                <w:rPr>
                  <w:color w:val="0000FF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2CA24FA" w14:textId="77777777" w:rsidR="00713D99" w:rsidRPr="003F7D3C" w:rsidRDefault="00713D99" w:rsidP="007A1D34">
            <w:pPr>
              <w:spacing w:before="60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Факс</w:t>
            </w:r>
            <w:r w:rsidRPr="003F7D3C">
              <w:rPr>
                <w:lang w:val="ru-RU"/>
              </w:rPr>
              <w:t>:</w:t>
            </w:r>
          </w:p>
          <w:p w14:paraId="6FF94749" w14:textId="77777777" w:rsidR="00713D99" w:rsidRPr="003F7D3C" w:rsidRDefault="00713D99" w:rsidP="00713D99">
            <w:pPr>
              <w:spacing w:before="0"/>
              <w:jc w:val="right"/>
              <w:rPr>
                <w:lang w:val="ru-RU"/>
              </w:rPr>
            </w:pPr>
            <w:r w:rsidRPr="003F7D3C">
              <w:rPr>
                <w:b/>
                <w:bCs/>
                <w:lang w:val="ru-RU"/>
              </w:rPr>
              <w:t>Эл. почта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4930ABC3" w14:textId="77777777" w:rsidR="00713D99" w:rsidRPr="003F7D3C" w:rsidRDefault="00713D99" w:rsidP="00713D99">
            <w:pPr>
              <w:spacing w:before="0"/>
              <w:rPr>
                <w:lang w:val="ru-RU"/>
              </w:rPr>
            </w:pPr>
          </w:p>
        </w:tc>
      </w:tr>
      <w:tr w:rsidR="00713D99" w:rsidRPr="003F7D3C" w14:paraId="0C59F2A2" w14:textId="77777777" w:rsidTr="009F717B">
        <w:tc>
          <w:tcPr>
            <w:tcW w:w="1064" w:type="dxa"/>
          </w:tcPr>
          <w:p w14:paraId="33262B29" w14:textId="77777777" w:rsidR="00713D99" w:rsidRPr="003F7D3C" w:rsidRDefault="00713D99" w:rsidP="00713D99">
            <w:pPr>
              <w:spacing w:before="0"/>
              <w:ind w:left="-113"/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A5286F4" w14:textId="77777777" w:rsidR="00713D99" w:rsidRPr="003F7D3C" w:rsidRDefault="00713D99" w:rsidP="00713D99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102E49" w14:textId="77777777" w:rsidR="00713D99" w:rsidRPr="003F7D3C" w:rsidRDefault="00713D99" w:rsidP="00713D99">
            <w:pPr>
              <w:spacing w:before="0"/>
              <w:jc w:val="right"/>
              <w:rPr>
                <w:b/>
                <w:bCs/>
                <w:lang w:val="ru-RU"/>
              </w:rPr>
            </w:pPr>
            <w:r w:rsidRPr="003F7D3C">
              <w:rPr>
                <w:b/>
                <w:bCs/>
                <w:lang w:val="ru-RU"/>
              </w:rPr>
              <w:t>Дата</w:t>
            </w:r>
            <w:r w:rsidRPr="003F7D3C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14:paraId="26CC72B9" w14:textId="77777777" w:rsidR="00713D99" w:rsidRPr="003F7D3C" w:rsidRDefault="00713D99" w:rsidP="00713D99">
            <w:pPr>
              <w:spacing w:before="0"/>
              <w:rPr>
                <w:lang w:val="ru-RU"/>
              </w:rPr>
            </w:pPr>
            <w:r w:rsidRPr="003F7D3C">
              <w:rPr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3F7D3C" w:rsidRDefault="00713D99" w:rsidP="003B7466">
      <w:pPr>
        <w:spacing w:before="240"/>
        <w:rPr>
          <w:lang w:val="ru-RU"/>
        </w:rPr>
      </w:pPr>
      <w:r w:rsidRPr="003F7D3C">
        <w:rPr>
          <w:lang w:val="ru-RU"/>
        </w:rPr>
        <w:t>Уважаемая госпожа,</w:t>
      </w:r>
      <w:r w:rsidRPr="003F7D3C">
        <w:rPr>
          <w:lang w:val="ru-RU"/>
        </w:rPr>
        <w:br/>
        <w:t>уважаемый господин,</w:t>
      </w:r>
    </w:p>
    <w:p w14:paraId="2006987F" w14:textId="270B6D9F" w:rsidR="00713D99" w:rsidRPr="003F7D3C" w:rsidRDefault="00713D99" w:rsidP="003B7466">
      <w:pPr>
        <w:spacing w:after="120"/>
        <w:rPr>
          <w:lang w:val="ru-RU"/>
        </w:rPr>
      </w:pPr>
      <w:r w:rsidRPr="003F7D3C">
        <w:rPr>
          <w:lang w:val="ru-RU"/>
        </w:rPr>
        <w:t xml:space="preserve">В рамках консультаций с Государствами-Членами </w:t>
      </w:r>
      <w:r w:rsidRPr="003F7D3C">
        <w:rPr>
          <w:bCs/>
          <w:lang w:val="ru-RU"/>
        </w:rPr>
        <w:t>по указанным в Циркуляре </w:t>
      </w:r>
      <w:r w:rsidR="00A00E0A" w:rsidRPr="003F7D3C">
        <w:rPr>
          <w:bCs/>
          <w:lang w:val="ru-RU"/>
        </w:rPr>
        <w:t>94</w:t>
      </w:r>
      <w:r w:rsidRPr="003F7D3C">
        <w:rPr>
          <w:bCs/>
          <w:lang w:val="ru-RU"/>
        </w:rPr>
        <w:t xml:space="preserve"> БСЭ проектам текстов, по которым сделано </w:t>
      </w:r>
      <w:r w:rsidRPr="003F7D3C">
        <w:rPr>
          <w:lang w:val="ru-RU"/>
        </w:rPr>
        <w:t>заключение</w:t>
      </w:r>
      <w:r w:rsidRPr="003F7D3C">
        <w:rPr>
          <w:bCs/>
          <w:lang w:val="ru-RU"/>
        </w:rPr>
        <w:t xml:space="preserve">, </w:t>
      </w:r>
      <w:r w:rsidRPr="003F7D3C">
        <w:rPr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04"/>
      </w:tblGrid>
      <w:tr w:rsidR="00713D99" w:rsidRPr="0050551E" w14:paraId="79AE88E6" w14:textId="77777777" w:rsidTr="00D82D96">
        <w:trPr>
          <w:cantSplit/>
          <w:tblHeader/>
        </w:trPr>
        <w:tc>
          <w:tcPr>
            <w:tcW w:w="2122" w:type="dxa"/>
            <w:vAlign w:val="center"/>
          </w:tcPr>
          <w:p w14:paraId="381500CD" w14:textId="77777777" w:rsidR="00713D99" w:rsidRPr="003F7D3C" w:rsidRDefault="00713D99" w:rsidP="003B7466">
            <w:pPr>
              <w:spacing w:before="40" w:after="40"/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504" w:type="dxa"/>
            <w:vAlign w:val="center"/>
          </w:tcPr>
          <w:p w14:paraId="18CC88F3" w14:textId="77777777" w:rsidR="00713D99" w:rsidRPr="003F7D3C" w:rsidRDefault="00713D99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3F7D3C">
              <w:rPr>
                <w:b/>
                <w:bCs/>
                <w:sz w:val="21"/>
                <w:szCs w:val="21"/>
                <w:lang w:val="ru-RU"/>
              </w:rPr>
              <w:t>Выбрать одну из двух ячеек</w:t>
            </w:r>
          </w:p>
        </w:tc>
      </w:tr>
      <w:tr w:rsidR="00375817" w:rsidRPr="0050551E" w14:paraId="791C7EBF" w14:textId="77777777" w:rsidTr="00D82D96">
        <w:trPr>
          <w:cantSplit/>
          <w:trHeight w:val="74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27B4197A" w:rsidR="00375817" w:rsidRPr="003F7D3C" w:rsidRDefault="00375817" w:rsidP="000B2C89">
            <w:pPr>
              <w:spacing w:before="40" w:after="40"/>
              <w:ind w:left="-57" w:right="-57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3F7D3C">
              <w:rPr>
                <w:b/>
                <w:bCs/>
                <w:sz w:val="21"/>
                <w:szCs w:val="21"/>
                <w:lang w:val="ru-RU"/>
              </w:rPr>
              <w:t xml:space="preserve">Проект </w:t>
            </w:r>
            <w:r w:rsidR="00F97DE1" w:rsidRPr="003F7D3C">
              <w:rPr>
                <w:b/>
                <w:bCs/>
                <w:sz w:val="21"/>
                <w:szCs w:val="21"/>
                <w:lang w:val="ru-RU"/>
              </w:rPr>
              <w:t>новой</w:t>
            </w:r>
            <w:r w:rsidRPr="003F7D3C">
              <w:rPr>
                <w:b/>
                <w:bCs/>
                <w:sz w:val="21"/>
                <w:szCs w:val="21"/>
                <w:lang w:val="ru-RU"/>
              </w:rPr>
              <w:t xml:space="preserve"> Рекомендации </w:t>
            </w:r>
            <w:r w:rsidR="00E32725">
              <w:rPr>
                <w:b/>
                <w:bCs/>
                <w:sz w:val="21"/>
                <w:szCs w:val="21"/>
                <w:lang w:val="ru-RU"/>
              </w:rPr>
              <w:br/>
            </w:r>
            <w:r w:rsidRPr="003F7D3C">
              <w:rPr>
                <w:b/>
                <w:bCs/>
                <w:sz w:val="21"/>
                <w:szCs w:val="21"/>
                <w:lang w:val="ru-RU"/>
              </w:rPr>
              <w:t xml:space="preserve">МСЭ-T </w:t>
            </w:r>
            <w:r w:rsidR="00567B40" w:rsidRPr="003F7D3C">
              <w:rPr>
                <w:b/>
                <w:bCs/>
                <w:sz w:val="21"/>
                <w:szCs w:val="21"/>
                <w:lang w:val="ru-RU"/>
              </w:rPr>
              <w:t xml:space="preserve">Q.5036 </w:t>
            </w:r>
            <w:r w:rsidR="00D82D96" w:rsidRPr="003F7D3C">
              <w:rPr>
                <w:b/>
                <w:bCs/>
                <w:sz w:val="21"/>
                <w:szCs w:val="21"/>
                <w:lang w:val="ru-RU"/>
              </w:rPr>
              <w:br/>
            </w:r>
            <w:r w:rsidR="00567B40" w:rsidRPr="003F7D3C">
              <w:rPr>
                <w:b/>
                <w:bCs/>
                <w:sz w:val="21"/>
                <w:szCs w:val="21"/>
                <w:lang w:val="ru-RU"/>
              </w:rPr>
              <w:t>(ранее – Q.IEC-PDMF)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1" w14:textId="149CB6FD" w:rsidR="00375817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16494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453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CA4453" w:rsidRPr="003F7D3C">
              <w:rPr>
                <w:sz w:val="21"/>
                <w:szCs w:val="21"/>
                <w:lang w:val="ru-RU"/>
              </w:rPr>
              <w:tab/>
            </w:r>
            <w:r w:rsidR="00375817" w:rsidRPr="003F7D3C">
              <w:rPr>
                <w:b/>
                <w:bCs/>
                <w:sz w:val="21"/>
                <w:szCs w:val="21"/>
                <w:lang w:val="ru-RU"/>
              </w:rPr>
              <w:t>Предоставляет полномочия</w:t>
            </w:r>
            <w:r w:rsidR="00375817" w:rsidRPr="003F7D3C">
              <w:rPr>
                <w:sz w:val="21"/>
                <w:szCs w:val="21"/>
                <w:lang w:val="ru-RU"/>
              </w:rPr>
              <w:t xml:space="preserve"> </w:t>
            </w:r>
            <w:r w:rsidR="00F97DE1" w:rsidRPr="003F7D3C">
              <w:rPr>
                <w:sz w:val="21"/>
                <w:szCs w:val="21"/>
                <w:lang w:val="ru-RU"/>
              </w:rPr>
              <w:t>11-й Исследовательской комиссии</w:t>
            </w:r>
            <w:r w:rsidR="00375817" w:rsidRPr="003F7D3C">
              <w:rPr>
                <w:sz w:val="21"/>
                <w:szCs w:val="21"/>
                <w:lang w:val="ru-RU"/>
              </w:rPr>
              <w:t xml:space="preserve"> для</w:t>
            </w:r>
            <w:r w:rsidR="00D82D96" w:rsidRPr="003F7D3C">
              <w:rPr>
                <w:sz w:val="21"/>
                <w:szCs w:val="21"/>
                <w:lang w:val="ru-RU"/>
              </w:rPr>
              <w:t> </w:t>
            </w:r>
            <w:r w:rsidR="00375817" w:rsidRPr="003F7D3C">
              <w:rPr>
                <w:sz w:val="21"/>
                <w:szCs w:val="21"/>
                <w:lang w:val="ru-RU"/>
              </w:rPr>
              <w:t>рассмотрения этого текста с целью его утверждения (в этом случае выбрать один из двух вариантов):</w:t>
            </w:r>
          </w:p>
          <w:p w14:paraId="63ACC8E2" w14:textId="1B383F04" w:rsidR="00375817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3F7D3C">
              <w:rPr>
                <w:sz w:val="21"/>
                <w:szCs w:val="21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375817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3F7D3C">
              <w:rPr>
                <w:sz w:val="21"/>
                <w:szCs w:val="21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75817" w:rsidRPr="0050551E" w14:paraId="14014E30" w14:textId="77777777" w:rsidTr="00D82D96">
        <w:trPr>
          <w:cantSplit/>
          <w:trHeight w:val="74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375817" w:rsidRPr="003F7D3C" w:rsidRDefault="00375817" w:rsidP="003B7466">
            <w:pPr>
              <w:spacing w:before="40" w:after="40"/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415" w14:textId="08C53537" w:rsidR="00375817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3F7D3C">
              <w:rPr>
                <w:sz w:val="21"/>
                <w:szCs w:val="21"/>
                <w:lang w:val="ru-RU"/>
              </w:rPr>
              <w:tab/>
            </w:r>
            <w:r w:rsidR="00375817" w:rsidRPr="003F7D3C">
              <w:rPr>
                <w:b/>
                <w:bCs/>
                <w:sz w:val="21"/>
                <w:szCs w:val="21"/>
                <w:lang w:val="ru-RU"/>
              </w:rPr>
              <w:t>Не предоставляет полномочий</w:t>
            </w:r>
            <w:r w:rsidR="00375817" w:rsidRPr="003F7D3C">
              <w:rPr>
                <w:sz w:val="21"/>
                <w:szCs w:val="21"/>
                <w:lang w:val="ru-RU"/>
              </w:rPr>
              <w:t xml:space="preserve"> </w:t>
            </w:r>
            <w:r w:rsidR="00F97DE1" w:rsidRPr="003F7D3C">
              <w:rPr>
                <w:sz w:val="21"/>
                <w:szCs w:val="21"/>
                <w:lang w:val="ru-RU"/>
              </w:rPr>
              <w:t xml:space="preserve">11-й Исследовательской комиссии </w:t>
            </w:r>
            <w:r w:rsidR="00375817" w:rsidRPr="003F7D3C">
              <w:rPr>
                <w:sz w:val="21"/>
                <w:szCs w:val="21"/>
                <w:lang w:val="ru-RU"/>
              </w:rPr>
              <w:t>для</w:t>
            </w:r>
            <w:r w:rsidR="00D82D96" w:rsidRPr="003F7D3C">
              <w:rPr>
                <w:sz w:val="21"/>
                <w:szCs w:val="21"/>
                <w:lang w:val="ru-RU"/>
              </w:rPr>
              <w:t> </w:t>
            </w:r>
            <w:r w:rsidR="00375817" w:rsidRPr="003F7D3C">
              <w:rPr>
                <w:sz w:val="21"/>
                <w:szCs w:val="21"/>
                <w:lang w:val="ru-RU"/>
              </w:rPr>
              <w:t>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75817" w:rsidRPr="0050551E" w14:paraId="14C2EAB9" w14:textId="77777777" w:rsidTr="00D82D96">
        <w:trPr>
          <w:cantSplit/>
          <w:trHeight w:val="74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31C6" w14:textId="43421824" w:rsidR="00375817" w:rsidRPr="003F7D3C" w:rsidRDefault="00375817" w:rsidP="000B2C89">
            <w:pPr>
              <w:spacing w:before="40" w:after="40"/>
              <w:ind w:left="-57" w:right="-57"/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3F7D3C">
              <w:rPr>
                <w:b/>
                <w:bCs/>
                <w:sz w:val="21"/>
                <w:szCs w:val="21"/>
                <w:lang w:val="ru-RU"/>
              </w:rPr>
              <w:t xml:space="preserve">Проект </w:t>
            </w:r>
            <w:r w:rsidR="00F97DE1" w:rsidRPr="003F7D3C">
              <w:rPr>
                <w:b/>
                <w:bCs/>
                <w:sz w:val="21"/>
                <w:szCs w:val="21"/>
                <w:lang w:val="ru-RU"/>
              </w:rPr>
              <w:t>новой</w:t>
            </w:r>
            <w:r w:rsidRPr="003F7D3C">
              <w:rPr>
                <w:b/>
                <w:bCs/>
                <w:sz w:val="21"/>
                <w:szCs w:val="21"/>
                <w:lang w:val="ru-RU"/>
              </w:rPr>
              <w:t xml:space="preserve"> Рекомендации </w:t>
            </w:r>
            <w:r w:rsidR="00E32725">
              <w:rPr>
                <w:b/>
                <w:bCs/>
                <w:sz w:val="21"/>
                <w:szCs w:val="21"/>
                <w:lang w:val="ru-RU"/>
              </w:rPr>
              <w:br/>
            </w:r>
            <w:r w:rsidRPr="003F7D3C">
              <w:rPr>
                <w:b/>
                <w:bCs/>
                <w:sz w:val="21"/>
                <w:szCs w:val="21"/>
                <w:lang w:val="ru-RU"/>
              </w:rPr>
              <w:t xml:space="preserve">МСЭ-Т </w:t>
            </w:r>
            <w:r w:rsidR="00567B40" w:rsidRPr="003F7D3C">
              <w:rPr>
                <w:b/>
                <w:bCs/>
                <w:sz w:val="21"/>
                <w:szCs w:val="21"/>
                <w:lang w:val="ru-RU"/>
              </w:rPr>
              <w:t xml:space="preserve">Q.5015 </w:t>
            </w:r>
            <w:r w:rsidR="00D82D96" w:rsidRPr="003F7D3C">
              <w:rPr>
                <w:b/>
                <w:bCs/>
                <w:sz w:val="21"/>
                <w:szCs w:val="21"/>
                <w:lang w:val="ru-RU"/>
              </w:rPr>
              <w:br/>
            </w:r>
            <w:r w:rsidR="00567B40" w:rsidRPr="003F7D3C">
              <w:rPr>
                <w:b/>
                <w:bCs/>
                <w:sz w:val="21"/>
                <w:szCs w:val="21"/>
                <w:lang w:val="ru-RU"/>
              </w:rPr>
              <w:t>(ранее – Q.cco-mec)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475" w14:textId="2B639492" w:rsidR="00375817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3134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3F7D3C">
              <w:rPr>
                <w:b/>
                <w:bCs/>
                <w:sz w:val="21"/>
                <w:szCs w:val="21"/>
                <w:lang w:val="ru-RU"/>
              </w:rPr>
              <w:tab/>
              <w:t>Предоставляет полномочия</w:t>
            </w:r>
            <w:r w:rsidR="00375817" w:rsidRPr="003F7D3C">
              <w:rPr>
                <w:sz w:val="21"/>
                <w:szCs w:val="21"/>
                <w:lang w:val="ru-RU"/>
              </w:rPr>
              <w:t xml:space="preserve"> </w:t>
            </w:r>
            <w:r w:rsidR="00F11544" w:rsidRPr="003F7D3C">
              <w:rPr>
                <w:sz w:val="21"/>
                <w:szCs w:val="21"/>
                <w:lang w:val="ru-RU"/>
              </w:rPr>
              <w:t xml:space="preserve">11-й Исследовательской комиссии </w:t>
            </w:r>
            <w:r w:rsidR="00375817" w:rsidRPr="003F7D3C">
              <w:rPr>
                <w:sz w:val="21"/>
                <w:szCs w:val="21"/>
                <w:lang w:val="ru-RU"/>
              </w:rPr>
              <w:t>для</w:t>
            </w:r>
            <w:r w:rsidR="00D82D96" w:rsidRPr="003F7D3C">
              <w:rPr>
                <w:sz w:val="21"/>
                <w:szCs w:val="21"/>
                <w:lang w:val="ru-RU"/>
              </w:rPr>
              <w:t> </w:t>
            </w:r>
            <w:r w:rsidR="00375817" w:rsidRPr="003F7D3C">
              <w:rPr>
                <w:sz w:val="21"/>
                <w:szCs w:val="21"/>
                <w:lang w:val="ru-RU"/>
              </w:rPr>
              <w:t>рассмотрения этого текста с целью его утверждения (в этом случае выбрать один из двух вариантов):</w:t>
            </w:r>
          </w:p>
          <w:p w14:paraId="4A7219F0" w14:textId="31FA4255" w:rsidR="00375817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661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3F7D3C">
              <w:rPr>
                <w:sz w:val="21"/>
                <w:szCs w:val="21"/>
                <w:lang w:val="ru-RU"/>
              </w:rPr>
              <w:tab/>
              <w:t>Замечания или предлагаемые изменения отсутствуют</w:t>
            </w:r>
          </w:p>
          <w:p w14:paraId="1659F970" w14:textId="5DAE53A1" w:rsidR="00375817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b/>
                <w:bCs/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-1781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17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375817" w:rsidRPr="003F7D3C">
              <w:rPr>
                <w:sz w:val="21"/>
                <w:szCs w:val="21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50551E" w14:paraId="2C5FCFFC" w14:textId="77777777" w:rsidTr="00D82D96">
        <w:trPr>
          <w:cantSplit/>
          <w:trHeight w:val="74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750E" w14:textId="77777777" w:rsidR="00713D99" w:rsidRPr="003F7D3C" w:rsidRDefault="00713D99" w:rsidP="003B7466">
            <w:pPr>
              <w:spacing w:before="40" w:after="40"/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641" w14:textId="1BA83FC8" w:rsidR="00713D99" w:rsidRPr="003F7D3C" w:rsidRDefault="00F2597A" w:rsidP="003B746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b/>
                <w:bCs/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11473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3F7D3C">
                  <w:rPr>
                    <w:rFonts w:ascii="MS Gothic" w:eastAsia="MS Gothic" w:hAnsi="MS Gothic"/>
                    <w:sz w:val="21"/>
                    <w:szCs w:val="21"/>
                    <w:lang w:val="ru-RU"/>
                  </w:rPr>
                  <w:t>☐</w:t>
                </w:r>
              </w:sdtContent>
            </w:sdt>
            <w:r w:rsidR="00713D99" w:rsidRPr="003F7D3C">
              <w:rPr>
                <w:sz w:val="21"/>
                <w:szCs w:val="21"/>
                <w:lang w:val="ru-RU"/>
              </w:rPr>
              <w:tab/>
            </w:r>
            <w:r w:rsidR="00713D99" w:rsidRPr="003F7D3C">
              <w:rPr>
                <w:b/>
                <w:bCs/>
                <w:sz w:val="21"/>
                <w:szCs w:val="21"/>
                <w:lang w:val="ru-RU"/>
              </w:rPr>
              <w:t>Не предоставляет полномочий</w:t>
            </w:r>
            <w:r w:rsidR="00713D99" w:rsidRPr="003F7D3C">
              <w:rPr>
                <w:sz w:val="21"/>
                <w:szCs w:val="21"/>
                <w:lang w:val="ru-RU"/>
              </w:rPr>
              <w:t xml:space="preserve"> </w:t>
            </w:r>
            <w:r w:rsidR="00F11544" w:rsidRPr="003F7D3C">
              <w:rPr>
                <w:sz w:val="21"/>
                <w:szCs w:val="21"/>
                <w:lang w:val="ru-RU"/>
              </w:rPr>
              <w:t xml:space="preserve">11-й Исследовательской комиссии </w:t>
            </w:r>
            <w:r w:rsidR="00713D99" w:rsidRPr="003F7D3C">
              <w:rPr>
                <w:sz w:val="21"/>
                <w:szCs w:val="21"/>
                <w:lang w:val="ru-RU"/>
              </w:rPr>
              <w:t>для</w:t>
            </w:r>
            <w:r w:rsidR="00D82D96" w:rsidRPr="003F7D3C">
              <w:rPr>
                <w:sz w:val="21"/>
                <w:szCs w:val="21"/>
                <w:lang w:val="ru-RU"/>
              </w:rPr>
              <w:t> </w:t>
            </w:r>
            <w:r w:rsidR="00713D99" w:rsidRPr="003F7D3C">
              <w:rPr>
                <w:sz w:val="21"/>
                <w:szCs w:val="21"/>
                <w:lang w:val="ru-RU"/>
              </w:rPr>
              <w:t>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587B1FA" w:rsidR="00713D99" w:rsidRPr="003F7D3C" w:rsidRDefault="00713D99" w:rsidP="00721EE9">
      <w:pPr>
        <w:spacing w:before="240"/>
        <w:rPr>
          <w:lang w:val="ru-RU"/>
        </w:rPr>
      </w:pPr>
      <w:r w:rsidRPr="003F7D3C">
        <w:rPr>
          <w:lang w:val="ru-RU"/>
        </w:rPr>
        <w:t>С уважением,</w:t>
      </w:r>
    </w:p>
    <w:p w14:paraId="0A882A1E" w14:textId="174FA81E" w:rsidR="00C62B05" w:rsidRPr="003F7D3C" w:rsidRDefault="00713D99" w:rsidP="00721EE9">
      <w:pPr>
        <w:spacing w:before="240"/>
        <w:rPr>
          <w:lang w:val="ru-RU"/>
        </w:rPr>
      </w:pPr>
      <w:r w:rsidRPr="003F7D3C">
        <w:rPr>
          <w:highlight w:val="green"/>
          <w:lang w:val="ru-RU"/>
        </w:rPr>
        <w:t>[Фамилия]</w:t>
      </w:r>
      <w:r w:rsidRPr="003F7D3C">
        <w:rPr>
          <w:highlight w:val="green"/>
          <w:lang w:val="ru-RU"/>
        </w:rPr>
        <w:br/>
        <w:t>[Официальная должность/титул]</w:t>
      </w:r>
      <w:r w:rsidRPr="003F7D3C">
        <w:rPr>
          <w:lang w:val="ru-RU"/>
        </w:rPr>
        <w:br/>
        <w:t xml:space="preserve">Администрация </w:t>
      </w:r>
      <w:r w:rsidRPr="003F7D3C">
        <w:rPr>
          <w:highlight w:val="green"/>
          <w:lang w:val="ru-RU"/>
        </w:rPr>
        <w:t>[Государства-Члена]</w:t>
      </w:r>
    </w:p>
    <w:p w14:paraId="4FF06F95" w14:textId="77777777" w:rsidR="002035D7" w:rsidRPr="003F7D3C" w:rsidRDefault="002035D7" w:rsidP="002035D7">
      <w:pPr>
        <w:spacing w:before="720"/>
        <w:jc w:val="center"/>
        <w:rPr>
          <w:lang w:val="ru-RU"/>
        </w:rPr>
      </w:pPr>
      <w:r w:rsidRPr="003F7D3C">
        <w:rPr>
          <w:lang w:val="ru-RU"/>
        </w:rPr>
        <w:t>______________</w:t>
      </w:r>
    </w:p>
    <w:sectPr w:rsidR="002035D7" w:rsidRPr="003F7D3C" w:rsidSect="003F7D3C">
      <w:headerReference w:type="default" r:id="rId22"/>
      <w:footerReference w:type="first" r:id="rId23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E75B" w14:textId="77777777" w:rsidR="002A49B3" w:rsidRDefault="002A49B3">
      <w:r>
        <w:separator/>
      </w:r>
    </w:p>
  </w:endnote>
  <w:endnote w:type="continuationSeparator" w:id="0">
    <w:p w14:paraId="30D318B3" w14:textId="77777777" w:rsidR="002A49B3" w:rsidRDefault="002A49B3">
      <w:r>
        <w:continuationSeparator/>
      </w:r>
    </w:p>
  </w:endnote>
  <w:endnote w:type="continuationNotice" w:id="1">
    <w:p w14:paraId="6E7399E9" w14:textId="77777777" w:rsidR="002A49B3" w:rsidRDefault="002A49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DA5BCE" w:rsidRDefault="004A54F8" w:rsidP="00E32725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DA5BCE">
      <w:rPr>
        <w:color w:val="0070C0"/>
        <w:sz w:val="18"/>
        <w:szCs w:val="18"/>
      </w:rPr>
      <w:t>International Telecommunication Union • Place des Nations • CH-1211 Geneva 20 • Switzerland</w:t>
    </w:r>
    <w:r w:rsidRPr="00DA5BCE">
      <w:rPr>
        <w:color w:val="0070C0"/>
        <w:sz w:val="18"/>
        <w:szCs w:val="18"/>
      </w:rPr>
      <w:br/>
    </w:r>
    <w:r w:rsidRPr="00DA5BCE">
      <w:rPr>
        <w:color w:val="0070C0"/>
        <w:sz w:val="18"/>
        <w:szCs w:val="18"/>
        <w:lang w:val="ru-RU"/>
      </w:rPr>
      <w:t>Тел.</w:t>
    </w:r>
    <w:r w:rsidRPr="00DA5BCE">
      <w:rPr>
        <w:color w:val="0070C0"/>
        <w:sz w:val="18"/>
        <w:szCs w:val="18"/>
      </w:rPr>
      <w:t xml:space="preserve">: +41 22 730 5111 • </w:t>
    </w:r>
    <w:r w:rsidRPr="00DA5BCE">
      <w:rPr>
        <w:color w:val="0070C0"/>
        <w:sz w:val="18"/>
        <w:szCs w:val="18"/>
        <w:lang w:val="ru-RU"/>
      </w:rPr>
      <w:t>Факс</w:t>
    </w:r>
    <w:r w:rsidRPr="00DA5BCE">
      <w:rPr>
        <w:color w:val="0070C0"/>
        <w:sz w:val="18"/>
        <w:szCs w:val="18"/>
      </w:rPr>
      <w:t xml:space="preserve">: +41 22 733 7256 • </w:t>
    </w:r>
    <w:r w:rsidRPr="00DA5BCE">
      <w:rPr>
        <w:color w:val="0070C0"/>
        <w:sz w:val="18"/>
        <w:szCs w:val="18"/>
        <w:lang w:val="ru-RU"/>
      </w:rPr>
      <w:t xml:space="preserve">Эл. </w:t>
    </w:r>
    <w:r w:rsidRPr="00DA5BCE">
      <w:rPr>
        <w:color w:val="0070C0"/>
        <w:sz w:val="18"/>
        <w:szCs w:val="18"/>
        <w:lang w:val="ru-RU"/>
      </w:rPr>
      <w:t>почта</w:t>
    </w:r>
    <w:r w:rsidRPr="00DA5BCE">
      <w:rPr>
        <w:color w:val="0070C0"/>
        <w:sz w:val="18"/>
        <w:szCs w:val="18"/>
      </w:rPr>
      <w:t xml:space="preserve">: </w:t>
    </w:r>
    <w:hyperlink r:id="rId1" w:history="1">
      <w:r w:rsidRPr="00DA5BCE">
        <w:rPr>
          <w:rStyle w:val="Hyperlink"/>
          <w:color w:val="0070C0"/>
          <w:sz w:val="18"/>
          <w:szCs w:val="18"/>
        </w:rPr>
        <w:t>itumail@itu.int</w:t>
      </w:r>
    </w:hyperlink>
    <w:r w:rsidRPr="00DA5BCE">
      <w:rPr>
        <w:color w:val="0070C0"/>
        <w:sz w:val="18"/>
        <w:szCs w:val="18"/>
      </w:rPr>
      <w:t xml:space="preserve"> • </w:t>
    </w:r>
    <w:hyperlink r:id="rId2" w:history="1">
      <w:r w:rsidRPr="00DA5BCE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9A11" w14:textId="77777777" w:rsidR="002A49B3" w:rsidRDefault="002A49B3">
      <w:r>
        <w:t>____________________</w:t>
      </w:r>
    </w:p>
  </w:footnote>
  <w:footnote w:type="continuationSeparator" w:id="0">
    <w:p w14:paraId="67D8B1CF" w14:textId="77777777" w:rsidR="002A49B3" w:rsidRDefault="002A49B3">
      <w:r>
        <w:continuationSeparator/>
      </w:r>
    </w:p>
  </w:footnote>
  <w:footnote w:type="continuationNotice" w:id="1">
    <w:p w14:paraId="1451FA7C" w14:textId="77777777" w:rsidR="002A49B3" w:rsidRDefault="002A49B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08EDA0A0" w:rsidR="00982411" w:rsidRDefault="0006300A">
        <w:pPr>
          <w:pStyle w:val="Header"/>
        </w:pPr>
        <w:r>
          <w:rPr>
            <w:lang w:val="ru-RU"/>
          </w:rPr>
          <w:t xml:space="preserve">- </w:t>
        </w:r>
        <w:r w:rsidR="00982411">
          <w:fldChar w:fldCharType="begin"/>
        </w:r>
        <w:r w:rsidR="00982411">
          <w:instrText xml:space="preserve"> PAGE   \* MERGEFORMAT </w:instrText>
        </w:r>
        <w:r w:rsidR="00982411">
          <w:fldChar w:fldCharType="separate"/>
        </w:r>
        <w:r w:rsidR="00982411">
          <w:rPr>
            <w:noProof/>
          </w:rPr>
          <w:t>2</w:t>
        </w:r>
        <w:r w:rsidR="00982411"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p>
    </w:sdtContent>
  </w:sdt>
  <w:p w14:paraId="0E56D3CB" w14:textId="1B774743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567B40">
      <w:rPr>
        <w:lang w:val="ru-RU"/>
      </w:rPr>
      <w:t>94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0"/>
  </w:num>
  <w:num w:numId="13" w16cid:durableId="259024582">
    <w:abstractNumId w:val="31"/>
  </w:num>
  <w:num w:numId="14" w16cid:durableId="68507006">
    <w:abstractNumId w:val="39"/>
  </w:num>
  <w:num w:numId="15" w16cid:durableId="1523322403">
    <w:abstractNumId w:val="37"/>
  </w:num>
  <w:num w:numId="16" w16cid:durableId="1341545519">
    <w:abstractNumId w:val="13"/>
  </w:num>
  <w:num w:numId="17" w16cid:durableId="663900088">
    <w:abstractNumId w:val="11"/>
  </w:num>
  <w:num w:numId="18" w16cid:durableId="1883980613">
    <w:abstractNumId w:val="34"/>
  </w:num>
  <w:num w:numId="19" w16cid:durableId="1523931048">
    <w:abstractNumId w:val="45"/>
  </w:num>
  <w:num w:numId="20" w16cid:durableId="496574885">
    <w:abstractNumId w:val="16"/>
  </w:num>
  <w:num w:numId="21" w16cid:durableId="241914137">
    <w:abstractNumId w:val="28"/>
  </w:num>
  <w:num w:numId="22" w16cid:durableId="725489192">
    <w:abstractNumId w:val="25"/>
  </w:num>
  <w:num w:numId="23" w16cid:durableId="1985118205">
    <w:abstractNumId w:val="24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8"/>
  </w:num>
  <w:num w:numId="27" w16cid:durableId="942616608">
    <w:abstractNumId w:val="44"/>
  </w:num>
  <w:num w:numId="28" w16cid:durableId="334769545">
    <w:abstractNumId w:val="22"/>
  </w:num>
  <w:num w:numId="29" w16cid:durableId="1559976025">
    <w:abstractNumId w:val="40"/>
  </w:num>
  <w:num w:numId="30" w16cid:durableId="1264418327">
    <w:abstractNumId w:val="33"/>
  </w:num>
  <w:num w:numId="31" w16cid:durableId="1456950427">
    <w:abstractNumId w:val="23"/>
  </w:num>
  <w:num w:numId="32" w16cid:durableId="471364242">
    <w:abstractNumId w:val="43"/>
  </w:num>
  <w:num w:numId="33" w16cid:durableId="1738280842">
    <w:abstractNumId w:val="15"/>
  </w:num>
  <w:num w:numId="34" w16cid:durableId="290329939">
    <w:abstractNumId w:val="35"/>
  </w:num>
  <w:num w:numId="35" w16cid:durableId="596402489">
    <w:abstractNumId w:val="12"/>
  </w:num>
  <w:num w:numId="36" w16cid:durableId="195847848">
    <w:abstractNumId w:val="38"/>
  </w:num>
  <w:num w:numId="37" w16cid:durableId="1782341371">
    <w:abstractNumId w:val="29"/>
  </w:num>
  <w:num w:numId="38" w16cid:durableId="297492829">
    <w:abstractNumId w:val="32"/>
  </w:num>
  <w:num w:numId="39" w16cid:durableId="1578713688">
    <w:abstractNumId w:val="20"/>
  </w:num>
  <w:num w:numId="40" w16cid:durableId="1787852321">
    <w:abstractNumId w:val="36"/>
  </w:num>
  <w:num w:numId="41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 w16cid:durableId="755324824">
    <w:abstractNumId w:val="26"/>
  </w:num>
  <w:num w:numId="43" w16cid:durableId="338388796">
    <w:abstractNumId w:val="27"/>
  </w:num>
  <w:num w:numId="44" w16cid:durableId="43607854">
    <w:abstractNumId w:val="19"/>
  </w:num>
  <w:num w:numId="45" w16cid:durableId="540018201">
    <w:abstractNumId w:val="42"/>
  </w:num>
  <w:num w:numId="46" w16cid:durableId="17678475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D94"/>
    <w:rsid w:val="00022E6B"/>
    <w:rsid w:val="00024072"/>
    <w:rsid w:val="000247AE"/>
    <w:rsid w:val="00027795"/>
    <w:rsid w:val="00030121"/>
    <w:rsid w:val="0003097A"/>
    <w:rsid w:val="0003507E"/>
    <w:rsid w:val="00036219"/>
    <w:rsid w:val="00040014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00A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420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2C89"/>
    <w:rsid w:val="000B7244"/>
    <w:rsid w:val="000B7C8A"/>
    <w:rsid w:val="000C0281"/>
    <w:rsid w:val="000C2B0C"/>
    <w:rsid w:val="000D04CE"/>
    <w:rsid w:val="000D32E2"/>
    <w:rsid w:val="000D765E"/>
    <w:rsid w:val="000E1902"/>
    <w:rsid w:val="000E1D73"/>
    <w:rsid w:val="000E4D5A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1B47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3E2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35D7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1BA2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C1"/>
    <w:rsid w:val="002455EA"/>
    <w:rsid w:val="00250B2D"/>
    <w:rsid w:val="002521FC"/>
    <w:rsid w:val="00260B0E"/>
    <w:rsid w:val="00260C1D"/>
    <w:rsid w:val="00264361"/>
    <w:rsid w:val="002667D7"/>
    <w:rsid w:val="00276350"/>
    <w:rsid w:val="00276521"/>
    <w:rsid w:val="00277678"/>
    <w:rsid w:val="00283197"/>
    <w:rsid w:val="00284C8B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7AF"/>
    <w:rsid w:val="00295B3B"/>
    <w:rsid w:val="00295D9C"/>
    <w:rsid w:val="002A0477"/>
    <w:rsid w:val="002A49B3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899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5E4D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17D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493A"/>
    <w:rsid w:val="003751DD"/>
    <w:rsid w:val="00375817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5A8"/>
    <w:rsid w:val="003B4978"/>
    <w:rsid w:val="003B6006"/>
    <w:rsid w:val="003B7466"/>
    <w:rsid w:val="003B79B5"/>
    <w:rsid w:val="003C06BD"/>
    <w:rsid w:val="003C468D"/>
    <w:rsid w:val="003C763F"/>
    <w:rsid w:val="003C7CB4"/>
    <w:rsid w:val="003D2067"/>
    <w:rsid w:val="003D3A10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3F7D3C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646"/>
    <w:rsid w:val="00463ED7"/>
    <w:rsid w:val="00465508"/>
    <w:rsid w:val="0047269E"/>
    <w:rsid w:val="00472CE5"/>
    <w:rsid w:val="004731E5"/>
    <w:rsid w:val="004810A2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528F"/>
    <w:rsid w:val="004F6BD3"/>
    <w:rsid w:val="004F7494"/>
    <w:rsid w:val="00500E52"/>
    <w:rsid w:val="00501222"/>
    <w:rsid w:val="005020A4"/>
    <w:rsid w:val="00503ADB"/>
    <w:rsid w:val="00504FAD"/>
    <w:rsid w:val="0050551E"/>
    <w:rsid w:val="005062F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3EE8"/>
    <w:rsid w:val="00565C3F"/>
    <w:rsid w:val="00565DBB"/>
    <w:rsid w:val="005660ED"/>
    <w:rsid w:val="00567B40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CA1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A78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02EF"/>
    <w:rsid w:val="005C17B4"/>
    <w:rsid w:val="005C17DB"/>
    <w:rsid w:val="005C2116"/>
    <w:rsid w:val="005C276B"/>
    <w:rsid w:val="005C62FE"/>
    <w:rsid w:val="005C64E1"/>
    <w:rsid w:val="005D0439"/>
    <w:rsid w:val="005D35C0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08A"/>
    <w:rsid w:val="00621104"/>
    <w:rsid w:val="00621476"/>
    <w:rsid w:val="00621748"/>
    <w:rsid w:val="00626153"/>
    <w:rsid w:val="0062713A"/>
    <w:rsid w:val="00627913"/>
    <w:rsid w:val="00627DCB"/>
    <w:rsid w:val="006301E0"/>
    <w:rsid w:val="00630D2B"/>
    <w:rsid w:val="00630EE5"/>
    <w:rsid w:val="00631067"/>
    <w:rsid w:val="00632434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959"/>
    <w:rsid w:val="00660C59"/>
    <w:rsid w:val="006618E8"/>
    <w:rsid w:val="006639A6"/>
    <w:rsid w:val="00665C89"/>
    <w:rsid w:val="0067102E"/>
    <w:rsid w:val="00672126"/>
    <w:rsid w:val="0067357A"/>
    <w:rsid w:val="00674030"/>
    <w:rsid w:val="0067444F"/>
    <w:rsid w:val="00676218"/>
    <w:rsid w:val="00677102"/>
    <w:rsid w:val="006771F7"/>
    <w:rsid w:val="006775EA"/>
    <w:rsid w:val="00677D37"/>
    <w:rsid w:val="0068115E"/>
    <w:rsid w:val="00681194"/>
    <w:rsid w:val="00681C6D"/>
    <w:rsid w:val="00683254"/>
    <w:rsid w:val="0068401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3C0E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4DCB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2DC1"/>
    <w:rsid w:val="0079366C"/>
    <w:rsid w:val="00793926"/>
    <w:rsid w:val="0079465B"/>
    <w:rsid w:val="007949E2"/>
    <w:rsid w:val="00797445"/>
    <w:rsid w:val="007974F1"/>
    <w:rsid w:val="0079763E"/>
    <w:rsid w:val="007A1D34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2407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C7047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1E53"/>
    <w:rsid w:val="008E4BA4"/>
    <w:rsid w:val="008E4D58"/>
    <w:rsid w:val="008E61BA"/>
    <w:rsid w:val="008F00D5"/>
    <w:rsid w:val="008F28F2"/>
    <w:rsid w:val="008F3493"/>
    <w:rsid w:val="008F765C"/>
    <w:rsid w:val="009001FF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59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779"/>
    <w:rsid w:val="00947FA7"/>
    <w:rsid w:val="00954322"/>
    <w:rsid w:val="00954808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0E0A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52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97E7B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0E29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1351"/>
    <w:rsid w:val="00B2488F"/>
    <w:rsid w:val="00B25361"/>
    <w:rsid w:val="00B27533"/>
    <w:rsid w:val="00B27613"/>
    <w:rsid w:val="00B3060B"/>
    <w:rsid w:val="00B307C6"/>
    <w:rsid w:val="00B30A7D"/>
    <w:rsid w:val="00B30BB6"/>
    <w:rsid w:val="00B31D4F"/>
    <w:rsid w:val="00B32233"/>
    <w:rsid w:val="00B33470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271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2B9D"/>
    <w:rsid w:val="00BC32CF"/>
    <w:rsid w:val="00BC4CD5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6B68"/>
    <w:rsid w:val="00BD77BD"/>
    <w:rsid w:val="00BE0260"/>
    <w:rsid w:val="00BE17CB"/>
    <w:rsid w:val="00BE22E1"/>
    <w:rsid w:val="00BE245B"/>
    <w:rsid w:val="00BE2F07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BF679E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274E1"/>
    <w:rsid w:val="00C321E1"/>
    <w:rsid w:val="00C400D5"/>
    <w:rsid w:val="00C42E08"/>
    <w:rsid w:val="00C463B7"/>
    <w:rsid w:val="00C46D3A"/>
    <w:rsid w:val="00C47931"/>
    <w:rsid w:val="00C50DF4"/>
    <w:rsid w:val="00C510F7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0F76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4453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C66B5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440F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328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2D96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3E40"/>
    <w:rsid w:val="00DA498B"/>
    <w:rsid w:val="00DA5BCE"/>
    <w:rsid w:val="00DB0915"/>
    <w:rsid w:val="00DB13EB"/>
    <w:rsid w:val="00DB1638"/>
    <w:rsid w:val="00DB1FEC"/>
    <w:rsid w:val="00DB3855"/>
    <w:rsid w:val="00DB50F1"/>
    <w:rsid w:val="00DB5735"/>
    <w:rsid w:val="00DB5BF1"/>
    <w:rsid w:val="00DB66F6"/>
    <w:rsid w:val="00DC51AD"/>
    <w:rsid w:val="00DC6B78"/>
    <w:rsid w:val="00DC71FD"/>
    <w:rsid w:val="00DD170B"/>
    <w:rsid w:val="00DD488D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4E0"/>
    <w:rsid w:val="00E31729"/>
    <w:rsid w:val="00E320DB"/>
    <w:rsid w:val="00E325CA"/>
    <w:rsid w:val="00E32725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9B6"/>
    <w:rsid w:val="00E46B3B"/>
    <w:rsid w:val="00E46F57"/>
    <w:rsid w:val="00E4751B"/>
    <w:rsid w:val="00E5010C"/>
    <w:rsid w:val="00E5070C"/>
    <w:rsid w:val="00E50E9B"/>
    <w:rsid w:val="00E5281C"/>
    <w:rsid w:val="00E52AC9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4337"/>
    <w:rsid w:val="00EC57B9"/>
    <w:rsid w:val="00EC6C39"/>
    <w:rsid w:val="00ED1464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544"/>
    <w:rsid w:val="00F11BA1"/>
    <w:rsid w:val="00F12B52"/>
    <w:rsid w:val="00F12D97"/>
    <w:rsid w:val="00F132BC"/>
    <w:rsid w:val="00F16061"/>
    <w:rsid w:val="00F17F00"/>
    <w:rsid w:val="00F20728"/>
    <w:rsid w:val="00F22314"/>
    <w:rsid w:val="00F2245D"/>
    <w:rsid w:val="00F254DD"/>
    <w:rsid w:val="00F255FB"/>
    <w:rsid w:val="00F25636"/>
    <w:rsid w:val="00F2597A"/>
    <w:rsid w:val="00F25EE4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1915"/>
    <w:rsid w:val="00F83B0F"/>
    <w:rsid w:val="00F86AD4"/>
    <w:rsid w:val="00F8726F"/>
    <w:rsid w:val="00F8772F"/>
    <w:rsid w:val="00F90258"/>
    <w:rsid w:val="00F96A41"/>
    <w:rsid w:val="00F97680"/>
    <w:rsid w:val="00F97CB8"/>
    <w:rsid w:val="00F97DE1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B68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32725"/>
    <w:pPr>
      <w:keepNext/>
      <w:outlineLvl w:val="0"/>
    </w:pPr>
    <w:rPr>
      <w:rFonts w:cs="Arial"/>
      <w:b/>
      <w:bCs/>
      <w:color w:val="000000"/>
      <w:sz w:val="26"/>
      <w:szCs w:val="20"/>
    </w:rPr>
  </w:style>
  <w:style w:type="paragraph" w:styleId="Heading2">
    <w:name w:val="heading 2"/>
    <w:basedOn w:val="Normal"/>
    <w:next w:val="Normal"/>
    <w:qFormat/>
    <w:rsid w:val="00BD6B6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D6B6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D6B68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BD6B68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rsid w:val="00BD6B68"/>
    <w:pPr>
      <w:tabs>
        <w:tab w:val="center" w:pos="4703"/>
        <w:tab w:val="right" w:pos="9406"/>
      </w:tabs>
      <w:spacing w:before="0"/>
    </w:pPr>
    <w:rPr>
      <w:sz w:val="16"/>
    </w:rPr>
  </w:style>
  <w:style w:type="paragraph" w:customStyle="1" w:styleId="FirstFooter">
    <w:name w:val="FirstFooter"/>
    <w:basedOn w:val="Normal"/>
    <w:rsid w:val="00BD6B68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otnoteReference">
    <w:name w:val="footnote reference"/>
    <w:aliases w:val="Appel note de bas de p,Footnote Reference/,ft#,Footnote symbol,Ref,de nota al pie"/>
    <w:rsid w:val="00BD6B68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BD6B68"/>
    <w:rPr>
      <w:sz w:val="20"/>
      <w:szCs w:val="20"/>
    </w:rPr>
  </w:style>
  <w:style w:type="paragraph" w:customStyle="1" w:styleId="Note">
    <w:name w:val="Note"/>
    <w:basedOn w:val="Normal"/>
    <w:rsid w:val="00BE245B"/>
    <w:pPr>
      <w:tabs>
        <w:tab w:val="left" w:pos="284"/>
      </w:tabs>
      <w:spacing w:before="80"/>
    </w:pPr>
    <w:rPr>
      <w:sz w:val="20"/>
    </w:rPr>
  </w:style>
  <w:style w:type="paragraph" w:styleId="Header">
    <w:name w:val="header"/>
    <w:basedOn w:val="Normal"/>
    <w:link w:val="HeaderChar"/>
    <w:uiPriority w:val="99"/>
    <w:rsid w:val="00BD6B6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BD6B68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spacing w:before="480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BD6B68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TOC1">
    <w:name w:val="toc 1"/>
    <w:basedOn w:val="Normal"/>
    <w:rsid w:val="00BD6B68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Normal"/>
    <w:next w:val="Normal"/>
    <w:autoRedefine/>
    <w:rsid w:val="00BD6B68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3"/>
    <w:next w:val="Normal"/>
    <w:rsid w:val="00BD6B68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8">
    <w:name w:val="toc 8"/>
    <w:basedOn w:val="TOC3"/>
    <w:next w:val="Normal"/>
    <w:rsid w:val="00BD6B68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BD6B68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BE245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BD6B6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BD6B6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character" w:styleId="Hyperlink">
    <w:name w:val="Hyperlink"/>
    <w:aliases w:val="超级链接,超链接1,Style 58,超????,하이퍼링크2,超?级链"/>
    <w:rsid w:val="00BD6B68"/>
    <w:rPr>
      <w:color w:val="0000FF"/>
      <w:u w:val="single"/>
    </w:rPr>
  </w:style>
  <w:style w:type="paragraph" w:styleId="BodyText2">
    <w:name w:val="Body Text 2"/>
    <w:basedOn w:val="Normal"/>
    <w:link w:val="BodyText2Char"/>
    <w:rsid w:val="00BD6B68"/>
    <w:rPr>
      <w:sz w:val="24"/>
    </w:rPr>
  </w:style>
  <w:style w:type="character" w:customStyle="1" w:styleId="BodyText2Char">
    <w:name w:val="Body Text 2 Char"/>
    <w:link w:val="BodyText2"/>
    <w:rsid w:val="0087300D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87300D"/>
    <w:pPr>
      <w:spacing w:before="1701"/>
      <w:ind w:right="91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D6B68"/>
    <w:rPr>
      <w:rFonts w:asciiTheme="minorHAnsi" w:hAnsiTheme="minorHAnsi"/>
      <w:sz w:val="18"/>
      <w:szCs w:val="24"/>
      <w:lang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spacing w:before="0" w:after="160" w:line="259" w:lineRule="auto"/>
      <w:ind w:left="720"/>
      <w:contextualSpacing/>
    </w:pPr>
    <w:rPr>
      <w:rFonts w:eastAsia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BD6B68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BD6B68"/>
    <w:rPr>
      <w:rFonts w:asciiTheme="minorHAnsi" w:hAnsiTheme="minorHAns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D6B68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13D99"/>
    <w:rPr>
      <w:rFonts w:asciiTheme="minorHAnsi" w:hAnsiTheme="minorHAns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BD6B6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BD6B6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BD6B68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BD6B68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customStyle="1" w:styleId="Table">
    <w:name w:val="Table_#"/>
    <w:basedOn w:val="Normal"/>
    <w:next w:val="Normal"/>
    <w:rsid w:val="00BD6B68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BD6B68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BD6B68"/>
    <w:pPr>
      <w:tabs>
        <w:tab w:val="left" w:pos="141"/>
      </w:tabs>
      <w:ind w:left="141" w:hanging="14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D6B68"/>
    <w:rPr>
      <w:rFonts w:asciiTheme="minorHAnsi" w:hAnsiTheme="minorHAns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D6B68"/>
    <w:pPr>
      <w:tabs>
        <w:tab w:val="left" w:pos="284"/>
        <w:tab w:val="left" w:pos="4111"/>
      </w:tabs>
      <w:ind w:left="284" w:hanging="227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Theme="minorHAnsi" w:hAnsiTheme="minorHAnsi"/>
      <w:sz w:val="22"/>
      <w:szCs w:val="24"/>
      <w:lang w:val="ru-RU" w:eastAsia="en-US"/>
    </w:rPr>
  </w:style>
  <w:style w:type="paragraph" w:customStyle="1" w:styleId="itu">
    <w:name w:val="itu"/>
    <w:basedOn w:val="Normal"/>
    <w:rsid w:val="00BD6B68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BD6B68"/>
    <w:rPr>
      <w:rFonts w:asciiTheme="minorHAnsi" w:hAnsiTheme="minorHAnsi"/>
      <w:sz w:val="16"/>
      <w:szCs w:val="24"/>
      <w:lang w:eastAsia="en-US"/>
    </w:rPr>
  </w:style>
  <w:style w:type="paragraph" w:customStyle="1" w:styleId="TableText0">
    <w:name w:val="Table_Text"/>
    <w:basedOn w:val="Normal"/>
    <w:rsid w:val="00BD6B6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D6B68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BE245B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ind w:left="360" w:hanging="36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itu.int/md/T25-SG11-251117-TD-GEN-0619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sbdir@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1@itu.int" TargetMode="External"/><Relationship Id="rId17" Type="http://schemas.openxmlformats.org/officeDocument/2006/relationships/hyperlink" Target="https://www.itu.int/md/meetingdoc.asp?lang=en&amp;parent=T25-SG11-R-001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ipr/" TargetMode="External"/><Relationship Id="rId20" Type="http://schemas.openxmlformats.org/officeDocument/2006/relationships/hyperlink" Target="http://www.itu.int/ip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itu.int/ipr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T25-SG11-251117-TD-GEN-0619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meetingdoc.asp?lang=en&amp;parent=T25-SG11-R-0012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6EAE-47C0-4A47-A0A8-41DD6F6C0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23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8460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9</cp:revision>
  <cp:lastPrinted>2025-12-18T10:26:00Z</cp:lastPrinted>
  <dcterms:created xsi:type="dcterms:W3CDTF">2025-12-12T21:11:00Z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