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70"/>
        <w:tblW w:w="0" w:type="auto"/>
        <w:tblCellMar>
          <w:left w:w="0" w:type="dxa"/>
          <w:right w:w="0" w:type="dxa"/>
        </w:tblCellMar>
        <w:tblLook w:val="0000" w:firstRow="0" w:lastRow="0" w:firstColumn="0" w:lastColumn="0" w:noHBand="0" w:noVBand="0"/>
      </w:tblPr>
      <w:tblGrid>
        <w:gridCol w:w="1279"/>
        <w:gridCol w:w="3304"/>
        <w:gridCol w:w="5146"/>
      </w:tblGrid>
      <w:tr w:rsidR="00EF6A23" w:rsidRPr="00B60868" w14:paraId="3FDAE1F3" w14:textId="77777777" w:rsidTr="0070127A">
        <w:trPr>
          <w:cantSplit/>
        </w:trPr>
        <w:tc>
          <w:tcPr>
            <w:tcW w:w="0" w:type="auto"/>
            <w:vAlign w:val="center"/>
          </w:tcPr>
          <w:p w14:paraId="3DE42CAA" w14:textId="77777777" w:rsidR="00EF6A23" w:rsidRPr="00B60868" w:rsidRDefault="00EF6A23" w:rsidP="0070127A">
            <w:pPr>
              <w:tabs>
                <w:tab w:val="right" w:pos="8732"/>
              </w:tabs>
              <w:spacing w:before="0"/>
              <w:rPr>
                <w:b/>
                <w:bCs/>
                <w:iCs/>
                <w:color w:val="FFFFFF"/>
                <w:sz w:val="30"/>
                <w:szCs w:val="30"/>
              </w:rPr>
            </w:pPr>
            <w:r w:rsidRPr="00B60868">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B60868" w:rsidRDefault="00EF6A23" w:rsidP="0070127A">
            <w:pPr>
              <w:spacing w:before="0"/>
              <w:rPr>
                <w:rFonts w:cs="Times New Roman Bold"/>
                <w:b/>
                <w:bCs/>
                <w:iCs/>
                <w:smallCaps/>
                <w:sz w:val="34"/>
                <w:szCs w:val="34"/>
              </w:rPr>
            </w:pPr>
            <w:r w:rsidRPr="00B60868">
              <w:rPr>
                <w:rFonts w:cs="Times New Roman Bold"/>
                <w:b/>
                <w:bCs/>
                <w:iCs/>
                <w:smallCaps/>
                <w:sz w:val="34"/>
                <w:szCs w:val="34"/>
              </w:rPr>
              <w:t>Union internationale des télécommunications</w:t>
            </w:r>
          </w:p>
          <w:p w14:paraId="089E66D0" w14:textId="77777777" w:rsidR="00EF6A23" w:rsidRPr="00B60868" w:rsidRDefault="00EF6A23" w:rsidP="0070127A">
            <w:pPr>
              <w:spacing w:before="0"/>
              <w:rPr>
                <w:color w:val="FFFFFF"/>
                <w:sz w:val="26"/>
                <w:szCs w:val="26"/>
              </w:rPr>
            </w:pPr>
            <w:r w:rsidRPr="00B60868">
              <w:rPr>
                <w:rFonts w:cs="Times New Roman Bold"/>
                <w:b/>
                <w:bCs/>
                <w:iCs/>
                <w:smallCaps/>
                <w:sz w:val="28"/>
                <w:szCs w:val="28"/>
              </w:rPr>
              <w:t>B</w:t>
            </w:r>
            <w:r w:rsidRPr="00B60868">
              <w:rPr>
                <w:b/>
                <w:bCs/>
                <w:iCs/>
                <w:smallCaps/>
                <w:sz w:val="28"/>
                <w:szCs w:val="28"/>
              </w:rPr>
              <w:t>ureau de la Normalisation des Télécommunications</w:t>
            </w:r>
          </w:p>
        </w:tc>
      </w:tr>
      <w:tr w:rsidR="00036F4F" w:rsidRPr="0070127A" w14:paraId="18B25741" w14:textId="77777777" w:rsidTr="0070127A">
        <w:trPr>
          <w:cantSplit/>
        </w:trPr>
        <w:tc>
          <w:tcPr>
            <w:tcW w:w="0" w:type="auto"/>
          </w:tcPr>
          <w:p w14:paraId="4B1AFD72" w14:textId="77777777" w:rsidR="00036F4F" w:rsidRPr="0070127A" w:rsidRDefault="00036F4F" w:rsidP="0070127A">
            <w:pPr>
              <w:tabs>
                <w:tab w:val="left" w:pos="4111"/>
              </w:tabs>
              <w:spacing w:before="10"/>
              <w:ind w:left="57"/>
              <w:rPr>
                <w:sz w:val="22"/>
                <w:szCs w:val="18"/>
              </w:rPr>
            </w:pPr>
          </w:p>
        </w:tc>
        <w:tc>
          <w:tcPr>
            <w:tcW w:w="3341" w:type="dxa"/>
          </w:tcPr>
          <w:p w14:paraId="6579D3E8" w14:textId="77777777" w:rsidR="00036F4F" w:rsidRPr="0070127A" w:rsidRDefault="00036F4F" w:rsidP="0070127A">
            <w:pPr>
              <w:tabs>
                <w:tab w:val="left" w:pos="4111"/>
              </w:tabs>
              <w:spacing w:before="10"/>
              <w:ind w:left="57"/>
              <w:rPr>
                <w:b/>
                <w:sz w:val="22"/>
                <w:szCs w:val="18"/>
              </w:rPr>
            </w:pPr>
          </w:p>
        </w:tc>
        <w:tc>
          <w:tcPr>
            <w:tcW w:w="5109" w:type="dxa"/>
          </w:tcPr>
          <w:p w14:paraId="0DC34ECA" w14:textId="7ECAC103" w:rsidR="00036F4F" w:rsidRPr="0070127A" w:rsidRDefault="00036F4F" w:rsidP="0070127A">
            <w:pPr>
              <w:tabs>
                <w:tab w:val="clear" w:pos="794"/>
                <w:tab w:val="clear" w:pos="1191"/>
                <w:tab w:val="clear" w:pos="1588"/>
                <w:tab w:val="clear" w:pos="1985"/>
                <w:tab w:val="left" w:pos="284"/>
              </w:tabs>
              <w:spacing w:after="120"/>
              <w:ind w:left="284" w:hanging="227"/>
              <w:rPr>
                <w:sz w:val="22"/>
                <w:szCs w:val="18"/>
              </w:rPr>
            </w:pPr>
            <w:r w:rsidRPr="0070127A">
              <w:rPr>
                <w:sz w:val="22"/>
                <w:szCs w:val="18"/>
              </w:rPr>
              <w:t>Genève, le</w:t>
            </w:r>
            <w:r w:rsidR="004419E9" w:rsidRPr="0070127A">
              <w:rPr>
                <w:sz w:val="22"/>
                <w:szCs w:val="18"/>
              </w:rPr>
              <w:t xml:space="preserve"> </w:t>
            </w:r>
            <w:r w:rsidR="00636EF3" w:rsidRPr="0070127A">
              <w:rPr>
                <w:sz w:val="22"/>
                <w:szCs w:val="18"/>
              </w:rPr>
              <w:t>1er décembre 2025</w:t>
            </w:r>
          </w:p>
        </w:tc>
      </w:tr>
      <w:tr w:rsidR="00636EF3" w:rsidRPr="0070127A" w14:paraId="16CDDFEF" w14:textId="77777777" w:rsidTr="0070127A">
        <w:trPr>
          <w:cantSplit/>
          <w:trHeight w:val="340"/>
        </w:trPr>
        <w:tc>
          <w:tcPr>
            <w:tcW w:w="0" w:type="auto"/>
          </w:tcPr>
          <w:p w14:paraId="3EFF375D" w14:textId="58556577" w:rsidR="00636EF3" w:rsidRPr="0070127A" w:rsidRDefault="00636EF3" w:rsidP="0070127A">
            <w:pPr>
              <w:tabs>
                <w:tab w:val="left" w:pos="4111"/>
              </w:tabs>
              <w:spacing w:before="10"/>
              <w:rPr>
                <w:b/>
                <w:bCs/>
                <w:sz w:val="22"/>
                <w:szCs w:val="18"/>
              </w:rPr>
            </w:pPr>
            <w:proofErr w:type="gramStart"/>
            <w:r w:rsidRPr="0070127A">
              <w:rPr>
                <w:b/>
                <w:bCs/>
                <w:sz w:val="22"/>
                <w:szCs w:val="18"/>
              </w:rPr>
              <w:t>Réf.:</w:t>
            </w:r>
            <w:proofErr w:type="gramEnd"/>
          </w:p>
        </w:tc>
        <w:tc>
          <w:tcPr>
            <w:tcW w:w="3341" w:type="dxa"/>
          </w:tcPr>
          <w:p w14:paraId="5FFBBC9B" w14:textId="63E6F97D" w:rsidR="00636EF3" w:rsidRPr="0070127A" w:rsidRDefault="00636EF3" w:rsidP="0070127A">
            <w:pPr>
              <w:tabs>
                <w:tab w:val="left" w:pos="4111"/>
              </w:tabs>
              <w:spacing w:before="10"/>
              <w:ind w:left="57"/>
              <w:rPr>
                <w:b/>
                <w:sz w:val="22"/>
                <w:szCs w:val="18"/>
              </w:rPr>
            </w:pPr>
            <w:r w:rsidRPr="0070127A">
              <w:rPr>
                <w:b/>
                <w:sz w:val="22"/>
                <w:szCs w:val="18"/>
              </w:rPr>
              <w:t>Circulaire TSB 94</w:t>
            </w:r>
          </w:p>
          <w:p w14:paraId="577F6DA2" w14:textId="410D6071" w:rsidR="00636EF3" w:rsidRPr="0070127A" w:rsidRDefault="00636EF3" w:rsidP="0070127A">
            <w:pPr>
              <w:tabs>
                <w:tab w:val="left" w:pos="4111"/>
              </w:tabs>
              <w:spacing w:before="10"/>
              <w:ind w:left="57"/>
              <w:rPr>
                <w:sz w:val="22"/>
                <w:szCs w:val="18"/>
              </w:rPr>
            </w:pPr>
            <w:r w:rsidRPr="0070127A">
              <w:rPr>
                <w:sz w:val="22"/>
                <w:szCs w:val="18"/>
              </w:rPr>
              <w:t>CE 11/DA</w:t>
            </w:r>
          </w:p>
        </w:tc>
        <w:tc>
          <w:tcPr>
            <w:tcW w:w="5109" w:type="dxa"/>
            <w:vMerge w:val="restart"/>
          </w:tcPr>
          <w:p w14:paraId="35271D8E" w14:textId="56FED728" w:rsidR="00636EF3" w:rsidRPr="0070127A" w:rsidRDefault="00636EF3" w:rsidP="0070127A">
            <w:pPr>
              <w:tabs>
                <w:tab w:val="left" w:pos="4111"/>
              </w:tabs>
              <w:spacing w:before="0"/>
              <w:ind w:left="426" w:hanging="426"/>
              <w:rPr>
                <w:sz w:val="22"/>
                <w:szCs w:val="18"/>
              </w:rPr>
            </w:pPr>
            <w:bookmarkStart w:id="0" w:name="Addressee_F"/>
            <w:bookmarkEnd w:id="0"/>
            <w:r w:rsidRPr="0070127A">
              <w:rPr>
                <w:sz w:val="22"/>
                <w:szCs w:val="18"/>
              </w:rPr>
              <w:t>–</w:t>
            </w:r>
            <w:r w:rsidRPr="0070127A">
              <w:rPr>
                <w:sz w:val="22"/>
                <w:szCs w:val="18"/>
              </w:rPr>
              <w:tab/>
              <w:t>Aux Administrations des États Membres de l'Union;</w:t>
            </w:r>
          </w:p>
          <w:p w14:paraId="6EA52376" w14:textId="0939C08E" w:rsidR="00636EF3" w:rsidRPr="0070127A" w:rsidRDefault="00636EF3" w:rsidP="0070127A">
            <w:pPr>
              <w:tabs>
                <w:tab w:val="left" w:pos="4111"/>
              </w:tabs>
              <w:spacing w:before="0"/>
              <w:ind w:left="426" w:hanging="426"/>
              <w:rPr>
                <w:sz w:val="22"/>
                <w:szCs w:val="18"/>
              </w:rPr>
            </w:pPr>
            <w:r w:rsidRPr="0070127A">
              <w:rPr>
                <w:sz w:val="22"/>
                <w:szCs w:val="18"/>
              </w:rPr>
              <w:t>–</w:t>
            </w:r>
            <w:r w:rsidRPr="0070127A">
              <w:rPr>
                <w:sz w:val="22"/>
                <w:szCs w:val="18"/>
              </w:rPr>
              <w:tab/>
              <w:t>À l'État de Palestine (Résolution 99 (Rév. Dubaï, 2018))</w:t>
            </w:r>
          </w:p>
          <w:p w14:paraId="146DFA09" w14:textId="41B47895" w:rsidR="00636EF3" w:rsidRPr="0070127A" w:rsidRDefault="00636EF3" w:rsidP="0070127A">
            <w:pPr>
              <w:tabs>
                <w:tab w:val="clear" w:pos="794"/>
                <w:tab w:val="left" w:pos="226"/>
                <w:tab w:val="left" w:pos="4111"/>
              </w:tabs>
              <w:spacing w:before="0"/>
              <w:ind w:left="226" w:hanging="226"/>
              <w:rPr>
                <w:b/>
                <w:bCs/>
                <w:sz w:val="22"/>
                <w:szCs w:val="18"/>
              </w:rPr>
            </w:pPr>
            <w:r w:rsidRPr="0070127A">
              <w:rPr>
                <w:b/>
                <w:bCs/>
                <w:sz w:val="22"/>
                <w:szCs w:val="18"/>
              </w:rPr>
              <w:t>Copie:</w:t>
            </w:r>
          </w:p>
          <w:p w14:paraId="2C8B7C05" w14:textId="03AD0826" w:rsidR="00636EF3" w:rsidRPr="0070127A" w:rsidRDefault="00636EF3" w:rsidP="0070127A">
            <w:pPr>
              <w:tabs>
                <w:tab w:val="left" w:pos="4111"/>
              </w:tabs>
              <w:spacing w:before="0"/>
              <w:ind w:left="426" w:hanging="426"/>
              <w:rPr>
                <w:sz w:val="22"/>
                <w:szCs w:val="18"/>
              </w:rPr>
            </w:pPr>
            <w:r w:rsidRPr="0070127A">
              <w:rPr>
                <w:sz w:val="22"/>
                <w:szCs w:val="18"/>
              </w:rPr>
              <w:t>–</w:t>
            </w:r>
            <w:r w:rsidRPr="0070127A">
              <w:rPr>
                <w:sz w:val="22"/>
                <w:szCs w:val="18"/>
              </w:rPr>
              <w:tab/>
              <w:t xml:space="preserve">Aux Associés participant aux travaux de la Commission d'études 11 de l'UIT-T; </w:t>
            </w:r>
          </w:p>
          <w:p w14:paraId="7E219BFC" w14:textId="3C6D9B4E" w:rsidR="00636EF3" w:rsidRPr="0070127A" w:rsidRDefault="00636EF3" w:rsidP="0070127A">
            <w:pPr>
              <w:tabs>
                <w:tab w:val="left" w:pos="4111"/>
              </w:tabs>
              <w:spacing w:before="0"/>
              <w:ind w:left="426" w:hanging="426"/>
              <w:rPr>
                <w:sz w:val="22"/>
                <w:szCs w:val="18"/>
              </w:rPr>
            </w:pPr>
            <w:r w:rsidRPr="0070127A">
              <w:rPr>
                <w:sz w:val="22"/>
                <w:szCs w:val="18"/>
              </w:rPr>
              <w:t>–</w:t>
            </w:r>
            <w:r w:rsidRPr="0070127A">
              <w:rPr>
                <w:sz w:val="22"/>
                <w:szCs w:val="18"/>
              </w:rPr>
              <w:tab/>
              <w:t>Aux établissements universitaires participant aux travaux de l'UIT;</w:t>
            </w:r>
          </w:p>
          <w:p w14:paraId="6A6A2062" w14:textId="53EBC0BF" w:rsidR="00636EF3" w:rsidRPr="0070127A" w:rsidRDefault="00636EF3" w:rsidP="0070127A">
            <w:pPr>
              <w:tabs>
                <w:tab w:val="left" w:pos="4111"/>
              </w:tabs>
              <w:spacing w:before="0"/>
              <w:ind w:left="426" w:hanging="426"/>
              <w:rPr>
                <w:sz w:val="22"/>
                <w:szCs w:val="18"/>
              </w:rPr>
            </w:pPr>
            <w:r w:rsidRPr="0070127A">
              <w:rPr>
                <w:sz w:val="22"/>
                <w:szCs w:val="18"/>
              </w:rPr>
              <w:t>–</w:t>
            </w:r>
            <w:r w:rsidRPr="0070127A">
              <w:rPr>
                <w:sz w:val="22"/>
                <w:szCs w:val="18"/>
              </w:rPr>
              <w:tab/>
              <w:t>Au Président et aux Vice-Présidents de la Commission d'études 11 de l'UIT-T;</w:t>
            </w:r>
          </w:p>
          <w:p w14:paraId="046949F7" w14:textId="164E4F2F" w:rsidR="00636EF3" w:rsidRPr="0070127A" w:rsidRDefault="00636EF3" w:rsidP="0070127A">
            <w:pPr>
              <w:tabs>
                <w:tab w:val="left" w:pos="4111"/>
              </w:tabs>
              <w:spacing w:before="0"/>
              <w:ind w:left="426" w:hanging="426"/>
              <w:rPr>
                <w:sz w:val="22"/>
                <w:szCs w:val="18"/>
              </w:rPr>
            </w:pPr>
            <w:r w:rsidRPr="0070127A">
              <w:rPr>
                <w:sz w:val="22"/>
                <w:szCs w:val="18"/>
              </w:rPr>
              <w:t>–</w:t>
            </w:r>
            <w:r w:rsidRPr="0070127A">
              <w:rPr>
                <w:sz w:val="22"/>
                <w:szCs w:val="18"/>
              </w:rPr>
              <w:tab/>
              <w:t>Au Directeur du Bureau de développement des télécommunications;</w:t>
            </w:r>
          </w:p>
          <w:p w14:paraId="461460AE" w14:textId="554071D9" w:rsidR="00636EF3" w:rsidRPr="0070127A" w:rsidRDefault="00636EF3" w:rsidP="0070127A">
            <w:pPr>
              <w:tabs>
                <w:tab w:val="left" w:pos="4111"/>
              </w:tabs>
              <w:spacing w:before="0"/>
              <w:ind w:left="426" w:hanging="426"/>
              <w:rPr>
                <w:sz w:val="22"/>
                <w:szCs w:val="18"/>
              </w:rPr>
            </w:pPr>
            <w:r w:rsidRPr="0070127A">
              <w:rPr>
                <w:sz w:val="22"/>
                <w:szCs w:val="18"/>
              </w:rPr>
              <w:t>–</w:t>
            </w:r>
            <w:r w:rsidRPr="0070127A">
              <w:rPr>
                <w:sz w:val="22"/>
                <w:szCs w:val="18"/>
              </w:rPr>
              <w:tab/>
              <w:t>Au Directeur du Bureau des radiocommunications</w:t>
            </w:r>
          </w:p>
        </w:tc>
      </w:tr>
      <w:tr w:rsidR="00636EF3" w:rsidRPr="0070127A" w14:paraId="724FD23E" w14:textId="77777777" w:rsidTr="0070127A">
        <w:trPr>
          <w:cantSplit/>
        </w:trPr>
        <w:tc>
          <w:tcPr>
            <w:tcW w:w="0" w:type="auto"/>
          </w:tcPr>
          <w:p w14:paraId="73149CCD" w14:textId="77777777" w:rsidR="00636EF3" w:rsidRPr="0070127A" w:rsidRDefault="00636EF3" w:rsidP="0070127A">
            <w:pPr>
              <w:tabs>
                <w:tab w:val="left" w:pos="4111"/>
              </w:tabs>
              <w:spacing w:before="10"/>
              <w:rPr>
                <w:sz w:val="18"/>
                <w:szCs w:val="18"/>
              </w:rPr>
            </w:pPr>
            <w:proofErr w:type="gramStart"/>
            <w:r w:rsidRPr="0070127A">
              <w:rPr>
                <w:sz w:val="22"/>
                <w:szCs w:val="18"/>
              </w:rPr>
              <w:t>Tél.:</w:t>
            </w:r>
            <w:proofErr w:type="gramEnd"/>
          </w:p>
        </w:tc>
        <w:tc>
          <w:tcPr>
            <w:tcW w:w="3341" w:type="dxa"/>
          </w:tcPr>
          <w:p w14:paraId="78D06186" w14:textId="7EE4246A" w:rsidR="00636EF3" w:rsidRPr="0070127A" w:rsidRDefault="00636EF3" w:rsidP="0070127A">
            <w:pPr>
              <w:tabs>
                <w:tab w:val="left" w:pos="4111"/>
              </w:tabs>
              <w:spacing w:before="0"/>
              <w:ind w:left="57"/>
              <w:rPr>
                <w:sz w:val="22"/>
                <w:szCs w:val="18"/>
              </w:rPr>
            </w:pPr>
            <w:r w:rsidRPr="0070127A">
              <w:rPr>
                <w:sz w:val="22"/>
                <w:szCs w:val="18"/>
              </w:rPr>
              <w:t>+41 22 730 5780</w:t>
            </w:r>
          </w:p>
        </w:tc>
        <w:tc>
          <w:tcPr>
            <w:tcW w:w="5109" w:type="dxa"/>
            <w:vMerge/>
          </w:tcPr>
          <w:p w14:paraId="6D3A5806" w14:textId="6ED4A404" w:rsidR="00636EF3" w:rsidRPr="0070127A" w:rsidRDefault="00636EF3" w:rsidP="0070127A">
            <w:pPr>
              <w:tabs>
                <w:tab w:val="left" w:pos="4111"/>
              </w:tabs>
              <w:spacing w:before="0"/>
              <w:ind w:left="426" w:hanging="426"/>
              <w:rPr>
                <w:b/>
                <w:sz w:val="22"/>
                <w:szCs w:val="18"/>
              </w:rPr>
            </w:pPr>
          </w:p>
        </w:tc>
      </w:tr>
      <w:tr w:rsidR="00636EF3" w:rsidRPr="0070127A" w14:paraId="030F9AE5" w14:textId="77777777" w:rsidTr="0070127A">
        <w:trPr>
          <w:cantSplit/>
          <w:trHeight w:val="263"/>
        </w:trPr>
        <w:tc>
          <w:tcPr>
            <w:tcW w:w="0" w:type="auto"/>
          </w:tcPr>
          <w:p w14:paraId="7B417C4C" w14:textId="77777777" w:rsidR="00636EF3" w:rsidRPr="0070127A" w:rsidRDefault="00636EF3" w:rsidP="0070127A">
            <w:pPr>
              <w:tabs>
                <w:tab w:val="left" w:pos="4111"/>
              </w:tabs>
              <w:spacing w:before="10"/>
              <w:rPr>
                <w:sz w:val="18"/>
                <w:szCs w:val="18"/>
              </w:rPr>
            </w:pPr>
            <w:proofErr w:type="gramStart"/>
            <w:r w:rsidRPr="0070127A">
              <w:rPr>
                <w:sz w:val="22"/>
                <w:szCs w:val="18"/>
              </w:rPr>
              <w:t>Télécopie:</w:t>
            </w:r>
            <w:proofErr w:type="gramEnd"/>
          </w:p>
        </w:tc>
        <w:tc>
          <w:tcPr>
            <w:tcW w:w="3341" w:type="dxa"/>
          </w:tcPr>
          <w:p w14:paraId="1A4A5F7B" w14:textId="77777777" w:rsidR="00636EF3" w:rsidRPr="0070127A" w:rsidRDefault="00636EF3" w:rsidP="0070127A">
            <w:pPr>
              <w:tabs>
                <w:tab w:val="left" w:pos="4111"/>
              </w:tabs>
              <w:spacing w:before="0"/>
              <w:ind w:left="57"/>
              <w:rPr>
                <w:sz w:val="22"/>
                <w:szCs w:val="18"/>
              </w:rPr>
            </w:pPr>
            <w:r w:rsidRPr="0070127A">
              <w:rPr>
                <w:sz w:val="22"/>
                <w:szCs w:val="18"/>
              </w:rPr>
              <w:t>+41 22 730 5853</w:t>
            </w:r>
          </w:p>
        </w:tc>
        <w:tc>
          <w:tcPr>
            <w:tcW w:w="5109" w:type="dxa"/>
            <w:vMerge/>
          </w:tcPr>
          <w:p w14:paraId="323DAC81" w14:textId="7B3103A7" w:rsidR="00636EF3" w:rsidRPr="0070127A" w:rsidRDefault="00636EF3" w:rsidP="0070127A">
            <w:pPr>
              <w:tabs>
                <w:tab w:val="left" w:pos="4111"/>
              </w:tabs>
              <w:spacing w:before="0"/>
              <w:ind w:left="426" w:hanging="426"/>
              <w:rPr>
                <w:b/>
                <w:sz w:val="22"/>
                <w:szCs w:val="18"/>
              </w:rPr>
            </w:pPr>
          </w:p>
        </w:tc>
      </w:tr>
      <w:tr w:rsidR="00636EF3" w:rsidRPr="0070127A" w14:paraId="640FB6B9" w14:textId="77777777" w:rsidTr="0070127A">
        <w:trPr>
          <w:cantSplit/>
        </w:trPr>
        <w:tc>
          <w:tcPr>
            <w:tcW w:w="0" w:type="auto"/>
          </w:tcPr>
          <w:p w14:paraId="15527369" w14:textId="0865F49A" w:rsidR="00636EF3" w:rsidRPr="0070127A" w:rsidRDefault="00636EF3" w:rsidP="0070127A">
            <w:pPr>
              <w:tabs>
                <w:tab w:val="left" w:pos="4111"/>
              </w:tabs>
              <w:spacing w:before="10"/>
              <w:rPr>
                <w:sz w:val="22"/>
                <w:szCs w:val="18"/>
              </w:rPr>
            </w:pPr>
            <w:proofErr w:type="gramStart"/>
            <w:r w:rsidRPr="0070127A">
              <w:rPr>
                <w:sz w:val="22"/>
                <w:szCs w:val="18"/>
              </w:rPr>
              <w:t>Courriel:</w:t>
            </w:r>
            <w:proofErr w:type="gramEnd"/>
          </w:p>
        </w:tc>
        <w:tc>
          <w:tcPr>
            <w:tcW w:w="3341" w:type="dxa"/>
          </w:tcPr>
          <w:p w14:paraId="172249CE" w14:textId="332B5A0D" w:rsidR="00636EF3" w:rsidRPr="0070127A" w:rsidRDefault="00636EF3" w:rsidP="0070127A">
            <w:pPr>
              <w:tabs>
                <w:tab w:val="left" w:pos="4111"/>
              </w:tabs>
              <w:spacing w:before="0"/>
              <w:ind w:left="57"/>
              <w:rPr>
                <w:sz w:val="22"/>
                <w:szCs w:val="18"/>
              </w:rPr>
            </w:pPr>
            <w:hyperlink r:id="rId9" w:history="1">
              <w:r w:rsidRPr="0070127A">
                <w:rPr>
                  <w:rStyle w:val="Hyperlink"/>
                  <w:sz w:val="22"/>
                  <w:szCs w:val="18"/>
                </w:rPr>
                <w:t>tsbsg11@itu.int</w:t>
              </w:r>
            </w:hyperlink>
          </w:p>
        </w:tc>
        <w:tc>
          <w:tcPr>
            <w:tcW w:w="5109" w:type="dxa"/>
            <w:vMerge/>
          </w:tcPr>
          <w:p w14:paraId="19762254" w14:textId="03DF6504" w:rsidR="00636EF3" w:rsidRPr="0070127A" w:rsidRDefault="00636EF3" w:rsidP="0070127A">
            <w:pPr>
              <w:tabs>
                <w:tab w:val="clear" w:pos="794"/>
                <w:tab w:val="left" w:pos="4111"/>
              </w:tabs>
              <w:spacing w:before="0"/>
              <w:ind w:left="426" w:hanging="426"/>
              <w:rPr>
                <w:sz w:val="22"/>
                <w:szCs w:val="18"/>
              </w:rPr>
            </w:pPr>
          </w:p>
        </w:tc>
      </w:tr>
      <w:tr w:rsidR="00517A03" w:rsidRPr="0070127A" w14:paraId="5435C04A" w14:textId="77777777" w:rsidTr="0070127A">
        <w:trPr>
          <w:cantSplit/>
          <w:trHeight w:val="397"/>
        </w:trPr>
        <w:tc>
          <w:tcPr>
            <w:tcW w:w="0" w:type="auto"/>
          </w:tcPr>
          <w:p w14:paraId="2A0B9B4F" w14:textId="77777777" w:rsidR="00517A03" w:rsidRPr="0070127A" w:rsidRDefault="00517A03" w:rsidP="0070127A">
            <w:pPr>
              <w:tabs>
                <w:tab w:val="left" w:pos="4111"/>
              </w:tabs>
              <w:rPr>
                <w:b/>
                <w:bCs/>
                <w:sz w:val="22"/>
              </w:rPr>
            </w:pPr>
            <w:r w:rsidRPr="0070127A">
              <w:rPr>
                <w:b/>
                <w:bCs/>
                <w:sz w:val="22"/>
              </w:rPr>
              <w:t>Objet:</w:t>
            </w:r>
          </w:p>
        </w:tc>
        <w:tc>
          <w:tcPr>
            <w:tcW w:w="0" w:type="auto"/>
            <w:gridSpan w:val="2"/>
          </w:tcPr>
          <w:p w14:paraId="1A51EE75" w14:textId="46536310" w:rsidR="00517A03" w:rsidRPr="0070127A" w:rsidRDefault="00636EF3" w:rsidP="0070127A">
            <w:pPr>
              <w:tabs>
                <w:tab w:val="left" w:pos="4111"/>
              </w:tabs>
              <w:spacing w:after="120"/>
              <w:ind w:left="57"/>
              <w:rPr>
                <w:b/>
                <w:bCs/>
                <w:sz w:val="22"/>
              </w:rPr>
            </w:pPr>
            <w:r w:rsidRPr="0070127A">
              <w:rPr>
                <w:b/>
                <w:bCs/>
                <w:sz w:val="22"/>
              </w:rPr>
              <w:t>Consultation des États Membres au sujet du texte déterminé des projets de Recommandations UIT-T Q.5036 (anciennement Q.IEC-PDMF) et UIT-T Q.5015 (anciennement Q.cco-mec) qu'il est proposé d'approuver à la réunion de la Commission d'études 11 de l'UIT-T (prévue à Genève du 3 au 11 mars 2026)</w:t>
            </w:r>
          </w:p>
        </w:tc>
      </w:tr>
    </w:tbl>
    <w:p w14:paraId="2D1EC328" w14:textId="77777777" w:rsidR="00517A03" w:rsidRPr="0070127A" w:rsidRDefault="00517A03" w:rsidP="0070127A">
      <w:pPr>
        <w:rPr>
          <w:sz w:val="22"/>
          <w:szCs w:val="18"/>
        </w:rPr>
      </w:pPr>
      <w:bookmarkStart w:id="1" w:name="StartTyping_F"/>
      <w:bookmarkEnd w:id="1"/>
      <w:r w:rsidRPr="0070127A">
        <w:rPr>
          <w:sz w:val="22"/>
          <w:szCs w:val="18"/>
        </w:rPr>
        <w:t>Madame, Monsieur,</w:t>
      </w:r>
    </w:p>
    <w:p w14:paraId="404785E3" w14:textId="5F124DDE" w:rsidR="00636EF3" w:rsidRPr="0070127A" w:rsidRDefault="00636EF3" w:rsidP="00636EF3">
      <w:pPr>
        <w:rPr>
          <w:bCs/>
          <w:sz w:val="22"/>
          <w:szCs w:val="18"/>
        </w:rPr>
      </w:pPr>
      <w:r w:rsidRPr="0070127A">
        <w:rPr>
          <w:bCs/>
          <w:sz w:val="22"/>
          <w:szCs w:val="18"/>
        </w:rPr>
        <w:t>1</w:t>
      </w:r>
      <w:r w:rsidRPr="0070127A">
        <w:rPr>
          <w:bCs/>
          <w:sz w:val="22"/>
          <w:szCs w:val="18"/>
        </w:rPr>
        <w:tab/>
        <w:t>La Commission d'études 11 de l'UIT-T (Exigences de signalisation, protocoles, spécifications de test et lutte contre la contrefaçon des dispositifs de télécommunication/TIC) a l'intention d'appliquer la procédure d'approbation traditionnelle énoncée à la section 9 de la Résolution</w:t>
      </w:r>
      <w:r w:rsidR="00265165" w:rsidRPr="0070127A">
        <w:rPr>
          <w:bCs/>
          <w:sz w:val="22"/>
          <w:szCs w:val="18"/>
        </w:rPr>
        <w:t> </w:t>
      </w:r>
      <w:r w:rsidRPr="0070127A">
        <w:rPr>
          <w:bCs/>
          <w:sz w:val="22"/>
          <w:szCs w:val="18"/>
        </w:rPr>
        <w:t>1 (Rév.</w:t>
      </w:r>
      <w:r w:rsidR="00613E22" w:rsidRPr="0070127A">
        <w:rPr>
          <w:bCs/>
          <w:sz w:val="22"/>
          <w:szCs w:val="18"/>
        </w:rPr>
        <w:t> </w:t>
      </w:r>
      <w:r w:rsidRPr="0070127A">
        <w:rPr>
          <w:bCs/>
          <w:sz w:val="22"/>
          <w:szCs w:val="18"/>
        </w:rPr>
        <w:t>Genève, 2022) de l'AMNT pour l'approbation des projets de Recommandations mentionnés ci</w:t>
      </w:r>
      <w:r w:rsidR="00613E22" w:rsidRPr="0070127A">
        <w:rPr>
          <w:bCs/>
          <w:sz w:val="22"/>
          <w:szCs w:val="18"/>
        </w:rPr>
        <w:noBreakHyphen/>
      </w:r>
      <w:r w:rsidRPr="0070127A">
        <w:rPr>
          <w:bCs/>
          <w:sz w:val="22"/>
          <w:szCs w:val="18"/>
        </w:rPr>
        <w:t>dessus à sa prochaine réunion, qui se tiendra à Genève, du 3 au 11 mars 2026. L'ordre du jour ainsi que tous les renseignements pertinents concernant la réunion de la Commission d'études</w:t>
      </w:r>
      <w:r w:rsidR="00265165" w:rsidRPr="0070127A">
        <w:rPr>
          <w:bCs/>
          <w:sz w:val="22"/>
          <w:szCs w:val="18"/>
        </w:rPr>
        <w:t> </w:t>
      </w:r>
      <w:r w:rsidRPr="0070127A">
        <w:rPr>
          <w:bCs/>
          <w:sz w:val="22"/>
          <w:szCs w:val="18"/>
        </w:rPr>
        <w:t>11 de l'UIT-T seront mis à disposition en temps utile.</w:t>
      </w:r>
    </w:p>
    <w:p w14:paraId="12E82196" w14:textId="77777777" w:rsidR="00636EF3" w:rsidRPr="0070127A" w:rsidRDefault="00636EF3" w:rsidP="00636EF3">
      <w:pPr>
        <w:rPr>
          <w:bCs/>
          <w:sz w:val="22"/>
          <w:szCs w:val="18"/>
        </w:rPr>
      </w:pPr>
      <w:r w:rsidRPr="0070127A">
        <w:rPr>
          <w:bCs/>
          <w:sz w:val="22"/>
          <w:szCs w:val="18"/>
        </w:rPr>
        <w:t>2</w:t>
      </w:r>
      <w:r w:rsidRPr="0070127A">
        <w:rPr>
          <w:bCs/>
          <w:sz w:val="22"/>
          <w:szCs w:val="18"/>
        </w:rPr>
        <w:tab/>
        <w:t>Vous trouverez dans l'</w:t>
      </w:r>
      <w:r w:rsidRPr="0070127A">
        <w:rPr>
          <w:b/>
          <w:sz w:val="22"/>
          <w:szCs w:val="18"/>
        </w:rPr>
        <w:t>Annexe 1</w:t>
      </w:r>
      <w:r w:rsidRPr="0070127A">
        <w:rPr>
          <w:bCs/>
          <w:sz w:val="22"/>
          <w:szCs w:val="18"/>
        </w:rPr>
        <w:t xml:space="preserve"> le titre, le résumé et l'emplacement des projets de Recommandations UIT-T qu'il est proposé d'approuver.</w:t>
      </w:r>
    </w:p>
    <w:p w14:paraId="6E5D30A9" w14:textId="2A69B5B7" w:rsidR="00636EF3" w:rsidRPr="0070127A" w:rsidRDefault="00636EF3" w:rsidP="00636EF3">
      <w:pPr>
        <w:rPr>
          <w:bCs/>
          <w:sz w:val="22"/>
          <w:szCs w:val="18"/>
        </w:rPr>
      </w:pPr>
      <w:r w:rsidRPr="0070127A">
        <w:rPr>
          <w:bCs/>
          <w:sz w:val="22"/>
          <w:szCs w:val="18"/>
        </w:rPr>
        <w:t>3</w:t>
      </w:r>
      <w:r w:rsidRPr="0070127A">
        <w:rPr>
          <w:bCs/>
          <w:sz w:val="22"/>
          <w:szCs w:val="18"/>
        </w:rPr>
        <w:tab/>
        <w:t>La présente circulaire a pour objet d'engager le processus de consultation formelle des États</w:t>
      </w:r>
      <w:r w:rsidR="00F946E2" w:rsidRPr="0070127A">
        <w:rPr>
          <w:bCs/>
          <w:sz w:val="22"/>
          <w:szCs w:val="18"/>
        </w:rPr>
        <w:t> </w:t>
      </w:r>
      <w:r w:rsidRPr="0070127A">
        <w:rPr>
          <w:bCs/>
          <w:sz w:val="22"/>
          <w:szCs w:val="18"/>
        </w:rPr>
        <w:t>Membres de l'UIT, qui devront indiquer si ces textes peuvent être examinés en vue de leur approbation à la prochaine réunion, conformément au paragraphe 9.4 de la Résolution 1. Les États Membres sont priés de remplir le formulaire de l'</w:t>
      </w:r>
      <w:r w:rsidRPr="0070127A">
        <w:rPr>
          <w:b/>
          <w:sz w:val="22"/>
          <w:szCs w:val="18"/>
        </w:rPr>
        <w:t>Annexe 2</w:t>
      </w:r>
      <w:r w:rsidRPr="0070127A">
        <w:rPr>
          <w:bCs/>
          <w:sz w:val="22"/>
          <w:szCs w:val="18"/>
        </w:rPr>
        <w:t xml:space="preserve"> et de le renvoyer d'ici au </w:t>
      </w:r>
      <w:r w:rsidRPr="0070127A">
        <w:rPr>
          <w:b/>
          <w:sz w:val="22"/>
          <w:szCs w:val="18"/>
        </w:rPr>
        <w:t>19 février 2026</w:t>
      </w:r>
      <w:r w:rsidRPr="0070127A">
        <w:rPr>
          <w:bCs/>
          <w:sz w:val="22"/>
          <w:szCs w:val="18"/>
        </w:rPr>
        <w:t xml:space="preserve"> à 23 h 59 (UTC).</w:t>
      </w:r>
    </w:p>
    <w:p w14:paraId="46F2C3C2" w14:textId="0820B3F1" w:rsidR="00307FB4" w:rsidRPr="0070127A" w:rsidRDefault="00636EF3" w:rsidP="00636EF3">
      <w:pPr>
        <w:rPr>
          <w:bCs/>
          <w:sz w:val="22"/>
          <w:szCs w:val="18"/>
        </w:rPr>
      </w:pPr>
      <w:r w:rsidRPr="0070127A">
        <w:rPr>
          <w:bCs/>
          <w:sz w:val="22"/>
          <w:szCs w:val="18"/>
        </w:rPr>
        <w:t>4</w:t>
      </w:r>
      <w:r w:rsidRPr="0070127A">
        <w:rPr>
          <w:bCs/>
          <w:sz w:val="22"/>
          <w:szCs w:val="18"/>
        </w:rPr>
        <w:tab/>
        <w:t>Si au moins 70% des réponses des États Membres sont en faveur de l'examen, aux fins d'approbation, de ces textes, une séance plénière sera consacrée à l'application de la procédure d'approbation. Les États Membres qui n'autorisent pas la commission d'études à procéder ainsi doivent informer le Directeur du TSB des motifs de cette décision et lui faire part des éventuelles modifications qui permettraient la poursuite des travaux.</w:t>
      </w:r>
    </w:p>
    <w:p w14:paraId="6A4CD67F" w14:textId="78444AED" w:rsidR="00307FB4" w:rsidRPr="0070127A" w:rsidRDefault="00307FB4" w:rsidP="00307FB4">
      <w:pPr>
        <w:rPr>
          <w:bCs/>
          <w:sz w:val="22"/>
          <w:szCs w:val="18"/>
        </w:rPr>
      </w:pPr>
      <w:r w:rsidRPr="0070127A">
        <w:rPr>
          <w:bCs/>
          <w:sz w:val="22"/>
          <w:szCs w:val="18"/>
        </w:rPr>
        <w:t>Veuillez agréer, Madame, Monsieur, l'assurance de ma considération distinguée.</w:t>
      </w:r>
    </w:p>
    <w:p w14:paraId="558FB742" w14:textId="095292B6" w:rsidR="002937DB" w:rsidRPr="0070127A" w:rsidRDefault="009141C0" w:rsidP="0070127A">
      <w:pPr>
        <w:spacing w:before="720"/>
        <w:rPr>
          <w:bCs/>
          <w:sz w:val="22"/>
          <w:szCs w:val="18"/>
        </w:rPr>
      </w:pPr>
      <w:r>
        <w:rPr>
          <w:bCs/>
          <w:noProof/>
          <w:sz w:val="22"/>
          <w:szCs w:val="18"/>
        </w:rPr>
        <w:drawing>
          <wp:anchor distT="0" distB="0" distL="114300" distR="114300" simplePos="0" relativeHeight="251658240" behindDoc="1" locked="0" layoutInCell="1" allowOverlap="1" wp14:anchorId="00FB29B7" wp14:editId="384BA8AA">
            <wp:simplePos x="0" y="0"/>
            <wp:positionH relativeFrom="column">
              <wp:posOffset>45085</wp:posOffset>
            </wp:positionH>
            <wp:positionV relativeFrom="paragraph">
              <wp:posOffset>46355</wp:posOffset>
            </wp:positionV>
            <wp:extent cx="692150" cy="330200"/>
            <wp:effectExtent l="0" t="0" r="0" b="0"/>
            <wp:wrapNone/>
            <wp:docPr id="57409345"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9345" name="Picture 1" descr="A black text on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92150" cy="330200"/>
                    </a:xfrm>
                    <a:prstGeom prst="rect">
                      <a:avLst/>
                    </a:prstGeom>
                  </pic:spPr>
                </pic:pic>
              </a:graphicData>
            </a:graphic>
          </wp:anchor>
        </w:drawing>
      </w:r>
      <w:r w:rsidR="00307FB4" w:rsidRPr="0070127A">
        <w:rPr>
          <w:bCs/>
          <w:sz w:val="22"/>
          <w:szCs w:val="18"/>
        </w:rPr>
        <w:t>Seizo Onoe</w:t>
      </w:r>
      <w:r w:rsidR="00B60868" w:rsidRPr="0070127A">
        <w:rPr>
          <w:bCs/>
          <w:sz w:val="22"/>
          <w:szCs w:val="18"/>
        </w:rPr>
        <w:br/>
      </w:r>
      <w:r w:rsidR="00307FB4" w:rsidRPr="0070127A">
        <w:rPr>
          <w:bCs/>
          <w:sz w:val="22"/>
          <w:szCs w:val="18"/>
        </w:rPr>
        <w:t>Directeur du Bureau de la normalisation</w:t>
      </w:r>
      <w:r w:rsidR="00B60868" w:rsidRPr="0070127A">
        <w:rPr>
          <w:bCs/>
          <w:sz w:val="22"/>
          <w:szCs w:val="18"/>
        </w:rPr>
        <w:br/>
      </w:r>
      <w:r w:rsidR="00307FB4" w:rsidRPr="0070127A">
        <w:rPr>
          <w:bCs/>
          <w:sz w:val="22"/>
          <w:szCs w:val="18"/>
        </w:rPr>
        <w:t>des télécommunications</w:t>
      </w:r>
    </w:p>
    <w:p w14:paraId="51A76F67" w14:textId="5946F146" w:rsidR="003E3960" w:rsidRPr="0070127A" w:rsidRDefault="003E3960" w:rsidP="0070127A">
      <w:pPr>
        <w:spacing w:before="360"/>
        <w:rPr>
          <w:bCs/>
          <w:sz w:val="22"/>
          <w:szCs w:val="18"/>
        </w:rPr>
      </w:pPr>
      <w:r w:rsidRPr="0070127A">
        <w:rPr>
          <w:b/>
          <w:sz w:val="22"/>
          <w:szCs w:val="18"/>
        </w:rPr>
        <w:t>Annexes</w:t>
      </w:r>
      <w:r w:rsidRPr="0070127A">
        <w:rPr>
          <w:bCs/>
          <w:sz w:val="22"/>
          <w:szCs w:val="18"/>
        </w:rPr>
        <w:t>: 2</w:t>
      </w:r>
    </w:p>
    <w:p w14:paraId="09E9BBBD" w14:textId="26588BA3" w:rsidR="00636EF3" w:rsidRPr="00636EF3" w:rsidRDefault="00636EF3" w:rsidP="00636EF3">
      <w:pPr>
        <w:pStyle w:val="Annextitle0"/>
        <w:rPr>
          <w:lang w:val="fr-FR"/>
        </w:rPr>
      </w:pPr>
      <w:r w:rsidRPr="00636EF3">
        <w:rPr>
          <w:lang w:val="fr-FR"/>
        </w:rPr>
        <w:lastRenderedPageBreak/>
        <w:t>Annexe 1</w:t>
      </w:r>
      <w:r>
        <w:rPr>
          <w:lang w:val="fr-FR"/>
        </w:rPr>
        <w:br/>
      </w:r>
      <w:r w:rsidRPr="00636EF3">
        <w:rPr>
          <w:bCs/>
          <w:lang w:val="fr-FR"/>
        </w:rPr>
        <w:t xml:space="preserve">Résumé et emplacement du texte déterminé des projets de </w:t>
      </w:r>
      <w:r>
        <w:rPr>
          <w:bCs/>
          <w:lang w:val="fr-FR"/>
        </w:rPr>
        <w:br/>
      </w:r>
      <w:r w:rsidRPr="00636EF3">
        <w:rPr>
          <w:bCs/>
          <w:lang w:val="fr-FR"/>
        </w:rPr>
        <w:t>Recommandations UIT-T Q.5036 (</w:t>
      </w:r>
      <w:r w:rsidRPr="00E903F9">
        <w:rPr>
          <w:bCs/>
          <w:lang w:val="fr-FR"/>
        </w:rPr>
        <w:t>anciennement</w:t>
      </w:r>
      <w:r w:rsidRPr="00636EF3">
        <w:rPr>
          <w:bCs/>
          <w:lang w:val="fr-FR"/>
        </w:rPr>
        <w:t xml:space="preserve"> Q.IEC-PDMF) </w:t>
      </w:r>
      <w:r>
        <w:rPr>
          <w:bCs/>
          <w:lang w:val="fr-FR"/>
        </w:rPr>
        <w:br/>
      </w:r>
      <w:r w:rsidRPr="00636EF3">
        <w:rPr>
          <w:bCs/>
          <w:lang w:val="fr-FR"/>
        </w:rPr>
        <w:t>et UIT-T Q.5015 (anciennement Q.cco-mec)</w:t>
      </w:r>
    </w:p>
    <w:p w14:paraId="66D3F80E" w14:textId="0A090E39" w:rsidR="00636EF3" w:rsidRPr="00636EF3" w:rsidRDefault="00636EF3" w:rsidP="00042B0C">
      <w:pPr>
        <w:pStyle w:val="Heading1"/>
      </w:pPr>
      <w:r w:rsidRPr="00636EF3">
        <w:t>1</w:t>
      </w:r>
      <w:r w:rsidRPr="00636EF3">
        <w:tab/>
        <w:t>Projet de nouvelle Recommandation UIT-T Q.5036 (anciennement Q.IEC-PDMF) [</w:t>
      </w:r>
      <w:hyperlink r:id="rId11" w:history="1">
        <w:r w:rsidRPr="00042B0C">
          <w:rPr>
            <w:rStyle w:val="Hyperlink"/>
          </w:rPr>
          <w:t>SG11</w:t>
        </w:r>
        <w:r w:rsidR="00042B0C" w:rsidRPr="00042B0C">
          <w:rPr>
            <w:rStyle w:val="Hyperlink"/>
          </w:rPr>
          <w:noBreakHyphen/>
        </w:r>
        <w:r w:rsidRPr="00042B0C">
          <w:rPr>
            <w:rStyle w:val="Hyperlink"/>
          </w:rPr>
          <w:t>R12</w:t>
        </w:r>
      </w:hyperlink>
      <w:r w:rsidRPr="00636EF3">
        <w:t>]</w:t>
      </w:r>
    </w:p>
    <w:p w14:paraId="6CE02C57" w14:textId="77777777" w:rsidR="00636EF3" w:rsidRPr="00636EF3" w:rsidRDefault="00636EF3" w:rsidP="00636EF3">
      <w:pPr>
        <w:rPr>
          <w:bCs/>
        </w:rPr>
      </w:pPr>
      <w:r w:rsidRPr="00636EF3">
        <w:rPr>
          <w:bCs/>
        </w:rPr>
        <w:t>Interfaces de gestion des données pour un cadre décisionnel public sur l'informatique en périphérie intelligente</w:t>
      </w:r>
    </w:p>
    <w:p w14:paraId="6F11FE16" w14:textId="77777777" w:rsidR="00636EF3" w:rsidRPr="00636EF3" w:rsidRDefault="00636EF3" w:rsidP="00042B0C">
      <w:pPr>
        <w:pStyle w:val="headingb"/>
      </w:pPr>
      <w:r w:rsidRPr="00636EF3">
        <w:t>Résumé</w:t>
      </w:r>
    </w:p>
    <w:p w14:paraId="204D9532" w14:textId="40543EEB" w:rsidR="00636EF3" w:rsidRPr="00636EF3" w:rsidRDefault="00636EF3" w:rsidP="00636EF3">
      <w:pPr>
        <w:rPr>
          <w:bCs/>
        </w:rPr>
      </w:pPr>
      <w:r w:rsidRPr="00636EF3">
        <w:rPr>
          <w:bCs/>
        </w:rPr>
        <w:t>Cette Recommandation spécifie les interfaces de gestion des données pour un cadre décisionnel public fondé sur l</w:t>
      </w:r>
      <w:r w:rsidR="00E903F9">
        <w:rPr>
          <w:bCs/>
        </w:rPr>
        <w:t>'</w:t>
      </w:r>
      <w:r w:rsidRPr="00636EF3">
        <w:rPr>
          <w:bCs/>
        </w:rPr>
        <w:t>architecture de l</w:t>
      </w:r>
      <w:r w:rsidR="00E903F9">
        <w:rPr>
          <w:bCs/>
        </w:rPr>
        <w:t>'</w:t>
      </w:r>
      <w:r w:rsidRPr="00636EF3">
        <w:rPr>
          <w:bCs/>
        </w:rPr>
        <w:t>informatique en périphérie intelligente décrite dans la Recommandation UIT-T Q.5001. Le cadre appuie les services décisionnels fondés sur l</w:t>
      </w:r>
      <w:r w:rsidR="00E903F9">
        <w:rPr>
          <w:bCs/>
        </w:rPr>
        <w:t>'</w:t>
      </w:r>
      <w:r w:rsidRPr="00636EF3">
        <w:rPr>
          <w:bCs/>
        </w:rPr>
        <w:t>IA en permettant des interfaces sécurisées et efficaces de collecte, de gouvernance et de gestion des données à partir de données socio-économiques distribuées à de multiples parties prenantes.</w:t>
      </w:r>
    </w:p>
    <w:p w14:paraId="5B6154BD" w14:textId="6DA008C2" w:rsidR="00636EF3" w:rsidRPr="00636EF3" w:rsidRDefault="00636EF3" w:rsidP="00636EF3">
      <w:pPr>
        <w:rPr>
          <w:bCs/>
        </w:rPr>
      </w:pPr>
      <w:r w:rsidRPr="00636EF3">
        <w:rPr>
          <w:bCs/>
        </w:rPr>
        <w:t>Le cadre architectural comprend trois couches, à savoir la couche d</w:t>
      </w:r>
      <w:r w:rsidR="00E903F9">
        <w:rPr>
          <w:bCs/>
        </w:rPr>
        <w:t>'</w:t>
      </w:r>
      <w:r w:rsidRPr="00636EF3">
        <w:rPr>
          <w:bCs/>
        </w:rPr>
        <w:t>interfonctionnement, la couche de données et la couche de service. Ces couches intègrent des blocs fonctionnels pour la collecte de données, la gouvernance et la gestion des services décisionnels. Les interfaces API de la couche de données prennent en charge des opérations telles que la collecte, l</w:t>
      </w:r>
      <w:r w:rsidR="00E903F9">
        <w:rPr>
          <w:bCs/>
        </w:rPr>
        <w:t>'</w:t>
      </w:r>
      <w:r w:rsidRPr="00636EF3">
        <w:rPr>
          <w:bCs/>
        </w:rPr>
        <w:t>extraction, la mise à jour et la suppression de données socio-économiques stockées en périphérie. Les API de la couche de service régissent les données et les opérations de service tout en offrant des services décisionnels publics fiables et conformes.</w:t>
      </w:r>
    </w:p>
    <w:p w14:paraId="3FFCABA1" w14:textId="66E38B64" w:rsidR="00636EF3" w:rsidRPr="00636EF3" w:rsidRDefault="00636EF3" w:rsidP="00636EF3">
      <w:pPr>
        <w:rPr>
          <w:bCs/>
        </w:rPr>
      </w:pPr>
      <w:r w:rsidRPr="00636EF3">
        <w:rPr>
          <w:bCs/>
        </w:rPr>
        <w:t>Les fonctions essentielles définies dans la présente Recommandation comprennent les fonctions de gouvernance des données, les fonctions de collecte des données et les fonctions de gestion des services décisionnels. Ces fonctions assurent la gestion des métadonnées et de la qualité, la collecte systématique de données provenant de sources hétérogènes et la fourniture de services décisionnels fondés sur l</w:t>
      </w:r>
      <w:r w:rsidR="00E903F9">
        <w:rPr>
          <w:bCs/>
        </w:rPr>
        <w:t>'</w:t>
      </w:r>
      <w:r w:rsidRPr="00636EF3">
        <w:rPr>
          <w:bCs/>
        </w:rPr>
        <w:t>intelligence artificielle de manière sécurisée et conforme.</w:t>
      </w:r>
    </w:p>
    <w:p w14:paraId="5B511894" w14:textId="77777777" w:rsidR="00636EF3" w:rsidRPr="00636EF3" w:rsidRDefault="00636EF3" w:rsidP="00636EF3">
      <w:pPr>
        <w:rPr>
          <w:bCs/>
        </w:rPr>
      </w:pPr>
      <w:r w:rsidRPr="00636EF3">
        <w:rPr>
          <w:bCs/>
        </w:rPr>
        <w:t>Aucun document de justification UIT-T A.5 n'a été élaboré pour ce projet de document déterminé.</w:t>
      </w:r>
    </w:p>
    <w:p w14:paraId="5128BE7B" w14:textId="3A0474B0" w:rsidR="00636EF3" w:rsidRPr="00636EF3" w:rsidRDefault="00636EF3" w:rsidP="00042B0C">
      <w:pPr>
        <w:pStyle w:val="Note"/>
      </w:pPr>
      <w:r w:rsidRPr="00636EF3">
        <w:t xml:space="preserve">NOTE DU TSB – À la date de la présente </w:t>
      </w:r>
      <w:r w:rsidR="00E903F9">
        <w:t>c</w:t>
      </w:r>
      <w:r w:rsidRPr="00636EF3">
        <w:t xml:space="preserve">irculaire, le TSB a reçu une déclaration concernant les droits de propriété intellectuelle relative à ce projet de document. Pour obtenir des renseignements actualisés, les membres sont invités à consulter la base de données relative aux droits de propriété intellectuelle à l'adresse </w:t>
      </w:r>
      <w:hyperlink r:id="rId12" w:history="1">
        <w:r w:rsidRPr="00042B0C">
          <w:rPr>
            <w:rStyle w:val="Hyperlink"/>
          </w:rPr>
          <w:t>www.itu.int/ipr/</w:t>
        </w:r>
      </w:hyperlink>
      <w:r w:rsidRPr="00636EF3">
        <w:t>.</w:t>
      </w:r>
    </w:p>
    <w:p w14:paraId="232050EC" w14:textId="35B8B58A" w:rsidR="00636EF3" w:rsidRPr="00636EF3" w:rsidRDefault="00636EF3" w:rsidP="00042B0C">
      <w:pPr>
        <w:pStyle w:val="Heading1"/>
      </w:pPr>
      <w:r w:rsidRPr="00636EF3">
        <w:t>2</w:t>
      </w:r>
      <w:r w:rsidRPr="00636EF3">
        <w:tab/>
        <w:t>Projet de nouvelle Recommandation UIT-T Q.5015 (anciennement Q.cco-mec) [</w:t>
      </w:r>
      <w:hyperlink r:id="rId13" w:history="1">
        <w:r w:rsidRPr="00042B0C">
          <w:rPr>
            <w:rStyle w:val="Hyperlink"/>
            <w:bCs/>
          </w:rPr>
          <w:t>SG11-R11</w:t>
        </w:r>
      </w:hyperlink>
      <w:r w:rsidRPr="00636EF3">
        <w:t>]</w:t>
      </w:r>
    </w:p>
    <w:p w14:paraId="29CD3837" w14:textId="77777777" w:rsidR="00636EF3" w:rsidRPr="00636EF3" w:rsidRDefault="00636EF3" w:rsidP="00636EF3">
      <w:pPr>
        <w:rPr>
          <w:bCs/>
        </w:rPr>
      </w:pPr>
      <w:r w:rsidRPr="00636EF3">
        <w:rPr>
          <w:bCs/>
        </w:rPr>
        <w:t>Exigences de signalisation pour l'orchestration prenant en charge l'informatique confidentielle dans l'informatique en périphérie à accès multiples</w:t>
      </w:r>
    </w:p>
    <w:p w14:paraId="40F25E96" w14:textId="77777777" w:rsidR="00636EF3" w:rsidRPr="00636EF3" w:rsidRDefault="00636EF3" w:rsidP="00042B0C">
      <w:pPr>
        <w:pStyle w:val="headingb"/>
      </w:pPr>
      <w:r w:rsidRPr="00636EF3">
        <w:t>Résumé</w:t>
      </w:r>
    </w:p>
    <w:p w14:paraId="2D237AB5" w14:textId="2CF475FC" w:rsidR="00636EF3" w:rsidRPr="00636EF3" w:rsidRDefault="00636EF3" w:rsidP="00636EF3">
      <w:pPr>
        <w:rPr>
          <w:bCs/>
        </w:rPr>
      </w:pPr>
      <w:r w:rsidRPr="00636EF3">
        <w:rPr>
          <w:bCs/>
        </w:rPr>
        <w:t>L</w:t>
      </w:r>
      <w:r w:rsidR="00E903F9">
        <w:rPr>
          <w:bCs/>
        </w:rPr>
        <w:t>'</w:t>
      </w:r>
      <w:r w:rsidRPr="00636EF3">
        <w:rPr>
          <w:bCs/>
        </w:rPr>
        <w:t>informatique en périphérie à accès multiples (MEC) offre un environnement de traitement des données proche de la génération de données des secteurs verticaux. Afin de fournir un environnement neutre, fiable et attesté qui puisse protéger les données et le code du modèle algorithmique pendant le temps d</w:t>
      </w:r>
      <w:r w:rsidR="00E903F9">
        <w:rPr>
          <w:bCs/>
        </w:rPr>
        <w:t>'</w:t>
      </w:r>
      <w:r w:rsidRPr="00636EF3">
        <w:rPr>
          <w:bCs/>
        </w:rPr>
        <w:t>exécution dans l'informatique en périphérie à accès multiple, l</w:t>
      </w:r>
      <w:r w:rsidR="00E903F9">
        <w:rPr>
          <w:bCs/>
        </w:rPr>
        <w:t>'</w:t>
      </w:r>
      <w:r w:rsidRPr="00636EF3">
        <w:rPr>
          <w:bCs/>
        </w:rPr>
        <w:t>informatique confidentielle est considérée comme une technologie essentielle.</w:t>
      </w:r>
    </w:p>
    <w:p w14:paraId="45273FE7" w14:textId="77777777" w:rsidR="00636EF3" w:rsidRPr="00636EF3" w:rsidRDefault="00636EF3" w:rsidP="00636EF3">
      <w:pPr>
        <w:rPr>
          <w:bCs/>
        </w:rPr>
      </w:pPr>
      <w:r w:rsidRPr="00636EF3">
        <w:rPr>
          <w:bCs/>
        </w:rPr>
        <w:lastRenderedPageBreak/>
        <w:t>Cette Recommandation définit l'architecture, les procédures et les exigences de signalisation de l'orchestration pour prendre en charge l'informatique confidentielle dans l'informatique en périphérie à accès multiple.</w:t>
      </w:r>
    </w:p>
    <w:p w14:paraId="0DCB6C12" w14:textId="2230C20E" w:rsidR="00636EF3" w:rsidRPr="00636EF3" w:rsidRDefault="00636EF3" w:rsidP="00636EF3">
      <w:pPr>
        <w:rPr>
          <w:bCs/>
        </w:rPr>
      </w:pPr>
      <w:r w:rsidRPr="00636EF3">
        <w:rPr>
          <w:bCs/>
        </w:rPr>
        <w:t>Le projet de texte déterminé de cette Recommandation contient des références normatives qui nécessitent un document de justification UIT-T A.5, lequel est reproduit dans le Document</w:t>
      </w:r>
      <w:r w:rsidR="00E903F9">
        <w:rPr>
          <w:bCs/>
        </w:rPr>
        <w:t> </w:t>
      </w:r>
      <w:r w:rsidRPr="00636EF3">
        <w:rPr>
          <w:bCs/>
        </w:rPr>
        <w:t>[</w:t>
      </w:r>
      <w:hyperlink r:id="rId14" w:history="1">
        <w:r w:rsidRPr="00042B0C">
          <w:rPr>
            <w:rStyle w:val="Hyperlink"/>
            <w:bCs/>
          </w:rPr>
          <w:t>SG11</w:t>
        </w:r>
        <w:r w:rsidR="00042B0C" w:rsidRPr="00042B0C">
          <w:rPr>
            <w:rStyle w:val="Hyperlink"/>
            <w:bCs/>
          </w:rPr>
          <w:noBreakHyphen/>
        </w:r>
        <w:r w:rsidRPr="00042B0C">
          <w:rPr>
            <w:rStyle w:val="Hyperlink"/>
            <w:bCs/>
          </w:rPr>
          <w:t>TD619/GEN</w:t>
        </w:r>
      </w:hyperlink>
      <w:r w:rsidRPr="00636EF3">
        <w:rPr>
          <w:bCs/>
        </w:rPr>
        <w:t>]</w:t>
      </w:r>
    </w:p>
    <w:p w14:paraId="3B647157" w14:textId="64E35D3A" w:rsidR="00517A03" w:rsidRDefault="00636EF3" w:rsidP="00042B0C">
      <w:pPr>
        <w:pStyle w:val="Note"/>
      </w:pPr>
      <w:r w:rsidRPr="00636EF3">
        <w:t xml:space="preserve">NOTE DU TSB – À la date de la présente circulaire, le TSB n'avait reçu aucune déclaration concernant les droits de propriété intellectuelle relative à ce projet de texte. Pour obtenir des renseignements actualisés, les membres sont invités à consulter la base de données relative aux droits de propriété intellectuelle à l'adresse </w:t>
      </w:r>
      <w:hyperlink r:id="rId15" w:history="1">
        <w:r w:rsidRPr="00042B0C">
          <w:rPr>
            <w:rStyle w:val="Hyperlink"/>
            <w:bCs/>
          </w:rPr>
          <w:t>www.itu.int/ipr/</w:t>
        </w:r>
      </w:hyperlink>
      <w:r w:rsidRPr="00636EF3">
        <w:t>.</w:t>
      </w:r>
    </w:p>
    <w:p w14:paraId="59CFF03A" w14:textId="736560C5" w:rsidR="00636EF3" w:rsidRDefault="00636EF3" w:rsidP="00636EF3">
      <w:pPr>
        <w:rPr>
          <w:bCs/>
        </w:rPr>
      </w:pPr>
      <w:r>
        <w:rPr>
          <w:bCs/>
        </w:rPr>
        <w:br w:type="page"/>
      </w:r>
    </w:p>
    <w:p w14:paraId="28A14494" w14:textId="4F8C43DD" w:rsidR="00636EF3" w:rsidRPr="00781DCE" w:rsidRDefault="00636EF3" w:rsidP="00636EF3">
      <w:pPr>
        <w:pStyle w:val="Annextitle0"/>
        <w:spacing w:before="120"/>
        <w:rPr>
          <w:bCs/>
          <w:sz w:val="24"/>
          <w:szCs w:val="24"/>
          <w:lang w:val="fr-FR"/>
        </w:rPr>
      </w:pPr>
      <w:r w:rsidRPr="0070127A">
        <w:rPr>
          <w:bCs/>
          <w:szCs w:val="28"/>
          <w:lang w:val="fr-FR"/>
        </w:rPr>
        <w:lastRenderedPageBreak/>
        <w:t xml:space="preserve">Annexe 2 </w:t>
      </w:r>
      <w:r w:rsidR="00042B0C" w:rsidRPr="00781DCE">
        <w:rPr>
          <w:bCs/>
          <w:sz w:val="24"/>
          <w:szCs w:val="24"/>
          <w:lang w:val="fr-FR"/>
        </w:rPr>
        <w:br/>
      </w:r>
      <w:proofErr w:type="gramStart"/>
      <w:r w:rsidRPr="00781DCE">
        <w:rPr>
          <w:bCs/>
          <w:sz w:val="24"/>
          <w:szCs w:val="24"/>
          <w:lang w:val="fr-FR"/>
        </w:rPr>
        <w:t>Objet:</w:t>
      </w:r>
      <w:proofErr w:type="gramEnd"/>
      <w:r w:rsidRPr="00781DCE">
        <w:rPr>
          <w:bCs/>
          <w:sz w:val="24"/>
          <w:szCs w:val="24"/>
          <w:lang w:val="fr-FR"/>
        </w:rPr>
        <w:t xml:space="preserve"> Réponse des États Membres à la Circulaire TSB </w:t>
      </w:r>
      <w:proofErr w:type="gramStart"/>
      <w:r w:rsidRPr="00781DCE">
        <w:rPr>
          <w:bCs/>
          <w:sz w:val="24"/>
          <w:szCs w:val="24"/>
          <w:lang w:val="fr-FR"/>
        </w:rPr>
        <w:t>94:</w:t>
      </w:r>
      <w:proofErr w:type="gramEnd"/>
      <w:r w:rsidRPr="00781DCE">
        <w:rPr>
          <w:bCs/>
          <w:sz w:val="24"/>
          <w:szCs w:val="24"/>
          <w:lang w:val="fr-FR"/>
        </w:rPr>
        <w:t xml:space="preserve"> Consultation au sujet du texte déterminé des projets de Recommandations UIT-T Q.5036 (anciennement</w:t>
      </w:r>
      <w:r w:rsidR="00E903F9" w:rsidRPr="00781DCE">
        <w:rPr>
          <w:bCs/>
          <w:sz w:val="24"/>
          <w:szCs w:val="24"/>
          <w:lang w:val="fr-FR"/>
        </w:rPr>
        <w:t> </w:t>
      </w:r>
      <w:r w:rsidRPr="00781DCE">
        <w:rPr>
          <w:bCs/>
          <w:sz w:val="24"/>
          <w:szCs w:val="24"/>
          <w:lang w:val="fr-FR"/>
        </w:rPr>
        <w:t>Q.IEC-PDMF) et UIT-T Q.5015 (anciennement Q.cco-mec)</w:t>
      </w:r>
    </w:p>
    <w:tbl>
      <w:tblPr>
        <w:tblW w:w="9960" w:type="dxa"/>
        <w:tblInd w:w="-176" w:type="dxa"/>
        <w:tblLayout w:type="fixed"/>
        <w:tblLook w:val="04A0" w:firstRow="1" w:lastRow="0" w:firstColumn="1" w:lastColumn="0" w:noHBand="0" w:noVBand="1"/>
      </w:tblPr>
      <w:tblGrid>
        <w:gridCol w:w="1347"/>
        <w:gridCol w:w="4218"/>
        <w:gridCol w:w="1273"/>
        <w:gridCol w:w="3122"/>
      </w:tblGrid>
      <w:tr w:rsidR="00636EF3" w:rsidRPr="00781DCE" w14:paraId="7159ADDC" w14:textId="77777777">
        <w:tc>
          <w:tcPr>
            <w:tcW w:w="1346" w:type="dxa"/>
            <w:hideMark/>
          </w:tcPr>
          <w:p w14:paraId="4DD0B05D" w14:textId="77777777" w:rsidR="00636EF3" w:rsidRPr="00781DCE" w:rsidRDefault="00636EF3">
            <w:pPr>
              <w:jc w:val="right"/>
              <w:rPr>
                <w:rFonts w:ascii="Calibri" w:hAnsi="Calibri"/>
                <w:sz w:val="22"/>
                <w:szCs w:val="22"/>
                <w:lang w:val="en-GB"/>
              </w:rPr>
            </w:pPr>
            <w:proofErr w:type="gramStart"/>
            <w:r w:rsidRPr="00781DCE">
              <w:rPr>
                <w:b/>
                <w:bCs/>
                <w:sz w:val="22"/>
                <w:szCs w:val="22"/>
              </w:rPr>
              <w:t>À</w:t>
            </w:r>
            <w:r w:rsidRPr="00781DCE">
              <w:rPr>
                <w:sz w:val="22"/>
                <w:szCs w:val="22"/>
              </w:rPr>
              <w:t>:</w:t>
            </w:r>
            <w:proofErr w:type="gramEnd"/>
          </w:p>
        </w:tc>
        <w:tc>
          <w:tcPr>
            <w:tcW w:w="4217" w:type="dxa"/>
            <w:tcBorders>
              <w:top w:val="nil"/>
              <w:left w:val="nil"/>
              <w:bottom w:val="nil"/>
              <w:right w:val="single" w:sz="8" w:space="0" w:color="auto"/>
            </w:tcBorders>
            <w:hideMark/>
          </w:tcPr>
          <w:p w14:paraId="5A0ACE61" w14:textId="77777777" w:rsidR="00636EF3" w:rsidRPr="00781DCE" w:rsidRDefault="00636EF3">
            <w:pPr>
              <w:rPr>
                <w:sz w:val="22"/>
                <w:szCs w:val="22"/>
              </w:rPr>
            </w:pPr>
            <w:r w:rsidRPr="00781DCE">
              <w:rPr>
                <w:color w:val="000000"/>
                <w:sz w:val="22"/>
                <w:szCs w:val="22"/>
              </w:rPr>
              <w:t>Directeur du Bureau de la normalisation des télécommunications</w:t>
            </w:r>
          </w:p>
          <w:p w14:paraId="6B9C3CF9" w14:textId="77777777" w:rsidR="00636EF3" w:rsidRPr="00781DCE" w:rsidRDefault="00636EF3">
            <w:pPr>
              <w:spacing w:before="0"/>
              <w:rPr>
                <w:sz w:val="22"/>
                <w:szCs w:val="22"/>
              </w:rPr>
            </w:pPr>
            <w:r w:rsidRPr="00781DCE">
              <w:rPr>
                <w:color w:val="000000"/>
                <w:sz w:val="22"/>
                <w:szCs w:val="22"/>
              </w:rPr>
              <w:t>Union internationale des télécommunications</w:t>
            </w:r>
          </w:p>
          <w:p w14:paraId="63DBFF36" w14:textId="77777777" w:rsidR="00636EF3" w:rsidRPr="00781DCE" w:rsidRDefault="00636EF3">
            <w:pPr>
              <w:spacing w:before="0"/>
              <w:rPr>
                <w:sz w:val="22"/>
                <w:szCs w:val="22"/>
              </w:rPr>
            </w:pPr>
            <w:r w:rsidRPr="00781DCE">
              <w:rPr>
                <w:color w:val="000000"/>
                <w:sz w:val="22"/>
                <w:szCs w:val="22"/>
              </w:rPr>
              <w:t>Place des Nations</w:t>
            </w:r>
          </w:p>
          <w:p w14:paraId="09DAA40C" w14:textId="77777777" w:rsidR="00636EF3" w:rsidRPr="00781DCE" w:rsidRDefault="00636EF3">
            <w:pPr>
              <w:spacing w:before="0"/>
              <w:rPr>
                <w:sz w:val="22"/>
                <w:szCs w:val="22"/>
                <w:lang w:val="en-GB"/>
              </w:rPr>
            </w:pPr>
            <w:r w:rsidRPr="00781DCE">
              <w:rPr>
                <w:color w:val="000000"/>
                <w:sz w:val="22"/>
                <w:szCs w:val="22"/>
              </w:rPr>
              <w:t>CH-1211 Genève 20, Suisse</w:t>
            </w:r>
          </w:p>
        </w:tc>
        <w:tc>
          <w:tcPr>
            <w:tcW w:w="1273" w:type="dxa"/>
            <w:tcBorders>
              <w:top w:val="nil"/>
              <w:left w:val="single" w:sz="8" w:space="0" w:color="auto"/>
              <w:bottom w:val="nil"/>
              <w:right w:val="nil"/>
            </w:tcBorders>
            <w:hideMark/>
          </w:tcPr>
          <w:p w14:paraId="23D40347" w14:textId="77777777" w:rsidR="00636EF3" w:rsidRPr="00781DCE" w:rsidRDefault="00636EF3">
            <w:pPr>
              <w:jc w:val="right"/>
              <w:rPr>
                <w:sz w:val="22"/>
                <w:szCs w:val="22"/>
              </w:rPr>
            </w:pPr>
            <w:proofErr w:type="gramStart"/>
            <w:r w:rsidRPr="00781DCE">
              <w:rPr>
                <w:b/>
                <w:bCs/>
                <w:color w:val="000000"/>
                <w:sz w:val="22"/>
                <w:szCs w:val="22"/>
              </w:rPr>
              <w:t>De</w:t>
            </w:r>
            <w:r w:rsidRPr="00781DCE">
              <w:rPr>
                <w:color w:val="000000"/>
                <w:sz w:val="22"/>
                <w:szCs w:val="22"/>
              </w:rPr>
              <w:t>:</w:t>
            </w:r>
            <w:proofErr w:type="gramEnd"/>
          </w:p>
        </w:tc>
        <w:tc>
          <w:tcPr>
            <w:tcW w:w="3121" w:type="dxa"/>
            <w:hideMark/>
          </w:tcPr>
          <w:p w14:paraId="178E86FF" w14:textId="77777777" w:rsidR="00636EF3" w:rsidRPr="00781DCE" w:rsidRDefault="00636EF3">
            <w:pPr>
              <w:rPr>
                <w:sz w:val="22"/>
                <w:szCs w:val="22"/>
                <w:highlight w:val="green"/>
              </w:rPr>
            </w:pPr>
            <w:r w:rsidRPr="00781DCE">
              <w:rPr>
                <w:color w:val="000000"/>
                <w:sz w:val="22"/>
                <w:szCs w:val="22"/>
                <w:highlight w:val="green"/>
              </w:rPr>
              <w:t>[Nom]</w:t>
            </w:r>
          </w:p>
          <w:p w14:paraId="51DDB40F" w14:textId="77777777" w:rsidR="00636EF3" w:rsidRPr="00781DCE" w:rsidRDefault="00636EF3">
            <w:pPr>
              <w:spacing w:before="0"/>
              <w:rPr>
                <w:sz w:val="22"/>
                <w:szCs w:val="22"/>
                <w:highlight w:val="green"/>
              </w:rPr>
            </w:pPr>
            <w:r w:rsidRPr="00781DCE">
              <w:rPr>
                <w:color w:val="000000"/>
                <w:sz w:val="22"/>
                <w:szCs w:val="22"/>
                <w:highlight w:val="green"/>
              </w:rPr>
              <w:t>[Rôle/titre officiel]</w:t>
            </w:r>
          </w:p>
          <w:p w14:paraId="415191F8" w14:textId="77777777" w:rsidR="00636EF3" w:rsidRPr="00781DCE" w:rsidRDefault="00636EF3">
            <w:pPr>
              <w:spacing w:before="0"/>
              <w:rPr>
                <w:sz w:val="22"/>
                <w:szCs w:val="22"/>
              </w:rPr>
            </w:pPr>
            <w:r w:rsidRPr="00781DCE">
              <w:rPr>
                <w:color w:val="000000"/>
                <w:sz w:val="22"/>
                <w:szCs w:val="22"/>
                <w:highlight w:val="green"/>
              </w:rPr>
              <w:t>[Adresse]</w:t>
            </w:r>
          </w:p>
        </w:tc>
      </w:tr>
      <w:tr w:rsidR="00636EF3" w:rsidRPr="00781DCE" w14:paraId="6D07A52D" w14:textId="77777777">
        <w:tc>
          <w:tcPr>
            <w:tcW w:w="1346" w:type="dxa"/>
            <w:hideMark/>
          </w:tcPr>
          <w:p w14:paraId="186FB7CD" w14:textId="77777777" w:rsidR="00636EF3" w:rsidRPr="00781DCE" w:rsidRDefault="00636EF3">
            <w:pPr>
              <w:spacing w:before="0"/>
              <w:jc w:val="right"/>
              <w:rPr>
                <w:sz w:val="22"/>
                <w:szCs w:val="22"/>
                <w:lang w:val="en-GB"/>
              </w:rPr>
            </w:pPr>
            <w:proofErr w:type="gramStart"/>
            <w:r w:rsidRPr="00781DCE">
              <w:rPr>
                <w:b/>
                <w:bCs/>
                <w:color w:val="000000"/>
                <w:sz w:val="22"/>
                <w:szCs w:val="22"/>
              </w:rPr>
              <w:t>Télécopie</w:t>
            </w:r>
            <w:r w:rsidRPr="00781DCE">
              <w:rPr>
                <w:color w:val="000000"/>
                <w:sz w:val="22"/>
                <w:szCs w:val="22"/>
              </w:rPr>
              <w:t>:</w:t>
            </w:r>
            <w:proofErr w:type="gramEnd"/>
          </w:p>
          <w:p w14:paraId="10EAF616" w14:textId="77777777" w:rsidR="00636EF3" w:rsidRPr="00781DCE" w:rsidRDefault="00636EF3">
            <w:pPr>
              <w:spacing w:before="0"/>
              <w:jc w:val="right"/>
              <w:rPr>
                <w:sz w:val="22"/>
                <w:szCs w:val="22"/>
              </w:rPr>
            </w:pPr>
            <w:proofErr w:type="gramStart"/>
            <w:r w:rsidRPr="00781DCE">
              <w:rPr>
                <w:b/>
                <w:bCs/>
                <w:color w:val="000000"/>
                <w:sz w:val="22"/>
                <w:szCs w:val="22"/>
              </w:rPr>
              <w:t>Courriel</w:t>
            </w:r>
            <w:r w:rsidRPr="00781DCE">
              <w:rPr>
                <w:color w:val="000000"/>
                <w:sz w:val="22"/>
                <w:szCs w:val="22"/>
              </w:rPr>
              <w:t>:</w:t>
            </w:r>
            <w:proofErr w:type="gramEnd"/>
          </w:p>
        </w:tc>
        <w:tc>
          <w:tcPr>
            <w:tcW w:w="4217" w:type="dxa"/>
            <w:tcBorders>
              <w:top w:val="nil"/>
              <w:left w:val="nil"/>
              <w:bottom w:val="nil"/>
              <w:right w:val="single" w:sz="8" w:space="0" w:color="auto"/>
            </w:tcBorders>
            <w:hideMark/>
          </w:tcPr>
          <w:p w14:paraId="20EF6FD4" w14:textId="77777777" w:rsidR="00636EF3" w:rsidRPr="00781DCE" w:rsidRDefault="00636EF3">
            <w:pPr>
              <w:spacing w:before="0"/>
              <w:rPr>
                <w:sz w:val="22"/>
                <w:szCs w:val="22"/>
              </w:rPr>
            </w:pPr>
            <w:r w:rsidRPr="00781DCE">
              <w:rPr>
                <w:color w:val="000000"/>
                <w:sz w:val="22"/>
                <w:szCs w:val="22"/>
              </w:rPr>
              <w:t>+41-22-730-5853</w:t>
            </w:r>
          </w:p>
          <w:p w14:paraId="1CA1D695" w14:textId="77777777" w:rsidR="00636EF3" w:rsidRPr="00781DCE" w:rsidRDefault="00636EF3">
            <w:pPr>
              <w:spacing w:before="0"/>
              <w:rPr>
                <w:rStyle w:val="Hyperlink"/>
                <w:sz w:val="22"/>
                <w:szCs w:val="22"/>
              </w:rPr>
            </w:pPr>
            <w:hyperlink r:id="rId16" w:history="1">
              <w:r w:rsidRPr="00781DCE">
                <w:rPr>
                  <w:rStyle w:val="Hyperlink"/>
                  <w:sz w:val="22"/>
                  <w:szCs w:val="22"/>
                </w:rPr>
                <w:t>tsbdir@itu.int</w:t>
              </w:r>
            </w:hyperlink>
          </w:p>
        </w:tc>
        <w:tc>
          <w:tcPr>
            <w:tcW w:w="1273" w:type="dxa"/>
            <w:tcBorders>
              <w:top w:val="nil"/>
              <w:left w:val="single" w:sz="8" w:space="0" w:color="auto"/>
              <w:bottom w:val="nil"/>
              <w:right w:val="nil"/>
            </w:tcBorders>
            <w:hideMark/>
          </w:tcPr>
          <w:p w14:paraId="07B1DF4F" w14:textId="77777777" w:rsidR="00636EF3" w:rsidRPr="00781DCE" w:rsidRDefault="00636EF3">
            <w:pPr>
              <w:spacing w:before="0"/>
              <w:jc w:val="right"/>
              <w:rPr>
                <w:sz w:val="22"/>
                <w:szCs w:val="22"/>
              </w:rPr>
            </w:pPr>
            <w:proofErr w:type="gramStart"/>
            <w:r w:rsidRPr="00781DCE">
              <w:rPr>
                <w:b/>
                <w:bCs/>
                <w:color w:val="000000"/>
                <w:sz w:val="22"/>
                <w:szCs w:val="22"/>
              </w:rPr>
              <w:t>Télécopie</w:t>
            </w:r>
            <w:r w:rsidRPr="00781DCE">
              <w:rPr>
                <w:color w:val="000000"/>
                <w:sz w:val="22"/>
                <w:szCs w:val="22"/>
              </w:rPr>
              <w:t>:</w:t>
            </w:r>
            <w:proofErr w:type="gramEnd"/>
          </w:p>
          <w:p w14:paraId="4DD0909F" w14:textId="77777777" w:rsidR="00636EF3" w:rsidRPr="00781DCE" w:rsidRDefault="00636EF3">
            <w:pPr>
              <w:spacing w:before="0"/>
              <w:jc w:val="right"/>
              <w:rPr>
                <w:sz w:val="22"/>
                <w:szCs w:val="22"/>
              </w:rPr>
            </w:pPr>
            <w:proofErr w:type="gramStart"/>
            <w:r w:rsidRPr="00781DCE">
              <w:rPr>
                <w:b/>
                <w:bCs/>
                <w:color w:val="000000"/>
                <w:sz w:val="22"/>
                <w:szCs w:val="22"/>
              </w:rPr>
              <w:t>Courriel</w:t>
            </w:r>
            <w:r w:rsidRPr="00781DCE">
              <w:rPr>
                <w:color w:val="000000"/>
                <w:sz w:val="22"/>
                <w:szCs w:val="22"/>
              </w:rPr>
              <w:t>:</w:t>
            </w:r>
            <w:proofErr w:type="gramEnd"/>
          </w:p>
        </w:tc>
        <w:tc>
          <w:tcPr>
            <w:tcW w:w="3121" w:type="dxa"/>
          </w:tcPr>
          <w:p w14:paraId="55490312" w14:textId="77777777" w:rsidR="00636EF3" w:rsidRPr="00781DCE" w:rsidRDefault="00636EF3">
            <w:pPr>
              <w:spacing w:before="0"/>
              <w:rPr>
                <w:sz w:val="22"/>
                <w:szCs w:val="22"/>
              </w:rPr>
            </w:pPr>
          </w:p>
        </w:tc>
      </w:tr>
      <w:tr w:rsidR="00636EF3" w:rsidRPr="00781DCE" w14:paraId="6686580A" w14:textId="77777777">
        <w:tc>
          <w:tcPr>
            <w:tcW w:w="1346" w:type="dxa"/>
          </w:tcPr>
          <w:p w14:paraId="59588ECE" w14:textId="77777777" w:rsidR="00636EF3" w:rsidRPr="00781DCE" w:rsidRDefault="00636EF3">
            <w:pPr>
              <w:spacing w:before="0"/>
              <w:jc w:val="right"/>
              <w:rPr>
                <w:sz w:val="22"/>
                <w:szCs w:val="22"/>
              </w:rPr>
            </w:pPr>
          </w:p>
        </w:tc>
        <w:tc>
          <w:tcPr>
            <w:tcW w:w="4217" w:type="dxa"/>
            <w:tcBorders>
              <w:top w:val="nil"/>
              <w:left w:val="nil"/>
              <w:bottom w:val="nil"/>
              <w:right w:val="single" w:sz="8" w:space="0" w:color="auto"/>
            </w:tcBorders>
          </w:tcPr>
          <w:p w14:paraId="356B5E90" w14:textId="77777777" w:rsidR="00636EF3" w:rsidRPr="00781DCE" w:rsidRDefault="00636EF3">
            <w:pPr>
              <w:spacing w:before="0"/>
              <w:rPr>
                <w:sz w:val="22"/>
                <w:szCs w:val="22"/>
              </w:rPr>
            </w:pPr>
          </w:p>
        </w:tc>
        <w:tc>
          <w:tcPr>
            <w:tcW w:w="1273" w:type="dxa"/>
            <w:tcBorders>
              <w:top w:val="nil"/>
              <w:left w:val="single" w:sz="8" w:space="0" w:color="auto"/>
              <w:bottom w:val="nil"/>
              <w:right w:val="nil"/>
            </w:tcBorders>
            <w:hideMark/>
          </w:tcPr>
          <w:p w14:paraId="7317791A" w14:textId="77777777" w:rsidR="00636EF3" w:rsidRPr="00781DCE" w:rsidRDefault="00636EF3">
            <w:pPr>
              <w:spacing w:before="0"/>
              <w:jc w:val="right"/>
              <w:rPr>
                <w:sz w:val="22"/>
                <w:szCs w:val="22"/>
              </w:rPr>
            </w:pPr>
            <w:proofErr w:type="gramStart"/>
            <w:r w:rsidRPr="00781DCE">
              <w:rPr>
                <w:b/>
                <w:bCs/>
                <w:color w:val="000000"/>
                <w:sz w:val="22"/>
                <w:szCs w:val="22"/>
              </w:rPr>
              <w:t>Date</w:t>
            </w:r>
            <w:r w:rsidRPr="00781DCE">
              <w:rPr>
                <w:color w:val="000000"/>
                <w:sz w:val="22"/>
                <w:szCs w:val="22"/>
              </w:rPr>
              <w:t>:</w:t>
            </w:r>
            <w:proofErr w:type="gramEnd"/>
          </w:p>
        </w:tc>
        <w:tc>
          <w:tcPr>
            <w:tcW w:w="3121" w:type="dxa"/>
            <w:hideMark/>
          </w:tcPr>
          <w:p w14:paraId="668DBC86" w14:textId="77777777" w:rsidR="00636EF3" w:rsidRPr="00781DCE" w:rsidRDefault="00636EF3">
            <w:pPr>
              <w:spacing w:before="0"/>
              <w:rPr>
                <w:sz w:val="22"/>
                <w:szCs w:val="22"/>
              </w:rPr>
            </w:pPr>
            <w:r w:rsidRPr="00781DCE">
              <w:rPr>
                <w:color w:val="000000"/>
                <w:sz w:val="22"/>
                <w:szCs w:val="22"/>
                <w:highlight w:val="green"/>
              </w:rPr>
              <w:t>[Lieu,] [Date]</w:t>
            </w:r>
          </w:p>
        </w:tc>
      </w:tr>
    </w:tbl>
    <w:p w14:paraId="4AEC5F09" w14:textId="77777777" w:rsidR="00636EF3" w:rsidRPr="00781DCE" w:rsidRDefault="00636EF3" w:rsidP="00042B0C">
      <w:pPr>
        <w:pStyle w:val="Normalaftertitle"/>
        <w:rPr>
          <w:rFonts w:ascii="Calibri" w:hAnsi="Calibri"/>
          <w:sz w:val="22"/>
          <w:szCs w:val="22"/>
          <w:lang w:val="en-GB"/>
        </w:rPr>
      </w:pPr>
      <w:r w:rsidRPr="00781DCE">
        <w:rPr>
          <w:sz w:val="22"/>
          <w:szCs w:val="18"/>
        </w:rPr>
        <w:t>Madame, Monsieur,</w:t>
      </w:r>
    </w:p>
    <w:p w14:paraId="6906A938" w14:textId="77777777" w:rsidR="00636EF3" w:rsidRPr="00781DCE" w:rsidRDefault="00636EF3" w:rsidP="00636EF3">
      <w:pPr>
        <w:spacing w:after="120"/>
        <w:rPr>
          <w:sz w:val="22"/>
          <w:szCs w:val="22"/>
        </w:rPr>
      </w:pPr>
      <w:r w:rsidRPr="00781DCE">
        <w:rPr>
          <w:sz w:val="22"/>
          <w:szCs w:val="18"/>
        </w:rPr>
        <w:t>Dans le cadre de la consultation des États Membres au sujet des projets de textes déterminés dont il est question dans la Circulaire TSB 94, je vous indique par la présente l'opinion de mon Administration, qui figure dans le tableau ci-après.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173"/>
      </w:tblGrid>
      <w:tr w:rsidR="00636EF3" w:rsidRPr="00781DCE" w14:paraId="5362C745" w14:textId="77777777">
        <w:tc>
          <w:tcPr>
            <w:tcW w:w="2547" w:type="dxa"/>
            <w:tcBorders>
              <w:top w:val="single" w:sz="4" w:space="0" w:color="auto"/>
              <w:left w:val="single" w:sz="4" w:space="0" w:color="auto"/>
              <w:bottom w:val="single" w:sz="4" w:space="0" w:color="auto"/>
              <w:right w:val="single" w:sz="4" w:space="0" w:color="auto"/>
            </w:tcBorders>
            <w:vAlign w:val="center"/>
          </w:tcPr>
          <w:p w14:paraId="3F96B817" w14:textId="77777777" w:rsidR="00636EF3" w:rsidRPr="00781DCE" w:rsidRDefault="00636EF3">
            <w:pPr>
              <w:spacing w:before="40" w:after="40"/>
              <w:jc w:val="center"/>
              <w:rPr>
                <w:b/>
                <w:bCs/>
                <w:sz w:val="21"/>
                <w:szCs w:val="21"/>
              </w:rPr>
            </w:pPr>
          </w:p>
        </w:tc>
        <w:tc>
          <w:tcPr>
            <w:tcW w:w="7172" w:type="dxa"/>
            <w:tcBorders>
              <w:top w:val="single" w:sz="4" w:space="0" w:color="auto"/>
              <w:left w:val="single" w:sz="4" w:space="0" w:color="auto"/>
              <w:bottom w:val="single" w:sz="4" w:space="0" w:color="auto"/>
              <w:right w:val="single" w:sz="4" w:space="0" w:color="auto"/>
            </w:tcBorders>
            <w:vAlign w:val="center"/>
            <w:hideMark/>
          </w:tcPr>
          <w:p w14:paraId="14210FAB" w14:textId="77777777" w:rsidR="00636EF3" w:rsidRPr="00781DCE" w:rsidRDefault="00636EF3">
            <w:pPr>
              <w:tabs>
                <w:tab w:val="left" w:pos="720"/>
              </w:tabs>
              <w:spacing w:before="40" w:after="40"/>
              <w:ind w:left="939" w:hanging="459"/>
              <w:jc w:val="center"/>
              <w:rPr>
                <w:b/>
                <w:bCs/>
                <w:sz w:val="21"/>
                <w:szCs w:val="21"/>
              </w:rPr>
            </w:pPr>
            <w:r w:rsidRPr="00781DCE">
              <w:rPr>
                <w:b/>
                <w:bCs/>
                <w:color w:val="000000"/>
                <w:sz w:val="21"/>
                <w:szCs w:val="21"/>
              </w:rPr>
              <w:t>Cochez l'une des deux cases pour chaque texte</w:t>
            </w:r>
          </w:p>
        </w:tc>
      </w:tr>
      <w:tr w:rsidR="00636EF3" w:rsidRPr="00781DCE" w14:paraId="7F0C7E93" w14:textId="77777777">
        <w:trPr>
          <w:trHeight w:val="748"/>
        </w:trPr>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0F838C18" w14:textId="77777777" w:rsidR="00636EF3" w:rsidRPr="00781DCE" w:rsidRDefault="00636EF3">
            <w:pPr>
              <w:spacing w:before="40" w:after="40"/>
              <w:jc w:val="center"/>
              <w:rPr>
                <w:b/>
                <w:bCs/>
                <w:color w:val="000000"/>
                <w:sz w:val="21"/>
                <w:szCs w:val="21"/>
              </w:rPr>
            </w:pPr>
            <w:r w:rsidRPr="00781DCE">
              <w:rPr>
                <w:b/>
                <w:bCs/>
                <w:color w:val="000000"/>
                <w:sz w:val="21"/>
                <w:szCs w:val="21"/>
              </w:rPr>
              <w:t>Projet de nouvelle Recommandation UIT</w:t>
            </w:r>
            <w:r w:rsidRPr="00781DCE">
              <w:rPr>
                <w:b/>
                <w:bCs/>
                <w:color w:val="000000"/>
                <w:sz w:val="21"/>
                <w:szCs w:val="21"/>
              </w:rPr>
              <w:noBreakHyphen/>
              <w:t>T Q.5036</w:t>
            </w:r>
          </w:p>
          <w:p w14:paraId="44A22905" w14:textId="634BC462" w:rsidR="00636EF3" w:rsidRPr="00781DCE" w:rsidRDefault="00636EF3">
            <w:pPr>
              <w:spacing w:before="40" w:after="40"/>
              <w:jc w:val="center"/>
              <w:rPr>
                <w:b/>
                <w:bCs/>
                <w:sz w:val="21"/>
                <w:szCs w:val="21"/>
              </w:rPr>
            </w:pPr>
            <w:r w:rsidRPr="00781DCE">
              <w:rPr>
                <w:b/>
                <w:bCs/>
                <w:color w:val="000000"/>
                <w:sz w:val="21"/>
                <w:szCs w:val="21"/>
              </w:rPr>
              <w:t>(</w:t>
            </w:r>
            <w:proofErr w:type="gramStart"/>
            <w:r w:rsidRPr="00781DCE">
              <w:rPr>
                <w:b/>
                <w:bCs/>
                <w:color w:val="000000"/>
                <w:sz w:val="21"/>
                <w:szCs w:val="21"/>
              </w:rPr>
              <w:t>anciennement</w:t>
            </w:r>
            <w:proofErr w:type="gramEnd"/>
            <w:r w:rsidRPr="00781DCE">
              <w:rPr>
                <w:b/>
                <w:bCs/>
                <w:color w:val="000000"/>
                <w:sz w:val="21"/>
                <w:szCs w:val="21"/>
              </w:rPr>
              <w:t xml:space="preserve"> </w:t>
            </w:r>
            <w:r w:rsidR="00E903F9" w:rsidRPr="00781DCE">
              <w:rPr>
                <w:b/>
                <w:bCs/>
                <w:color w:val="000000"/>
                <w:sz w:val="21"/>
                <w:szCs w:val="21"/>
              </w:rPr>
              <w:br/>
            </w:r>
            <w:r w:rsidRPr="00781DCE">
              <w:rPr>
                <w:b/>
                <w:bCs/>
                <w:color w:val="000000"/>
                <w:sz w:val="21"/>
                <w:szCs w:val="21"/>
              </w:rPr>
              <w:t>Q.IEC-PDMF)</w:t>
            </w:r>
          </w:p>
        </w:tc>
        <w:tc>
          <w:tcPr>
            <w:tcW w:w="7172" w:type="dxa"/>
            <w:tcBorders>
              <w:top w:val="single" w:sz="4" w:space="0" w:color="auto"/>
              <w:left w:val="single" w:sz="4" w:space="0" w:color="auto"/>
              <w:bottom w:val="single" w:sz="4" w:space="0" w:color="auto"/>
              <w:right w:val="single" w:sz="4" w:space="0" w:color="auto"/>
            </w:tcBorders>
            <w:vAlign w:val="center"/>
            <w:hideMark/>
          </w:tcPr>
          <w:p w14:paraId="1C0C766A" w14:textId="77777777" w:rsidR="00636EF3" w:rsidRPr="00781DCE" w:rsidRDefault="00636EF3" w:rsidP="00862602">
            <w:pPr>
              <w:tabs>
                <w:tab w:val="left" w:pos="720"/>
              </w:tabs>
              <w:spacing w:before="80" w:after="40"/>
              <w:ind w:left="459" w:hanging="459"/>
              <w:rPr>
                <w:sz w:val="21"/>
                <w:szCs w:val="21"/>
              </w:rPr>
            </w:pPr>
            <w:r w:rsidRPr="00781DCE">
              <w:rPr>
                <w:sz w:val="21"/>
                <w:szCs w:val="21"/>
              </w:rPr>
              <w:fldChar w:fldCharType="begin">
                <w:ffData>
                  <w:name w:val="Check1"/>
                  <w:enabled/>
                  <w:calcOnExit w:val="0"/>
                  <w:checkBox>
                    <w:sizeAuto/>
                    <w:default w:val="0"/>
                  </w:checkBox>
                </w:ffData>
              </w:fldChar>
            </w:r>
            <w:r w:rsidRPr="00781DCE">
              <w:rPr>
                <w:sz w:val="21"/>
                <w:szCs w:val="21"/>
              </w:rPr>
              <w:instrText xml:space="preserve"> FORMCHECKBOX </w:instrText>
            </w:r>
            <w:r w:rsidRPr="00781DCE">
              <w:rPr>
                <w:sz w:val="21"/>
                <w:szCs w:val="21"/>
              </w:rPr>
            </w:r>
            <w:r w:rsidRPr="00781DCE">
              <w:rPr>
                <w:sz w:val="21"/>
                <w:szCs w:val="21"/>
              </w:rPr>
              <w:fldChar w:fldCharType="separate"/>
            </w:r>
            <w:r w:rsidRPr="00781DCE">
              <w:rPr>
                <w:sz w:val="21"/>
                <w:szCs w:val="21"/>
              </w:rPr>
              <w:fldChar w:fldCharType="end"/>
            </w:r>
            <w:r w:rsidRPr="00781DCE">
              <w:rPr>
                <w:color w:val="000000"/>
                <w:sz w:val="21"/>
                <w:szCs w:val="21"/>
              </w:rPr>
              <w:tab/>
            </w:r>
            <w:r w:rsidRPr="00781DCE">
              <w:rPr>
                <w:b/>
                <w:bCs/>
                <w:color w:val="000000"/>
                <w:sz w:val="21"/>
                <w:szCs w:val="21"/>
              </w:rPr>
              <w:t xml:space="preserve">Autorise </w:t>
            </w:r>
            <w:r w:rsidRPr="00781DCE">
              <w:rPr>
                <w:color w:val="000000"/>
                <w:sz w:val="21"/>
                <w:szCs w:val="21"/>
              </w:rPr>
              <w:t>la Commission d'études 11 à procéder à l'examen de ce document en vue de son approbation (dans ce cas, sélectionnez l'une des deux options ⃝</w:t>
            </w:r>
            <w:proofErr w:type="gramStart"/>
            <w:r w:rsidRPr="00781DCE">
              <w:rPr>
                <w:color w:val="000000"/>
                <w:sz w:val="21"/>
                <w:szCs w:val="21"/>
              </w:rPr>
              <w:t>):</w:t>
            </w:r>
            <w:proofErr w:type="gramEnd"/>
          </w:p>
          <w:p w14:paraId="252792EE" w14:textId="24EEF500" w:rsidR="00636EF3" w:rsidRPr="00781DCE" w:rsidRDefault="00636EF3" w:rsidP="00265165">
            <w:pPr>
              <w:tabs>
                <w:tab w:val="clear" w:pos="794"/>
              </w:tabs>
              <w:spacing w:before="40" w:after="40"/>
              <w:ind w:left="939" w:hanging="459"/>
              <w:rPr>
                <w:sz w:val="21"/>
                <w:szCs w:val="21"/>
              </w:rPr>
            </w:pPr>
            <w:r w:rsidRPr="00781DCE">
              <w:rPr>
                <w:color w:val="000000"/>
                <w:sz w:val="21"/>
                <w:szCs w:val="21"/>
              </w:rPr>
              <w:t>⃝</w:t>
            </w:r>
            <w:r w:rsidRPr="00781DCE">
              <w:rPr>
                <w:color w:val="000000"/>
                <w:sz w:val="21"/>
                <w:szCs w:val="21"/>
              </w:rPr>
              <w:tab/>
              <w:t>Pas de commentaire ou de proposition de modification.</w:t>
            </w:r>
          </w:p>
          <w:p w14:paraId="7A3C86CE" w14:textId="49E9AF17" w:rsidR="00636EF3" w:rsidRPr="00781DCE" w:rsidRDefault="00636EF3" w:rsidP="00265165">
            <w:pPr>
              <w:tabs>
                <w:tab w:val="clear" w:pos="794"/>
              </w:tabs>
              <w:spacing w:before="40" w:after="40"/>
              <w:ind w:left="939" w:hanging="459"/>
              <w:rPr>
                <w:sz w:val="21"/>
                <w:szCs w:val="21"/>
              </w:rPr>
            </w:pPr>
            <w:r w:rsidRPr="00781DCE">
              <w:rPr>
                <w:color w:val="000000"/>
                <w:sz w:val="21"/>
                <w:szCs w:val="21"/>
              </w:rPr>
              <w:t>⃝</w:t>
            </w:r>
            <w:r w:rsidRPr="00781DCE">
              <w:rPr>
                <w:color w:val="000000"/>
                <w:sz w:val="21"/>
                <w:szCs w:val="21"/>
              </w:rPr>
              <w:tab/>
              <w:t>Des commentaires ou propositions de modification sont joints à la présente.</w:t>
            </w:r>
          </w:p>
        </w:tc>
      </w:tr>
      <w:tr w:rsidR="00636EF3" w:rsidRPr="00781DCE" w14:paraId="36E10950" w14:textId="77777777">
        <w:trPr>
          <w:trHeight w:val="74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D60C36B" w14:textId="77777777" w:rsidR="00636EF3" w:rsidRPr="00781DCE" w:rsidRDefault="00636EF3">
            <w:pPr>
              <w:tabs>
                <w:tab w:val="clear" w:pos="794"/>
                <w:tab w:val="clear" w:pos="1191"/>
                <w:tab w:val="clear" w:pos="1588"/>
                <w:tab w:val="clear" w:pos="1985"/>
              </w:tabs>
              <w:overflowPunct/>
              <w:autoSpaceDE/>
              <w:autoSpaceDN/>
              <w:adjustRightInd/>
              <w:spacing w:before="0"/>
              <w:rPr>
                <w:rFonts w:ascii="Calibri" w:hAnsi="Calibri"/>
                <w:b/>
                <w:bCs/>
                <w:sz w:val="21"/>
                <w:szCs w:val="21"/>
              </w:rPr>
            </w:pPr>
          </w:p>
        </w:tc>
        <w:tc>
          <w:tcPr>
            <w:tcW w:w="7172" w:type="dxa"/>
            <w:tcBorders>
              <w:top w:val="single" w:sz="4" w:space="0" w:color="auto"/>
              <w:left w:val="single" w:sz="4" w:space="0" w:color="auto"/>
              <w:bottom w:val="single" w:sz="4" w:space="0" w:color="auto"/>
              <w:right w:val="single" w:sz="4" w:space="0" w:color="auto"/>
            </w:tcBorders>
            <w:vAlign w:val="center"/>
            <w:hideMark/>
          </w:tcPr>
          <w:p w14:paraId="243596A5" w14:textId="77777777" w:rsidR="00636EF3" w:rsidRPr="00781DCE" w:rsidRDefault="00636EF3" w:rsidP="00862602">
            <w:pPr>
              <w:tabs>
                <w:tab w:val="left" w:pos="250"/>
              </w:tabs>
              <w:spacing w:before="80" w:after="40"/>
              <w:ind w:left="459" w:hanging="459"/>
              <w:rPr>
                <w:sz w:val="21"/>
                <w:szCs w:val="21"/>
              </w:rPr>
            </w:pPr>
            <w:r w:rsidRPr="00781DCE">
              <w:rPr>
                <w:sz w:val="21"/>
                <w:szCs w:val="21"/>
              </w:rPr>
              <w:fldChar w:fldCharType="begin">
                <w:ffData>
                  <w:name w:val="Check1"/>
                  <w:enabled/>
                  <w:calcOnExit w:val="0"/>
                  <w:checkBox>
                    <w:sizeAuto/>
                    <w:default w:val="0"/>
                  </w:checkBox>
                </w:ffData>
              </w:fldChar>
            </w:r>
            <w:r w:rsidRPr="00781DCE">
              <w:rPr>
                <w:sz w:val="21"/>
                <w:szCs w:val="21"/>
              </w:rPr>
              <w:instrText xml:space="preserve"> FORMCHECKBOX </w:instrText>
            </w:r>
            <w:r w:rsidRPr="00781DCE">
              <w:rPr>
                <w:sz w:val="21"/>
                <w:szCs w:val="21"/>
              </w:rPr>
            </w:r>
            <w:r w:rsidRPr="00781DCE">
              <w:rPr>
                <w:sz w:val="21"/>
                <w:szCs w:val="21"/>
              </w:rPr>
              <w:fldChar w:fldCharType="separate"/>
            </w:r>
            <w:r w:rsidRPr="00781DCE">
              <w:rPr>
                <w:sz w:val="21"/>
                <w:szCs w:val="21"/>
              </w:rPr>
              <w:fldChar w:fldCharType="end"/>
            </w:r>
            <w:r w:rsidRPr="00781DCE">
              <w:rPr>
                <w:color w:val="000000"/>
                <w:sz w:val="21"/>
                <w:szCs w:val="21"/>
              </w:rPr>
              <w:tab/>
            </w:r>
            <w:r w:rsidRPr="00781DCE">
              <w:rPr>
                <w:b/>
                <w:bCs/>
                <w:color w:val="000000"/>
                <w:sz w:val="21"/>
                <w:szCs w:val="21"/>
              </w:rPr>
              <w:t>N'autorise pas</w:t>
            </w:r>
            <w:r w:rsidRPr="00781DCE">
              <w:rPr>
                <w:color w:val="000000"/>
                <w:sz w:val="21"/>
                <w:szCs w:val="21"/>
              </w:rPr>
              <w:t xml:space="preserve"> la Commission d'études 11 à procéder à l'examen de ce document en vue de son approbation (les motifs de cette décision et une description des éventuelles modifications qui permettraient la poursuite des travaux sont joints à la présente).</w:t>
            </w:r>
          </w:p>
        </w:tc>
      </w:tr>
      <w:tr w:rsidR="00636EF3" w:rsidRPr="00781DCE" w14:paraId="6C3C3A48" w14:textId="77777777">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722F25F0" w14:textId="77777777" w:rsidR="00636EF3" w:rsidRPr="00781DCE" w:rsidRDefault="00636EF3">
            <w:pPr>
              <w:spacing w:before="40" w:after="40"/>
              <w:jc w:val="center"/>
              <w:rPr>
                <w:b/>
                <w:bCs/>
                <w:color w:val="000000"/>
                <w:sz w:val="21"/>
                <w:szCs w:val="21"/>
              </w:rPr>
            </w:pPr>
            <w:r w:rsidRPr="00781DCE">
              <w:rPr>
                <w:b/>
                <w:bCs/>
                <w:color w:val="000000"/>
                <w:sz w:val="21"/>
                <w:szCs w:val="21"/>
              </w:rPr>
              <w:t>Projet de nouvelle Recommandation UIT</w:t>
            </w:r>
            <w:r w:rsidRPr="00781DCE">
              <w:rPr>
                <w:b/>
                <w:bCs/>
                <w:color w:val="000000"/>
                <w:sz w:val="21"/>
                <w:szCs w:val="21"/>
              </w:rPr>
              <w:noBreakHyphen/>
              <w:t>T Q.5015</w:t>
            </w:r>
          </w:p>
          <w:p w14:paraId="15CF6D43" w14:textId="77654BB0" w:rsidR="00636EF3" w:rsidRPr="00781DCE" w:rsidRDefault="00636EF3">
            <w:pPr>
              <w:spacing w:before="40" w:after="40"/>
              <w:jc w:val="center"/>
              <w:rPr>
                <w:b/>
                <w:bCs/>
                <w:color w:val="000000"/>
                <w:sz w:val="21"/>
                <w:szCs w:val="21"/>
              </w:rPr>
            </w:pPr>
            <w:r w:rsidRPr="00781DCE">
              <w:rPr>
                <w:b/>
                <w:bCs/>
                <w:color w:val="000000"/>
                <w:sz w:val="21"/>
                <w:szCs w:val="21"/>
              </w:rPr>
              <w:t>(</w:t>
            </w:r>
            <w:proofErr w:type="gramStart"/>
            <w:r w:rsidR="00E903F9" w:rsidRPr="00781DCE">
              <w:rPr>
                <w:b/>
                <w:bCs/>
                <w:color w:val="000000"/>
                <w:sz w:val="21"/>
                <w:szCs w:val="21"/>
              </w:rPr>
              <w:t>anciennement</w:t>
            </w:r>
            <w:proofErr w:type="gramEnd"/>
            <w:r w:rsidR="00E903F9" w:rsidRPr="00781DCE">
              <w:rPr>
                <w:b/>
                <w:bCs/>
                <w:color w:val="000000"/>
                <w:sz w:val="21"/>
                <w:szCs w:val="21"/>
              </w:rPr>
              <w:br/>
            </w:r>
            <w:r w:rsidRPr="00781DCE">
              <w:rPr>
                <w:b/>
                <w:bCs/>
                <w:color w:val="000000"/>
                <w:sz w:val="21"/>
                <w:szCs w:val="21"/>
              </w:rPr>
              <w:t>Q.cco-mec)</w:t>
            </w:r>
          </w:p>
        </w:tc>
        <w:tc>
          <w:tcPr>
            <w:tcW w:w="7172" w:type="dxa"/>
            <w:tcBorders>
              <w:top w:val="single" w:sz="4" w:space="0" w:color="auto"/>
              <w:left w:val="single" w:sz="4" w:space="0" w:color="auto"/>
              <w:bottom w:val="single" w:sz="4" w:space="0" w:color="auto"/>
              <w:right w:val="single" w:sz="4" w:space="0" w:color="auto"/>
            </w:tcBorders>
            <w:vAlign w:val="center"/>
            <w:hideMark/>
          </w:tcPr>
          <w:p w14:paraId="519F6D98" w14:textId="77777777" w:rsidR="00636EF3" w:rsidRPr="00781DCE" w:rsidRDefault="00636EF3">
            <w:pPr>
              <w:tabs>
                <w:tab w:val="left" w:pos="720"/>
              </w:tabs>
              <w:spacing w:before="40" w:after="40"/>
              <w:ind w:left="939" w:hanging="459"/>
              <w:jc w:val="center"/>
              <w:rPr>
                <w:b/>
                <w:bCs/>
                <w:sz w:val="21"/>
                <w:szCs w:val="21"/>
              </w:rPr>
            </w:pPr>
            <w:r w:rsidRPr="00781DCE">
              <w:rPr>
                <w:b/>
                <w:bCs/>
                <w:color w:val="000000"/>
                <w:sz w:val="21"/>
                <w:szCs w:val="21"/>
              </w:rPr>
              <w:t>Cochez l'une des deux cases pour chaque texte</w:t>
            </w:r>
          </w:p>
        </w:tc>
      </w:tr>
      <w:tr w:rsidR="00636EF3" w:rsidRPr="00781DCE" w14:paraId="6D71D1D0" w14:textId="77777777">
        <w:trPr>
          <w:trHeight w:val="748"/>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D94C2BB" w14:textId="77777777" w:rsidR="00636EF3" w:rsidRPr="00781DCE" w:rsidRDefault="00636EF3">
            <w:pPr>
              <w:tabs>
                <w:tab w:val="clear" w:pos="794"/>
                <w:tab w:val="clear" w:pos="1191"/>
                <w:tab w:val="clear" w:pos="1588"/>
                <w:tab w:val="clear" w:pos="1985"/>
              </w:tabs>
              <w:overflowPunct/>
              <w:autoSpaceDE/>
              <w:autoSpaceDN/>
              <w:adjustRightInd/>
              <w:spacing w:before="0"/>
              <w:rPr>
                <w:rFonts w:ascii="Calibri" w:hAnsi="Calibri"/>
                <w:b/>
                <w:bCs/>
                <w:sz w:val="21"/>
                <w:szCs w:val="21"/>
              </w:rPr>
            </w:pPr>
          </w:p>
        </w:tc>
        <w:tc>
          <w:tcPr>
            <w:tcW w:w="7172" w:type="dxa"/>
            <w:tcBorders>
              <w:top w:val="single" w:sz="4" w:space="0" w:color="auto"/>
              <w:left w:val="single" w:sz="4" w:space="0" w:color="auto"/>
              <w:bottom w:val="single" w:sz="4" w:space="0" w:color="auto"/>
              <w:right w:val="single" w:sz="4" w:space="0" w:color="auto"/>
            </w:tcBorders>
            <w:vAlign w:val="center"/>
            <w:hideMark/>
          </w:tcPr>
          <w:p w14:paraId="2EFF7366" w14:textId="77777777" w:rsidR="00636EF3" w:rsidRPr="00781DCE" w:rsidRDefault="00636EF3" w:rsidP="00862602">
            <w:pPr>
              <w:tabs>
                <w:tab w:val="left" w:pos="720"/>
              </w:tabs>
              <w:spacing w:before="80" w:after="40"/>
              <w:ind w:left="459" w:hanging="459"/>
              <w:rPr>
                <w:sz w:val="21"/>
                <w:szCs w:val="21"/>
              </w:rPr>
            </w:pPr>
            <w:r w:rsidRPr="00781DCE">
              <w:rPr>
                <w:sz w:val="21"/>
                <w:szCs w:val="21"/>
              </w:rPr>
              <w:fldChar w:fldCharType="begin">
                <w:ffData>
                  <w:name w:val="Check1"/>
                  <w:enabled/>
                  <w:calcOnExit w:val="0"/>
                  <w:checkBox>
                    <w:sizeAuto/>
                    <w:default w:val="0"/>
                  </w:checkBox>
                </w:ffData>
              </w:fldChar>
            </w:r>
            <w:r w:rsidRPr="00781DCE">
              <w:rPr>
                <w:sz w:val="21"/>
                <w:szCs w:val="21"/>
              </w:rPr>
              <w:instrText xml:space="preserve"> FORMCHECKBOX </w:instrText>
            </w:r>
            <w:r w:rsidRPr="00781DCE">
              <w:rPr>
                <w:sz w:val="21"/>
                <w:szCs w:val="21"/>
              </w:rPr>
            </w:r>
            <w:r w:rsidRPr="00781DCE">
              <w:rPr>
                <w:sz w:val="21"/>
                <w:szCs w:val="21"/>
              </w:rPr>
              <w:fldChar w:fldCharType="separate"/>
            </w:r>
            <w:r w:rsidRPr="00781DCE">
              <w:rPr>
                <w:sz w:val="21"/>
                <w:szCs w:val="21"/>
              </w:rPr>
              <w:fldChar w:fldCharType="end"/>
            </w:r>
            <w:r w:rsidRPr="00781DCE">
              <w:rPr>
                <w:color w:val="000000"/>
                <w:sz w:val="21"/>
                <w:szCs w:val="21"/>
              </w:rPr>
              <w:tab/>
            </w:r>
            <w:r w:rsidRPr="00781DCE">
              <w:rPr>
                <w:b/>
                <w:bCs/>
                <w:color w:val="000000"/>
                <w:sz w:val="21"/>
                <w:szCs w:val="21"/>
              </w:rPr>
              <w:t xml:space="preserve">Autorise </w:t>
            </w:r>
            <w:r w:rsidRPr="00781DCE">
              <w:rPr>
                <w:color w:val="000000"/>
                <w:sz w:val="21"/>
                <w:szCs w:val="21"/>
              </w:rPr>
              <w:t>la Commission d'études 11 à procéder à l'examen de ce document en vue de son approbation (dans ce cas, sélectionnez l'une des deux options ⃝</w:t>
            </w:r>
            <w:proofErr w:type="gramStart"/>
            <w:r w:rsidRPr="00781DCE">
              <w:rPr>
                <w:color w:val="000000"/>
                <w:sz w:val="21"/>
                <w:szCs w:val="21"/>
              </w:rPr>
              <w:t>):</w:t>
            </w:r>
            <w:proofErr w:type="gramEnd"/>
          </w:p>
          <w:p w14:paraId="18FAE660" w14:textId="7E39CD33" w:rsidR="00636EF3" w:rsidRPr="00781DCE" w:rsidRDefault="00636EF3" w:rsidP="00265165">
            <w:pPr>
              <w:tabs>
                <w:tab w:val="clear" w:pos="794"/>
              </w:tabs>
              <w:spacing w:before="40" w:after="40"/>
              <w:ind w:left="939" w:hanging="459"/>
              <w:rPr>
                <w:sz w:val="21"/>
                <w:szCs w:val="21"/>
              </w:rPr>
            </w:pPr>
            <w:r w:rsidRPr="00781DCE">
              <w:rPr>
                <w:color w:val="000000"/>
                <w:sz w:val="21"/>
                <w:szCs w:val="21"/>
              </w:rPr>
              <w:t>⃝</w:t>
            </w:r>
            <w:r w:rsidRPr="00781DCE">
              <w:rPr>
                <w:color w:val="000000"/>
                <w:sz w:val="21"/>
                <w:szCs w:val="21"/>
              </w:rPr>
              <w:tab/>
              <w:t>Pas de commentaire ou de proposition de modification.</w:t>
            </w:r>
          </w:p>
          <w:p w14:paraId="6C64ADF0" w14:textId="1B3A74E6" w:rsidR="00636EF3" w:rsidRPr="00781DCE" w:rsidRDefault="00636EF3" w:rsidP="00265165">
            <w:pPr>
              <w:tabs>
                <w:tab w:val="clear" w:pos="794"/>
              </w:tabs>
              <w:spacing w:before="40" w:after="40"/>
              <w:ind w:left="939" w:hanging="459"/>
              <w:rPr>
                <w:sz w:val="21"/>
                <w:szCs w:val="21"/>
              </w:rPr>
            </w:pPr>
            <w:r w:rsidRPr="00781DCE">
              <w:rPr>
                <w:color w:val="000000"/>
                <w:sz w:val="21"/>
                <w:szCs w:val="21"/>
              </w:rPr>
              <w:t>⃝</w:t>
            </w:r>
            <w:r w:rsidR="00265165" w:rsidRPr="00781DCE">
              <w:rPr>
                <w:color w:val="000000"/>
                <w:sz w:val="21"/>
                <w:szCs w:val="21"/>
              </w:rPr>
              <w:tab/>
            </w:r>
            <w:r w:rsidRPr="00781DCE">
              <w:rPr>
                <w:color w:val="000000"/>
                <w:sz w:val="21"/>
                <w:szCs w:val="21"/>
              </w:rPr>
              <w:t>Des commentaires ou propositions de modification sont joints à la présente.</w:t>
            </w:r>
          </w:p>
        </w:tc>
      </w:tr>
      <w:tr w:rsidR="00636EF3" w:rsidRPr="00781DCE" w14:paraId="71DA150E" w14:textId="77777777">
        <w:trPr>
          <w:trHeight w:val="74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28AFBB1" w14:textId="77777777" w:rsidR="00636EF3" w:rsidRPr="00781DCE" w:rsidRDefault="00636EF3">
            <w:pPr>
              <w:tabs>
                <w:tab w:val="clear" w:pos="794"/>
                <w:tab w:val="clear" w:pos="1191"/>
                <w:tab w:val="clear" w:pos="1588"/>
                <w:tab w:val="clear" w:pos="1985"/>
              </w:tabs>
              <w:overflowPunct/>
              <w:autoSpaceDE/>
              <w:autoSpaceDN/>
              <w:adjustRightInd/>
              <w:spacing w:before="0"/>
              <w:rPr>
                <w:rFonts w:ascii="Calibri" w:hAnsi="Calibri"/>
                <w:b/>
                <w:bCs/>
                <w:sz w:val="21"/>
                <w:szCs w:val="21"/>
              </w:rPr>
            </w:pPr>
          </w:p>
        </w:tc>
        <w:tc>
          <w:tcPr>
            <w:tcW w:w="7172" w:type="dxa"/>
            <w:tcBorders>
              <w:top w:val="single" w:sz="4" w:space="0" w:color="auto"/>
              <w:left w:val="single" w:sz="4" w:space="0" w:color="auto"/>
              <w:bottom w:val="single" w:sz="4" w:space="0" w:color="auto"/>
              <w:right w:val="single" w:sz="4" w:space="0" w:color="auto"/>
            </w:tcBorders>
            <w:vAlign w:val="center"/>
            <w:hideMark/>
          </w:tcPr>
          <w:p w14:paraId="68E69B20" w14:textId="77777777" w:rsidR="00636EF3" w:rsidRPr="00781DCE" w:rsidRDefault="00636EF3" w:rsidP="00862602">
            <w:pPr>
              <w:tabs>
                <w:tab w:val="left" w:pos="250"/>
              </w:tabs>
              <w:spacing w:before="80" w:after="40"/>
              <w:ind w:left="459" w:hanging="459"/>
              <w:rPr>
                <w:sz w:val="21"/>
                <w:szCs w:val="21"/>
              </w:rPr>
            </w:pPr>
            <w:r w:rsidRPr="00781DCE">
              <w:rPr>
                <w:sz w:val="21"/>
                <w:szCs w:val="21"/>
              </w:rPr>
              <w:fldChar w:fldCharType="begin">
                <w:ffData>
                  <w:name w:val="Check1"/>
                  <w:enabled/>
                  <w:calcOnExit w:val="0"/>
                  <w:checkBox>
                    <w:sizeAuto/>
                    <w:default w:val="0"/>
                  </w:checkBox>
                </w:ffData>
              </w:fldChar>
            </w:r>
            <w:r w:rsidRPr="00781DCE">
              <w:rPr>
                <w:sz w:val="21"/>
                <w:szCs w:val="21"/>
              </w:rPr>
              <w:instrText xml:space="preserve"> FORMCHECKBOX </w:instrText>
            </w:r>
            <w:r w:rsidRPr="00781DCE">
              <w:rPr>
                <w:sz w:val="21"/>
                <w:szCs w:val="21"/>
              </w:rPr>
            </w:r>
            <w:r w:rsidRPr="00781DCE">
              <w:rPr>
                <w:sz w:val="21"/>
                <w:szCs w:val="21"/>
              </w:rPr>
              <w:fldChar w:fldCharType="separate"/>
            </w:r>
            <w:r w:rsidRPr="00781DCE">
              <w:rPr>
                <w:sz w:val="21"/>
                <w:szCs w:val="21"/>
              </w:rPr>
              <w:fldChar w:fldCharType="end"/>
            </w:r>
            <w:r w:rsidRPr="00781DCE">
              <w:rPr>
                <w:color w:val="000000"/>
                <w:sz w:val="21"/>
                <w:szCs w:val="21"/>
              </w:rPr>
              <w:tab/>
            </w:r>
            <w:r w:rsidRPr="00781DCE">
              <w:rPr>
                <w:b/>
                <w:bCs/>
                <w:color w:val="000000"/>
                <w:sz w:val="21"/>
                <w:szCs w:val="21"/>
              </w:rPr>
              <w:t>N'autorise pas</w:t>
            </w:r>
            <w:r w:rsidRPr="00781DCE">
              <w:rPr>
                <w:color w:val="000000"/>
                <w:sz w:val="21"/>
                <w:szCs w:val="21"/>
              </w:rPr>
              <w:t xml:space="preserve"> la Commission d'études 11 à procéder à l'examen de ce document en vue de son approbation (les motifs de cette décision et une description des éventuelles modifications qui permettraient la poursuite des travaux sont joints à la présente).</w:t>
            </w:r>
          </w:p>
        </w:tc>
      </w:tr>
    </w:tbl>
    <w:p w14:paraId="5666B2A5" w14:textId="77777777" w:rsidR="00636EF3" w:rsidRPr="00781DCE" w:rsidRDefault="00636EF3" w:rsidP="00042B0C">
      <w:pPr>
        <w:keepNext/>
        <w:rPr>
          <w:rFonts w:ascii="Calibri" w:hAnsi="Calibri"/>
          <w:sz w:val="22"/>
          <w:szCs w:val="18"/>
        </w:rPr>
      </w:pPr>
      <w:r w:rsidRPr="00781DCE">
        <w:rPr>
          <w:sz w:val="22"/>
          <w:szCs w:val="18"/>
        </w:rPr>
        <w:t>Veuillez agréer, Madame, Monsieur, l'assurance de ma considération distinguée.</w:t>
      </w:r>
    </w:p>
    <w:p w14:paraId="3CE047D2" w14:textId="77777777" w:rsidR="00636EF3" w:rsidRPr="00781DCE" w:rsidRDefault="00636EF3" w:rsidP="0070127A">
      <w:pPr>
        <w:spacing w:before="480"/>
        <w:rPr>
          <w:sz w:val="22"/>
          <w:szCs w:val="22"/>
          <w:highlight w:val="green"/>
        </w:rPr>
      </w:pPr>
      <w:r w:rsidRPr="00781DCE">
        <w:rPr>
          <w:sz w:val="22"/>
          <w:szCs w:val="18"/>
          <w:highlight w:val="green"/>
        </w:rPr>
        <w:t>[Nom]</w:t>
      </w:r>
    </w:p>
    <w:p w14:paraId="03302201" w14:textId="77777777" w:rsidR="00636EF3" w:rsidRPr="00781DCE" w:rsidRDefault="00636EF3" w:rsidP="00636EF3">
      <w:pPr>
        <w:rPr>
          <w:sz w:val="22"/>
          <w:szCs w:val="22"/>
        </w:rPr>
      </w:pPr>
      <w:r w:rsidRPr="00781DCE">
        <w:rPr>
          <w:sz w:val="22"/>
          <w:szCs w:val="18"/>
          <w:highlight w:val="green"/>
        </w:rPr>
        <w:t>[Rôle/titre officiel]</w:t>
      </w:r>
    </w:p>
    <w:p w14:paraId="0391520D" w14:textId="77777777" w:rsidR="00781DCE" w:rsidRPr="004572F7" w:rsidRDefault="00636EF3" w:rsidP="00781DCE">
      <w:pPr>
        <w:rPr>
          <w:rFonts w:cstheme="minorHAnsi"/>
          <w:sz w:val="22"/>
          <w:szCs w:val="22"/>
        </w:rPr>
      </w:pPr>
      <w:r w:rsidRPr="00781DCE">
        <w:rPr>
          <w:sz w:val="22"/>
          <w:szCs w:val="18"/>
        </w:rPr>
        <w:t xml:space="preserve">Administration de </w:t>
      </w:r>
      <w:r w:rsidRPr="00781DCE">
        <w:rPr>
          <w:sz w:val="22"/>
          <w:szCs w:val="18"/>
          <w:highlight w:val="green"/>
        </w:rPr>
        <w:t>[État Membre]</w:t>
      </w:r>
    </w:p>
    <w:p w14:paraId="68952440" w14:textId="75B8E980" w:rsidR="00636EF3" w:rsidRPr="00781DCE" w:rsidRDefault="00781DCE" w:rsidP="00781DCE">
      <w:pPr>
        <w:spacing w:before="0"/>
        <w:jc w:val="center"/>
        <w:rPr>
          <w:rFonts w:cstheme="minorHAnsi"/>
          <w:sz w:val="22"/>
          <w:szCs w:val="22"/>
        </w:rPr>
      </w:pPr>
      <w:r w:rsidRPr="004572F7">
        <w:rPr>
          <w:rFonts w:cstheme="minorHAnsi"/>
          <w:sz w:val="22"/>
          <w:szCs w:val="22"/>
        </w:rPr>
        <w:t>_____</w:t>
      </w:r>
      <w:r>
        <w:rPr>
          <w:rFonts w:cstheme="minorHAnsi"/>
          <w:sz w:val="22"/>
          <w:szCs w:val="22"/>
        </w:rPr>
        <w:t>__</w:t>
      </w:r>
      <w:r w:rsidRPr="004572F7">
        <w:rPr>
          <w:rFonts w:cstheme="minorHAnsi"/>
          <w:sz w:val="22"/>
          <w:szCs w:val="22"/>
        </w:rPr>
        <w:t>______</w:t>
      </w:r>
    </w:p>
    <w:sectPr w:rsidR="00636EF3" w:rsidRPr="00781DCE" w:rsidSect="00A15179">
      <w:headerReference w:type="default" r:id="rId17"/>
      <w:footerReference w:type="first" r:id="rId18"/>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34C2FD10" w:rsidR="00697BC1" w:rsidRPr="00697BC1" w:rsidRDefault="009141C0"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636EF3">
      <w:rPr>
        <w:noProof/>
        <w:sz w:val="18"/>
        <w:szCs w:val="16"/>
      </w:rPr>
      <w:t>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BC0C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A6CA8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B029F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38064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9003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3E80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E278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C23C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0ECB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920F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1"/>
  </w:num>
  <w:num w:numId="2" w16cid:durableId="2119984868">
    <w:abstractNumId w:val="13"/>
  </w:num>
  <w:num w:numId="3" w16cid:durableId="2075545744">
    <w:abstractNumId w:val="12"/>
  </w:num>
  <w:num w:numId="4" w16cid:durableId="1871449755">
    <w:abstractNumId w:val="10"/>
  </w:num>
  <w:num w:numId="5" w16cid:durableId="129055734">
    <w:abstractNumId w:val="9"/>
  </w:num>
  <w:num w:numId="6" w16cid:durableId="1996690071">
    <w:abstractNumId w:val="7"/>
  </w:num>
  <w:num w:numId="7" w16cid:durableId="1427535748">
    <w:abstractNumId w:val="6"/>
  </w:num>
  <w:num w:numId="8" w16cid:durableId="89473837">
    <w:abstractNumId w:val="5"/>
  </w:num>
  <w:num w:numId="9" w16cid:durableId="1602106857">
    <w:abstractNumId w:val="4"/>
  </w:num>
  <w:num w:numId="10" w16cid:durableId="274681050">
    <w:abstractNumId w:val="8"/>
  </w:num>
  <w:num w:numId="11" w16cid:durableId="1664115294">
    <w:abstractNumId w:val="3"/>
  </w:num>
  <w:num w:numId="12" w16cid:durableId="1529413651">
    <w:abstractNumId w:val="2"/>
  </w:num>
  <w:num w:numId="13" w16cid:durableId="1615864703">
    <w:abstractNumId w:val="1"/>
  </w:num>
  <w:num w:numId="14" w16cid:durableId="171649034">
    <w:abstractNumId w:val="0"/>
  </w:num>
  <w:num w:numId="15" w16cid:durableId="203563021">
    <w:abstractNumId w:val="8"/>
  </w:num>
  <w:num w:numId="16" w16cid:durableId="1200167597">
    <w:abstractNumId w:val="3"/>
  </w:num>
  <w:num w:numId="17" w16cid:durableId="1282152043">
    <w:abstractNumId w:val="2"/>
  </w:num>
  <w:num w:numId="18" w16cid:durableId="1379209532">
    <w:abstractNumId w:val="1"/>
  </w:num>
  <w:num w:numId="19" w16cid:durableId="2105029698">
    <w:abstractNumId w:val="0"/>
  </w:num>
  <w:num w:numId="20" w16cid:durableId="1584096890">
    <w:abstractNumId w:val="8"/>
  </w:num>
  <w:num w:numId="21" w16cid:durableId="2059161042">
    <w:abstractNumId w:val="3"/>
  </w:num>
  <w:num w:numId="22" w16cid:durableId="2068449796">
    <w:abstractNumId w:val="2"/>
  </w:num>
  <w:num w:numId="23" w16cid:durableId="2073187877">
    <w:abstractNumId w:val="1"/>
  </w:num>
  <w:num w:numId="24" w16cid:durableId="1456171749">
    <w:abstractNumId w:val="0"/>
  </w:num>
  <w:num w:numId="25" w16cid:durableId="840900503">
    <w:abstractNumId w:val="8"/>
  </w:num>
  <w:num w:numId="26" w16cid:durableId="877276439">
    <w:abstractNumId w:val="3"/>
  </w:num>
  <w:num w:numId="27" w16cid:durableId="1444105949">
    <w:abstractNumId w:val="2"/>
  </w:num>
  <w:num w:numId="28" w16cid:durableId="369234292">
    <w:abstractNumId w:val="1"/>
  </w:num>
  <w:num w:numId="29" w16cid:durableId="123427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42B0C"/>
    <w:rsid w:val="000758B3"/>
    <w:rsid w:val="00085F5A"/>
    <w:rsid w:val="000B0D96"/>
    <w:rsid w:val="000B59D8"/>
    <w:rsid w:val="000C1F6B"/>
    <w:rsid w:val="000C25CC"/>
    <w:rsid w:val="000C56BE"/>
    <w:rsid w:val="001026FD"/>
    <w:rsid w:val="001077FD"/>
    <w:rsid w:val="00115DD7"/>
    <w:rsid w:val="00167472"/>
    <w:rsid w:val="00167F92"/>
    <w:rsid w:val="00173738"/>
    <w:rsid w:val="001B79A3"/>
    <w:rsid w:val="002152A3"/>
    <w:rsid w:val="0023667A"/>
    <w:rsid w:val="00265165"/>
    <w:rsid w:val="002937DB"/>
    <w:rsid w:val="002E395D"/>
    <w:rsid w:val="00307FB4"/>
    <w:rsid w:val="003131F0"/>
    <w:rsid w:val="00333A80"/>
    <w:rsid w:val="00341117"/>
    <w:rsid w:val="00364E95"/>
    <w:rsid w:val="00372875"/>
    <w:rsid w:val="003742F8"/>
    <w:rsid w:val="003B1E80"/>
    <w:rsid w:val="003B66E8"/>
    <w:rsid w:val="003E3960"/>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A3DD9"/>
    <w:rsid w:val="005B1DFC"/>
    <w:rsid w:val="00601682"/>
    <w:rsid w:val="00603470"/>
    <w:rsid w:val="00613E22"/>
    <w:rsid w:val="00625E79"/>
    <w:rsid w:val="00632F1D"/>
    <w:rsid w:val="006333F7"/>
    <w:rsid w:val="00636EF3"/>
    <w:rsid w:val="006427A1"/>
    <w:rsid w:val="00644741"/>
    <w:rsid w:val="00697BC1"/>
    <w:rsid w:val="006A6FFE"/>
    <w:rsid w:val="006C5A91"/>
    <w:rsid w:val="006F52F7"/>
    <w:rsid w:val="0070127A"/>
    <w:rsid w:val="00716BBC"/>
    <w:rsid w:val="007321BC"/>
    <w:rsid w:val="00760063"/>
    <w:rsid w:val="00775E4B"/>
    <w:rsid w:val="00781DCE"/>
    <w:rsid w:val="0079553B"/>
    <w:rsid w:val="00795679"/>
    <w:rsid w:val="007A40FE"/>
    <w:rsid w:val="00810105"/>
    <w:rsid w:val="008157E0"/>
    <w:rsid w:val="00817FD5"/>
    <w:rsid w:val="00827F25"/>
    <w:rsid w:val="00850477"/>
    <w:rsid w:val="00854E1D"/>
    <w:rsid w:val="00862602"/>
    <w:rsid w:val="00887FA6"/>
    <w:rsid w:val="008C4397"/>
    <w:rsid w:val="008C465A"/>
    <w:rsid w:val="008F2C9B"/>
    <w:rsid w:val="009141C0"/>
    <w:rsid w:val="00923CD6"/>
    <w:rsid w:val="00935AA8"/>
    <w:rsid w:val="00971C9A"/>
    <w:rsid w:val="009D51FA"/>
    <w:rsid w:val="009F1E23"/>
    <w:rsid w:val="00A15179"/>
    <w:rsid w:val="00A51537"/>
    <w:rsid w:val="00A5280F"/>
    <w:rsid w:val="00A5645A"/>
    <w:rsid w:val="00A60FC1"/>
    <w:rsid w:val="00A97C37"/>
    <w:rsid w:val="00AA131B"/>
    <w:rsid w:val="00AC37B5"/>
    <w:rsid w:val="00AD752F"/>
    <w:rsid w:val="00AF08A4"/>
    <w:rsid w:val="00AF0D7D"/>
    <w:rsid w:val="00B27B41"/>
    <w:rsid w:val="00B42659"/>
    <w:rsid w:val="00B46F2D"/>
    <w:rsid w:val="00B60868"/>
    <w:rsid w:val="00B8573E"/>
    <w:rsid w:val="00BB24C0"/>
    <w:rsid w:val="00BD6ECF"/>
    <w:rsid w:val="00C26F2E"/>
    <w:rsid w:val="00C302E3"/>
    <w:rsid w:val="00C41B89"/>
    <w:rsid w:val="00C45376"/>
    <w:rsid w:val="00C871C7"/>
    <w:rsid w:val="00C9028F"/>
    <w:rsid w:val="00CA0416"/>
    <w:rsid w:val="00CB1125"/>
    <w:rsid w:val="00CB4E80"/>
    <w:rsid w:val="00CD042E"/>
    <w:rsid w:val="00CF2560"/>
    <w:rsid w:val="00CF5B46"/>
    <w:rsid w:val="00D46B68"/>
    <w:rsid w:val="00D542A5"/>
    <w:rsid w:val="00DC3D47"/>
    <w:rsid w:val="00DD77DA"/>
    <w:rsid w:val="00E06C61"/>
    <w:rsid w:val="00E13DB3"/>
    <w:rsid w:val="00E2408B"/>
    <w:rsid w:val="00E62CEA"/>
    <w:rsid w:val="00E72AE1"/>
    <w:rsid w:val="00E903F9"/>
    <w:rsid w:val="00ED6A7A"/>
    <w:rsid w:val="00EE4C36"/>
    <w:rsid w:val="00EF6A23"/>
    <w:rsid w:val="00F346CE"/>
    <w:rsid w:val="00F34F98"/>
    <w:rsid w:val="00F40540"/>
    <w:rsid w:val="00F67402"/>
    <w:rsid w:val="00F766A2"/>
    <w:rsid w:val="00F9451D"/>
    <w:rsid w:val="00F946E2"/>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link w:val="BodyTextChar"/>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paragraph" w:customStyle="1" w:styleId="Annextitle0">
    <w:name w:val="Annex_title"/>
    <w:basedOn w:val="Normal"/>
    <w:next w:val="Normal"/>
    <w:rsid w:val="00636EF3"/>
    <w:pPr>
      <w:keepNext/>
      <w:keepLines/>
      <w:spacing w:before="240" w:after="280"/>
      <w:jc w:val="center"/>
      <w:textAlignment w:val="auto"/>
    </w:pPr>
    <w:rPr>
      <w:rFonts w:ascii="Calibri" w:hAnsi="Calibri"/>
      <w:b/>
      <w:sz w:val="28"/>
      <w:lang w:val="en-GB"/>
    </w:rPr>
  </w:style>
  <w:style w:type="character" w:customStyle="1" w:styleId="BodyTextChar">
    <w:name w:val="Body Text Char"/>
    <w:basedOn w:val="DefaultParagraphFont"/>
    <w:link w:val="BodyText"/>
    <w:rsid w:val="00042B0C"/>
    <w:rPr>
      <w:rFonts w:asciiTheme="minorHAnsi" w:hAnsiTheme="minorHAnsi"/>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SG11-R-0011/e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fr/ITU-T/ipr/Pages/default.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sbdir@itu.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SG11-R-0012/en" TargetMode="External"/><Relationship Id="rId5" Type="http://schemas.openxmlformats.org/officeDocument/2006/relationships/webSettings" Target="webSettings.xml"/><Relationship Id="rId15" Type="http://schemas.openxmlformats.org/officeDocument/2006/relationships/hyperlink" Target="https://www.itu.int/fr/ITU-T/ipr/Pages/default.aspx"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11@itu.int" TargetMode="External"/><Relationship Id="rId14" Type="http://schemas.openxmlformats.org/officeDocument/2006/relationships/hyperlink" Target="https://www.itu.int/md/T25-SG11-251117-TD-GEN-0619/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38</TotalTime>
  <Pages>4</Pages>
  <Words>1284</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9310</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9</cp:revision>
  <cp:lastPrinted>2025-12-18T10:24:00Z</cp:lastPrinted>
  <dcterms:created xsi:type="dcterms:W3CDTF">2025-12-17T07:02:00Z</dcterms:created>
  <dcterms:modified xsi:type="dcterms:W3CDTF">2025-12-18T10:25:00Z</dcterms:modified>
</cp:coreProperties>
</file>