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56F67615" w14:textId="77777777" w:rsidTr="00D517B2">
        <w:trPr>
          <w:cantSplit/>
          <w:trHeight w:val="1134"/>
        </w:trPr>
        <w:tc>
          <w:tcPr>
            <w:tcW w:w="798" w:type="pct"/>
          </w:tcPr>
          <w:p w14:paraId="7F14A403" w14:textId="77777777" w:rsidR="00D517B2" w:rsidRPr="00D517B2" w:rsidRDefault="00D517B2" w:rsidP="00D517B2">
            <w:pPr>
              <w:spacing w:before="0" w:line="240" w:lineRule="auto"/>
              <w:rPr>
                <w:b/>
                <w:bCs/>
                <w:rtl/>
                <w:lang w:bidi="ar-EG"/>
              </w:rPr>
            </w:pPr>
            <w:r w:rsidRPr="00D517B2">
              <w:rPr>
                <w:noProof/>
              </w:rPr>
              <w:drawing>
                <wp:inline distT="0" distB="0" distL="0" distR="0" wp14:anchorId="43D31DCB" wp14:editId="152ADD6D">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55E4FD7A"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4CDD0ADC"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538"/>
        <w:gridCol w:w="4540"/>
      </w:tblGrid>
      <w:tr w:rsidR="00D517B2" w:rsidRPr="00D517B2" w14:paraId="5FC0EDCB" w14:textId="77777777" w:rsidTr="00934F31">
        <w:trPr>
          <w:cantSplit/>
          <w:trHeight w:val="91"/>
          <w:jc w:val="center"/>
        </w:trPr>
        <w:tc>
          <w:tcPr>
            <w:tcW w:w="810" w:type="pct"/>
          </w:tcPr>
          <w:p w14:paraId="52746EA1" w14:textId="77777777" w:rsidR="00D517B2" w:rsidRPr="00D517B2" w:rsidRDefault="00D517B2" w:rsidP="006019C6">
            <w:pPr>
              <w:spacing w:before="80" w:line="300" w:lineRule="exact"/>
              <w:jc w:val="left"/>
              <w:rPr>
                <w:position w:val="2"/>
              </w:rPr>
            </w:pPr>
          </w:p>
        </w:tc>
        <w:tc>
          <w:tcPr>
            <w:tcW w:w="1835" w:type="pct"/>
          </w:tcPr>
          <w:p w14:paraId="57C50B13" w14:textId="77777777" w:rsidR="00D517B2" w:rsidRPr="00D517B2" w:rsidRDefault="00D517B2" w:rsidP="006019C6">
            <w:pPr>
              <w:spacing w:before="80" w:line="300" w:lineRule="exact"/>
              <w:jc w:val="left"/>
              <w:rPr>
                <w:position w:val="2"/>
                <w:lang w:bidi="ar-EG"/>
              </w:rPr>
            </w:pPr>
          </w:p>
        </w:tc>
        <w:tc>
          <w:tcPr>
            <w:tcW w:w="2355" w:type="pct"/>
          </w:tcPr>
          <w:p w14:paraId="3D46CA05" w14:textId="31FD315C" w:rsidR="00D517B2" w:rsidRPr="00D517B2" w:rsidRDefault="00873469" w:rsidP="00934F31">
            <w:pPr>
              <w:spacing w:before="0" w:line="300" w:lineRule="exact"/>
              <w:jc w:val="left"/>
              <w:rPr>
                <w:position w:val="2"/>
                <w:rtl/>
                <w:lang w:bidi="ar-EG"/>
              </w:rPr>
            </w:pPr>
            <w:r w:rsidRPr="00D517B2">
              <w:rPr>
                <w:rFonts w:hint="cs"/>
                <w:position w:val="2"/>
                <w:rtl/>
              </w:rPr>
              <w:t xml:space="preserve">جنيف، </w:t>
            </w:r>
            <w:r w:rsidR="005556C9">
              <w:rPr>
                <w:position w:val="2"/>
              </w:rPr>
              <w:t>1</w:t>
            </w:r>
            <w:r w:rsidR="005556C9">
              <w:rPr>
                <w:rFonts w:hint="cs"/>
                <w:position w:val="2"/>
                <w:rtl/>
                <w:lang w:bidi="ar-EG"/>
              </w:rPr>
              <w:t xml:space="preserve"> ديسمبر</w:t>
            </w:r>
            <w:r w:rsidR="007139D8">
              <w:rPr>
                <w:rFonts w:hint="cs"/>
                <w:position w:val="2"/>
                <w:rtl/>
              </w:rPr>
              <w:t xml:space="preserve"> </w:t>
            </w:r>
            <w:r w:rsidR="007139D8">
              <w:rPr>
                <w:position w:val="2"/>
              </w:rPr>
              <w:t>2025</w:t>
            </w:r>
          </w:p>
        </w:tc>
      </w:tr>
      <w:tr w:rsidR="00372F67" w:rsidRPr="00537905" w14:paraId="08F7743A" w14:textId="77777777" w:rsidTr="00934F31">
        <w:trPr>
          <w:cantSplit/>
          <w:jc w:val="center"/>
        </w:trPr>
        <w:tc>
          <w:tcPr>
            <w:tcW w:w="810" w:type="pct"/>
          </w:tcPr>
          <w:p w14:paraId="076F65A2" w14:textId="77777777" w:rsidR="00372F67" w:rsidRPr="00537905" w:rsidRDefault="00372F67" w:rsidP="00934F31">
            <w:pPr>
              <w:spacing w:before="40" w:after="60" w:line="300" w:lineRule="exact"/>
              <w:jc w:val="left"/>
              <w:rPr>
                <w:b/>
                <w:bCs/>
                <w:position w:val="2"/>
              </w:rPr>
            </w:pPr>
            <w:r w:rsidRPr="00537905">
              <w:rPr>
                <w:rFonts w:hint="cs"/>
                <w:b/>
                <w:bCs/>
                <w:position w:val="2"/>
                <w:rtl/>
              </w:rPr>
              <w:t>المرجع:</w:t>
            </w:r>
          </w:p>
        </w:tc>
        <w:tc>
          <w:tcPr>
            <w:tcW w:w="1835" w:type="pct"/>
          </w:tcPr>
          <w:p w14:paraId="579AA602" w14:textId="462FBD06" w:rsidR="00372F67" w:rsidRPr="00537905" w:rsidRDefault="00372F67" w:rsidP="00934F31">
            <w:pPr>
              <w:spacing w:before="40" w:after="60" w:line="300" w:lineRule="exact"/>
              <w:jc w:val="left"/>
              <w:rPr>
                <w:b/>
                <w:position w:val="2"/>
              </w:rPr>
            </w:pPr>
            <w:r w:rsidRPr="00537905">
              <w:rPr>
                <w:b/>
                <w:position w:val="2"/>
              </w:rPr>
              <w:t xml:space="preserve">TSB Circular </w:t>
            </w:r>
            <w:r w:rsidR="005556C9" w:rsidRPr="00537905">
              <w:rPr>
                <w:b/>
                <w:position w:val="2"/>
              </w:rPr>
              <w:t>94</w:t>
            </w:r>
            <w:r w:rsidRPr="00537905">
              <w:rPr>
                <w:b/>
                <w:position w:val="2"/>
              </w:rPr>
              <w:br/>
            </w:r>
            <w:r w:rsidR="005556C9" w:rsidRPr="00537905">
              <w:rPr>
                <w:color w:val="000000"/>
                <w:position w:val="2"/>
                <w:rtl/>
              </w:rPr>
              <w:t>SG11/DA</w:t>
            </w:r>
          </w:p>
        </w:tc>
        <w:tc>
          <w:tcPr>
            <w:tcW w:w="2355" w:type="pct"/>
            <w:vMerge w:val="restart"/>
          </w:tcPr>
          <w:p w14:paraId="62DF705E" w14:textId="77777777" w:rsidR="00372F67" w:rsidRPr="00537905" w:rsidRDefault="00372F67" w:rsidP="00934F31">
            <w:pPr>
              <w:tabs>
                <w:tab w:val="clear" w:pos="794"/>
                <w:tab w:val="left" w:pos="284"/>
              </w:tabs>
              <w:spacing w:before="40" w:after="60" w:line="300" w:lineRule="exact"/>
              <w:jc w:val="left"/>
              <w:rPr>
                <w:b/>
                <w:bCs/>
                <w:position w:val="2"/>
                <w:rtl/>
                <w:lang w:bidi="ar-EG"/>
              </w:rPr>
            </w:pPr>
            <w:r w:rsidRPr="00537905">
              <w:rPr>
                <w:rFonts w:hint="cs"/>
                <w:b/>
                <w:bCs/>
                <w:position w:val="2"/>
                <w:rtl/>
              </w:rPr>
              <w:t>إلى:</w:t>
            </w:r>
          </w:p>
          <w:p w14:paraId="30E6B797" w14:textId="77777777" w:rsidR="00372F67" w:rsidRPr="00537905" w:rsidRDefault="00372F67" w:rsidP="00934F31">
            <w:pPr>
              <w:tabs>
                <w:tab w:val="clear" w:pos="794"/>
                <w:tab w:val="left" w:pos="284"/>
              </w:tabs>
              <w:spacing w:before="40" w:after="60" w:line="300" w:lineRule="exact"/>
              <w:ind w:left="284" w:hanging="284"/>
              <w:jc w:val="left"/>
              <w:rPr>
                <w:position w:val="2"/>
                <w:rtl/>
              </w:rPr>
            </w:pPr>
            <w:r w:rsidRPr="00537905">
              <w:rPr>
                <w:rFonts w:hint="cs"/>
                <w:position w:val="2"/>
                <w:rtl/>
              </w:rPr>
              <w:t>-</w:t>
            </w:r>
            <w:r w:rsidRPr="00537905">
              <w:rPr>
                <w:position w:val="2"/>
                <w:rtl/>
              </w:rPr>
              <w:tab/>
            </w:r>
            <w:r w:rsidRPr="00537905">
              <w:rPr>
                <w:rFonts w:hint="cs"/>
                <w:position w:val="2"/>
                <w:rtl/>
              </w:rPr>
              <w:t>إدارات الدول الأعضاء في الاتحاد؛</w:t>
            </w:r>
          </w:p>
          <w:p w14:paraId="37A7A109" w14:textId="31C0316A" w:rsidR="005556C9" w:rsidRPr="00537905" w:rsidRDefault="005556C9" w:rsidP="00934F31">
            <w:pPr>
              <w:pStyle w:val="Tabletext"/>
              <w:bidi/>
              <w:spacing w:after="60" w:line="300" w:lineRule="exact"/>
              <w:ind w:left="283" w:hanging="283"/>
              <w:rPr>
                <w:rFonts w:ascii="Dubai" w:hAnsi="Dubai" w:cs="Dubai" w:hint="default"/>
                <w:color w:val="000000"/>
                <w:position w:val="2"/>
                <w:sz w:val="22"/>
                <w:szCs w:val="22"/>
                <w:lang w:bidi="ar-EG"/>
              </w:rPr>
            </w:pPr>
            <w:r w:rsidRPr="00537905">
              <w:rPr>
                <w:rFonts w:ascii="Dubai" w:hAnsi="Dubai" w:cs="Dubai" w:hint="default"/>
                <w:color w:val="000000"/>
                <w:position w:val="2"/>
                <w:sz w:val="22"/>
                <w:szCs w:val="22"/>
              </w:rPr>
              <w:t>-</w:t>
            </w:r>
            <w:r w:rsidRPr="00537905">
              <w:rPr>
                <w:rFonts w:ascii="Dubai" w:hAnsi="Dubai" w:cs="Dubai" w:hint="default"/>
                <w:color w:val="000000"/>
                <w:position w:val="2"/>
                <w:sz w:val="22"/>
                <w:szCs w:val="22"/>
              </w:rPr>
              <w:tab/>
            </w:r>
            <w:r w:rsidRPr="00537905">
              <w:rPr>
                <w:rFonts w:ascii="Dubai" w:hAnsi="Dubai" w:cs="Dubai" w:hint="default"/>
                <w:color w:val="000000"/>
                <w:position w:val="2"/>
                <w:sz w:val="22"/>
                <w:szCs w:val="22"/>
                <w:rtl/>
              </w:rPr>
              <w:t>دولة فلسطين (القرار 99 (المراجَع في دبي، 2018)</w:t>
            </w:r>
            <w:r w:rsidRPr="00537905">
              <w:rPr>
                <w:rFonts w:ascii="Dubai" w:hAnsi="Dubai" w:cs="Dubai"/>
                <w:color w:val="000000"/>
                <w:position w:val="2"/>
                <w:sz w:val="22"/>
                <w:szCs w:val="22"/>
                <w:rtl/>
                <w:lang w:bidi="ar-EG"/>
              </w:rPr>
              <w:t>)</w:t>
            </w:r>
          </w:p>
          <w:p w14:paraId="3504B88F" w14:textId="77777777" w:rsidR="00372F67" w:rsidRPr="00537905" w:rsidRDefault="00372F67" w:rsidP="00934F31">
            <w:pPr>
              <w:tabs>
                <w:tab w:val="clear" w:pos="794"/>
                <w:tab w:val="left" w:pos="284"/>
              </w:tabs>
              <w:spacing w:before="40" w:after="60" w:line="300" w:lineRule="exact"/>
              <w:ind w:left="284" w:hanging="284"/>
              <w:jc w:val="left"/>
              <w:rPr>
                <w:b/>
                <w:bCs/>
                <w:position w:val="2"/>
                <w:rtl/>
              </w:rPr>
            </w:pPr>
            <w:r w:rsidRPr="00537905">
              <w:rPr>
                <w:rFonts w:hint="cs"/>
                <w:b/>
                <w:bCs/>
                <w:position w:val="2"/>
                <w:rtl/>
              </w:rPr>
              <w:t>نسخة إلى:</w:t>
            </w:r>
          </w:p>
          <w:p w14:paraId="0B6AB32B" w14:textId="5E23BFF4" w:rsidR="005556C9" w:rsidRPr="00537905" w:rsidRDefault="005556C9" w:rsidP="00934F31">
            <w:pPr>
              <w:pStyle w:val="Tabletext"/>
              <w:bidi/>
              <w:spacing w:after="60" w:line="300" w:lineRule="exact"/>
              <w:ind w:left="283" w:hanging="283"/>
              <w:rPr>
                <w:rFonts w:ascii="Dubai" w:hAnsi="Dubai" w:cs="Dubai" w:hint="default"/>
                <w:position w:val="2"/>
                <w:sz w:val="22"/>
                <w:szCs w:val="22"/>
                <w:lang w:val="ar-SA" w:eastAsia="zh-TW" w:bidi="en-GB"/>
              </w:rPr>
            </w:pPr>
            <w:r w:rsidRPr="00537905">
              <w:rPr>
                <w:rFonts w:ascii="Dubai" w:hAnsi="Dubai" w:cs="Dubai" w:hint="default"/>
                <w:color w:val="000000"/>
                <w:position w:val="2"/>
                <w:sz w:val="22"/>
                <w:szCs w:val="22"/>
              </w:rPr>
              <w:t>-</w:t>
            </w:r>
            <w:r w:rsidRPr="00537905">
              <w:rPr>
                <w:rFonts w:ascii="Dubai" w:hAnsi="Dubai" w:cs="Dubai" w:hint="default"/>
                <w:color w:val="000000"/>
                <w:position w:val="2"/>
                <w:sz w:val="22"/>
                <w:szCs w:val="22"/>
                <w:rtl/>
              </w:rPr>
              <w:tab/>
              <w:t>أعضاء قطاع تقييس الاتصالات بالاتحاد؛</w:t>
            </w:r>
          </w:p>
          <w:p w14:paraId="176826C8" w14:textId="263B94D2" w:rsidR="005556C9" w:rsidRPr="00537905" w:rsidRDefault="005556C9" w:rsidP="00934F31">
            <w:pPr>
              <w:pStyle w:val="Tabletext"/>
              <w:bidi/>
              <w:spacing w:after="60" w:line="300" w:lineRule="exact"/>
              <w:ind w:left="283" w:hanging="283"/>
              <w:rPr>
                <w:rFonts w:ascii="Dubai" w:hAnsi="Dubai" w:cs="Dubai" w:hint="default"/>
                <w:position w:val="2"/>
                <w:sz w:val="22"/>
                <w:szCs w:val="22"/>
                <w:lang w:val="ar-SA" w:eastAsia="zh-TW" w:bidi="en-GB"/>
              </w:rPr>
            </w:pPr>
            <w:r w:rsidRPr="00537905">
              <w:rPr>
                <w:rFonts w:ascii="Dubai" w:hAnsi="Dubai" w:cs="Dubai" w:hint="default"/>
                <w:color w:val="000000"/>
                <w:position w:val="2"/>
                <w:sz w:val="22"/>
                <w:szCs w:val="22"/>
              </w:rPr>
              <w:t>-</w:t>
            </w:r>
            <w:r w:rsidRPr="00537905">
              <w:rPr>
                <w:rFonts w:ascii="Dubai" w:hAnsi="Dubai" w:cs="Dubai" w:hint="default"/>
                <w:color w:val="000000"/>
                <w:position w:val="2"/>
                <w:sz w:val="22"/>
                <w:szCs w:val="22"/>
                <w:rtl/>
              </w:rPr>
              <w:tab/>
              <w:t>المنتسبين إلى قطاع تقييس الاتصالات المشاركين في</w:t>
            </w:r>
            <w:r w:rsidR="00537905" w:rsidRPr="00537905">
              <w:rPr>
                <w:rFonts w:ascii="Dubai" w:hAnsi="Dubai" w:cs="Dubai"/>
                <w:color w:val="000000"/>
                <w:position w:val="2"/>
                <w:sz w:val="22"/>
                <w:szCs w:val="22"/>
                <w:rtl/>
              </w:rPr>
              <w:t> </w:t>
            </w:r>
            <w:r w:rsidRPr="00537905">
              <w:rPr>
                <w:rFonts w:ascii="Dubai" w:hAnsi="Dubai" w:cs="Dubai" w:hint="default"/>
                <w:color w:val="000000"/>
                <w:position w:val="2"/>
                <w:sz w:val="22"/>
                <w:szCs w:val="22"/>
                <w:rtl/>
              </w:rPr>
              <w:t>أعمال لجنة الدراسات 11؛</w:t>
            </w:r>
          </w:p>
          <w:p w14:paraId="11A475F0" w14:textId="09280538" w:rsidR="005556C9" w:rsidRPr="00537905" w:rsidRDefault="005556C9" w:rsidP="00934F31">
            <w:pPr>
              <w:pStyle w:val="Tabletext"/>
              <w:bidi/>
              <w:spacing w:after="60" w:line="300" w:lineRule="exact"/>
              <w:ind w:left="283" w:hanging="283"/>
              <w:rPr>
                <w:rFonts w:ascii="Dubai" w:hAnsi="Dubai" w:cs="Dubai" w:hint="default"/>
                <w:position w:val="2"/>
                <w:sz w:val="22"/>
                <w:szCs w:val="22"/>
                <w:lang w:val="ar-SA" w:eastAsia="zh-TW" w:bidi="en-GB"/>
              </w:rPr>
            </w:pPr>
            <w:r w:rsidRPr="00537905">
              <w:rPr>
                <w:rFonts w:ascii="Dubai" w:hAnsi="Dubai" w:cs="Dubai" w:hint="default"/>
                <w:color w:val="000000"/>
                <w:position w:val="2"/>
                <w:sz w:val="22"/>
                <w:szCs w:val="22"/>
              </w:rPr>
              <w:t>-</w:t>
            </w:r>
            <w:r w:rsidRPr="00537905">
              <w:rPr>
                <w:rFonts w:ascii="Dubai" w:hAnsi="Dubai" w:cs="Dubai" w:hint="default"/>
                <w:color w:val="000000"/>
                <w:position w:val="2"/>
                <w:sz w:val="22"/>
                <w:szCs w:val="22"/>
                <w:rtl/>
              </w:rPr>
              <w:tab/>
              <w:t>الهيئات الأكاديمية المنضمة إلى الاتحاد؛</w:t>
            </w:r>
          </w:p>
          <w:p w14:paraId="6D4D4343" w14:textId="4B168C99" w:rsidR="005556C9" w:rsidRPr="00537905" w:rsidRDefault="005556C9" w:rsidP="00934F31">
            <w:pPr>
              <w:pStyle w:val="Tabletext"/>
              <w:bidi/>
              <w:spacing w:after="60" w:line="300" w:lineRule="exact"/>
              <w:ind w:left="283" w:hanging="283"/>
              <w:rPr>
                <w:rFonts w:ascii="Dubai" w:hAnsi="Dubai" w:cs="Dubai" w:hint="default"/>
                <w:spacing w:val="-4"/>
                <w:position w:val="2"/>
                <w:sz w:val="22"/>
                <w:szCs w:val="22"/>
                <w:lang w:val="ar-SA" w:eastAsia="zh-TW" w:bidi="en-GB"/>
              </w:rPr>
            </w:pPr>
            <w:r w:rsidRPr="00537905">
              <w:rPr>
                <w:rFonts w:ascii="Dubai" w:hAnsi="Dubai" w:cs="Dubai"/>
                <w:color w:val="000000"/>
                <w:spacing w:val="-4"/>
                <w:position w:val="2"/>
                <w:sz w:val="22"/>
                <w:szCs w:val="22"/>
                <w:rtl/>
              </w:rPr>
              <w:t>-</w:t>
            </w:r>
            <w:r w:rsidRPr="00537905">
              <w:rPr>
                <w:rFonts w:ascii="Dubai" w:hAnsi="Dubai" w:cs="Dubai" w:hint="default"/>
                <w:color w:val="000000"/>
                <w:spacing w:val="-4"/>
                <w:position w:val="2"/>
                <w:sz w:val="22"/>
                <w:szCs w:val="22"/>
                <w:rtl/>
              </w:rPr>
              <w:tab/>
              <w:t xml:space="preserve">رئيس لجنة الدراسات </w:t>
            </w:r>
            <w:r w:rsidR="00537905">
              <w:rPr>
                <w:rFonts w:ascii="Dubai" w:hAnsi="Dubai" w:cs="Dubai" w:hint="default"/>
                <w:color w:val="000000"/>
                <w:spacing w:val="-4"/>
                <w:position w:val="2"/>
                <w:sz w:val="22"/>
                <w:szCs w:val="22"/>
                <w:rtl/>
              </w:rPr>
              <w:t>11 بقطاع</w:t>
            </w:r>
            <w:r w:rsidRPr="00537905">
              <w:rPr>
                <w:rFonts w:ascii="Dubai" w:hAnsi="Dubai" w:cs="Dubai" w:hint="default"/>
                <w:color w:val="000000"/>
                <w:spacing w:val="-4"/>
                <w:position w:val="2"/>
                <w:sz w:val="22"/>
                <w:szCs w:val="22"/>
                <w:rtl/>
              </w:rPr>
              <w:t xml:space="preserve"> تقييس الاتصالات ونوابه؛</w:t>
            </w:r>
          </w:p>
          <w:p w14:paraId="481A61B1" w14:textId="3A1CA30A" w:rsidR="005556C9" w:rsidRPr="00537905" w:rsidRDefault="005556C9" w:rsidP="00934F31">
            <w:pPr>
              <w:pStyle w:val="Tabletext"/>
              <w:bidi/>
              <w:spacing w:after="60" w:line="300" w:lineRule="exact"/>
              <w:ind w:left="283" w:hanging="283"/>
              <w:rPr>
                <w:rFonts w:ascii="Dubai" w:hAnsi="Dubai" w:cs="Dubai" w:hint="default"/>
                <w:position w:val="2"/>
                <w:sz w:val="22"/>
                <w:szCs w:val="22"/>
                <w:lang w:val="ar-SA" w:eastAsia="zh-TW" w:bidi="en-GB"/>
              </w:rPr>
            </w:pPr>
            <w:r w:rsidRPr="00537905">
              <w:rPr>
                <w:rFonts w:ascii="Dubai" w:hAnsi="Dubai" w:cs="Dubai"/>
                <w:color w:val="000000"/>
                <w:position w:val="2"/>
                <w:sz w:val="22"/>
                <w:szCs w:val="22"/>
                <w:rtl/>
              </w:rPr>
              <w:t>-</w:t>
            </w:r>
            <w:r w:rsidRPr="00537905">
              <w:rPr>
                <w:rFonts w:ascii="Dubai" w:hAnsi="Dubai" w:cs="Dubai" w:hint="default"/>
                <w:color w:val="000000"/>
                <w:position w:val="2"/>
                <w:sz w:val="22"/>
                <w:szCs w:val="22"/>
                <w:rtl/>
              </w:rPr>
              <w:tab/>
              <w:t>مدير مكتب تنمية الاتصالات؛</w:t>
            </w:r>
          </w:p>
          <w:p w14:paraId="6B507723" w14:textId="70E5B491" w:rsidR="00372F67" w:rsidRPr="00537905" w:rsidRDefault="005556C9" w:rsidP="00934F31">
            <w:pPr>
              <w:tabs>
                <w:tab w:val="left" w:pos="284"/>
                <w:tab w:val="left" w:pos="4111"/>
              </w:tabs>
              <w:spacing w:before="40" w:after="60" w:line="300" w:lineRule="exact"/>
              <w:ind w:left="284" w:hanging="284"/>
              <w:rPr>
                <w:position w:val="2"/>
                <w:rtl/>
              </w:rPr>
            </w:pPr>
            <w:r w:rsidRPr="00537905">
              <w:rPr>
                <w:rFonts w:hint="cs"/>
                <w:color w:val="000000"/>
                <w:position w:val="2"/>
                <w:rtl/>
              </w:rPr>
              <w:t>-</w:t>
            </w:r>
            <w:r w:rsidRPr="00537905">
              <w:rPr>
                <w:color w:val="000000"/>
                <w:position w:val="2"/>
                <w:rtl/>
              </w:rPr>
              <w:tab/>
              <w:t>مدير مكتب الاتصالات الراديوية</w:t>
            </w:r>
          </w:p>
        </w:tc>
      </w:tr>
      <w:tr w:rsidR="00372F67" w:rsidRPr="00537905" w14:paraId="47C0ED52" w14:textId="77777777" w:rsidTr="00934F31">
        <w:trPr>
          <w:cantSplit/>
          <w:jc w:val="center"/>
        </w:trPr>
        <w:tc>
          <w:tcPr>
            <w:tcW w:w="810" w:type="pct"/>
          </w:tcPr>
          <w:p w14:paraId="78FF620A" w14:textId="77777777" w:rsidR="00372F67" w:rsidRPr="00537905" w:rsidRDefault="00372F67" w:rsidP="001E2788">
            <w:pPr>
              <w:spacing w:before="80" w:after="60" w:line="300" w:lineRule="exact"/>
              <w:jc w:val="left"/>
              <w:rPr>
                <w:b/>
                <w:bCs/>
                <w:position w:val="2"/>
                <w:rtl/>
                <w:lang w:bidi="ar-EG"/>
              </w:rPr>
            </w:pPr>
            <w:r w:rsidRPr="00537905">
              <w:rPr>
                <w:rFonts w:hint="cs"/>
                <w:b/>
                <w:bCs/>
                <w:position w:val="2"/>
                <w:rtl/>
                <w:lang w:bidi="ar-EG"/>
              </w:rPr>
              <w:t>ال</w:t>
            </w:r>
            <w:r w:rsidRPr="00537905">
              <w:rPr>
                <w:rFonts w:hint="cs"/>
                <w:b/>
                <w:bCs/>
                <w:position w:val="2"/>
                <w:rtl/>
                <w:lang w:bidi="ar-SY"/>
              </w:rPr>
              <w:t>هاتف</w:t>
            </w:r>
            <w:r w:rsidRPr="00537905">
              <w:rPr>
                <w:rFonts w:hint="cs"/>
                <w:b/>
                <w:bCs/>
                <w:position w:val="2"/>
                <w:rtl/>
              </w:rPr>
              <w:t>:</w:t>
            </w:r>
          </w:p>
        </w:tc>
        <w:tc>
          <w:tcPr>
            <w:tcW w:w="1835" w:type="pct"/>
          </w:tcPr>
          <w:p w14:paraId="7861175C" w14:textId="7B2C0EC5" w:rsidR="00372F67" w:rsidRPr="00537905" w:rsidRDefault="005556C9" w:rsidP="001E2788">
            <w:pPr>
              <w:spacing w:before="80" w:after="60" w:line="300" w:lineRule="exact"/>
              <w:jc w:val="left"/>
              <w:rPr>
                <w:b/>
                <w:bCs/>
                <w:position w:val="2"/>
                <w:rtl/>
                <w:lang w:bidi="ar-EG"/>
              </w:rPr>
            </w:pPr>
            <w:r w:rsidRPr="00537905">
              <w:rPr>
                <w:rFonts w:asciiTheme="minorHAnsi" w:hAnsiTheme="minorHAnsi" w:cstheme="minorHAnsi"/>
                <w:position w:val="2"/>
              </w:rPr>
              <w:t>+41 22 730 5780</w:t>
            </w:r>
          </w:p>
        </w:tc>
        <w:tc>
          <w:tcPr>
            <w:tcW w:w="2355" w:type="pct"/>
            <w:vMerge/>
          </w:tcPr>
          <w:p w14:paraId="3FCA1CD5" w14:textId="77777777" w:rsidR="00372F67" w:rsidRPr="00537905" w:rsidRDefault="00372F67" w:rsidP="00E02440">
            <w:pPr>
              <w:tabs>
                <w:tab w:val="left" w:pos="284"/>
                <w:tab w:val="left" w:pos="4111"/>
              </w:tabs>
              <w:spacing w:before="80" w:after="60" w:line="300" w:lineRule="exact"/>
              <w:ind w:left="284" w:hanging="284"/>
              <w:rPr>
                <w:position w:val="2"/>
                <w:rtl/>
              </w:rPr>
            </w:pPr>
          </w:p>
        </w:tc>
      </w:tr>
      <w:tr w:rsidR="00372F67" w:rsidRPr="00537905" w14:paraId="003B063C" w14:textId="77777777" w:rsidTr="00934F31">
        <w:trPr>
          <w:cantSplit/>
          <w:jc w:val="center"/>
        </w:trPr>
        <w:tc>
          <w:tcPr>
            <w:tcW w:w="810" w:type="pct"/>
          </w:tcPr>
          <w:p w14:paraId="4F5D49BD" w14:textId="77777777" w:rsidR="00372F67" w:rsidRPr="00537905" w:rsidRDefault="00372F67" w:rsidP="001E2788">
            <w:pPr>
              <w:spacing w:before="80" w:after="60" w:line="300" w:lineRule="exact"/>
              <w:jc w:val="left"/>
              <w:rPr>
                <w:b/>
                <w:bCs/>
                <w:position w:val="2"/>
                <w:rtl/>
              </w:rPr>
            </w:pPr>
            <w:r w:rsidRPr="00537905">
              <w:rPr>
                <w:rFonts w:hint="cs"/>
                <w:b/>
                <w:bCs/>
                <w:position w:val="2"/>
                <w:rtl/>
              </w:rPr>
              <w:t>الفاكس:</w:t>
            </w:r>
          </w:p>
        </w:tc>
        <w:tc>
          <w:tcPr>
            <w:tcW w:w="1835" w:type="pct"/>
          </w:tcPr>
          <w:p w14:paraId="48E2C787" w14:textId="68D1D149" w:rsidR="00372F67" w:rsidRPr="00537905" w:rsidRDefault="005556C9" w:rsidP="00D517B2">
            <w:pPr>
              <w:spacing w:before="80" w:after="60" w:line="300" w:lineRule="exact"/>
              <w:jc w:val="left"/>
              <w:rPr>
                <w:position w:val="2"/>
              </w:rPr>
            </w:pPr>
            <w:r w:rsidRPr="00537905">
              <w:rPr>
                <w:rFonts w:asciiTheme="minorHAnsi" w:hAnsiTheme="minorHAnsi" w:cstheme="minorHAnsi"/>
                <w:position w:val="2"/>
              </w:rPr>
              <w:t>+41 22 730 5853</w:t>
            </w:r>
          </w:p>
        </w:tc>
        <w:tc>
          <w:tcPr>
            <w:tcW w:w="2355" w:type="pct"/>
            <w:vMerge/>
          </w:tcPr>
          <w:p w14:paraId="3F0D6727" w14:textId="77777777" w:rsidR="00372F67" w:rsidRPr="00537905" w:rsidRDefault="00372F67" w:rsidP="00E02440">
            <w:pPr>
              <w:tabs>
                <w:tab w:val="left" w:pos="284"/>
                <w:tab w:val="left" w:pos="4111"/>
              </w:tabs>
              <w:spacing w:before="80" w:after="60" w:line="300" w:lineRule="exact"/>
              <w:ind w:left="284" w:hanging="284"/>
              <w:rPr>
                <w:position w:val="2"/>
                <w:rtl/>
              </w:rPr>
            </w:pPr>
          </w:p>
        </w:tc>
      </w:tr>
      <w:tr w:rsidR="00372F67" w:rsidRPr="00537905" w14:paraId="0DADD233" w14:textId="77777777" w:rsidTr="00934F31">
        <w:trPr>
          <w:cantSplit/>
          <w:jc w:val="center"/>
        </w:trPr>
        <w:tc>
          <w:tcPr>
            <w:tcW w:w="810" w:type="pct"/>
          </w:tcPr>
          <w:p w14:paraId="736ACEB6" w14:textId="77777777" w:rsidR="00372F67" w:rsidRPr="00537905" w:rsidRDefault="00372F67" w:rsidP="00CE1C08">
            <w:pPr>
              <w:spacing w:before="80" w:after="60" w:line="300" w:lineRule="exact"/>
              <w:jc w:val="left"/>
              <w:rPr>
                <w:b/>
                <w:bCs/>
                <w:position w:val="2"/>
                <w:rtl/>
              </w:rPr>
            </w:pPr>
            <w:r w:rsidRPr="00537905">
              <w:rPr>
                <w:rFonts w:hint="cs"/>
                <w:b/>
                <w:bCs/>
                <w:position w:val="2"/>
                <w:rtl/>
              </w:rPr>
              <w:t>البريد الإلكتروني:</w:t>
            </w:r>
          </w:p>
        </w:tc>
        <w:tc>
          <w:tcPr>
            <w:tcW w:w="1835" w:type="pct"/>
          </w:tcPr>
          <w:p w14:paraId="63890EAF" w14:textId="7D2A3F50" w:rsidR="00372F67" w:rsidRPr="00537905" w:rsidRDefault="005556C9" w:rsidP="00CE1C08">
            <w:pPr>
              <w:spacing w:before="80" w:after="60" w:line="300" w:lineRule="exact"/>
              <w:jc w:val="left"/>
              <w:rPr>
                <w:position w:val="2"/>
                <w:highlight w:val="magenta"/>
                <w:rtl/>
                <w:lang w:bidi="ar-EG"/>
              </w:rPr>
            </w:pPr>
            <w:hyperlink r:id="rId9" w:history="1">
              <w:r w:rsidRPr="00537905">
                <w:rPr>
                  <w:rStyle w:val="Hyperlink"/>
                  <w:rFonts w:asciiTheme="minorHAnsi" w:hAnsiTheme="minorHAnsi" w:cstheme="minorHAnsi"/>
                  <w:position w:val="2"/>
                </w:rPr>
                <w:t>tsbsg11@itu.int</w:t>
              </w:r>
            </w:hyperlink>
          </w:p>
        </w:tc>
        <w:tc>
          <w:tcPr>
            <w:tcW w:w="2355" w:type="pct"/>
            <w:vMerge/>
          </w:tcPr>
          <w:p w14:paraId="1C052D76" w14:textId="77777777" w:rsidR="00372F67" w:rsidRPr="00537905" w:rsidRDefault="00372F67" w:rsidP="001F4353">
            <w:pPr>
              <w:tabs>
                <w:tab w:val="left" w:pos="284"/>
                <w:tab w:val="left" w:pos="4111"/>
              </w:tabs>
              <w:spacing w:before="80" w:after="60" w:line="300" w:lineRule="exact"/>
              <w:ind w:left="284" w:hanging="284"/>
              <w:rPr>
                <w:position w:val="2"/>
                <w:rtl/>
              </w:rPr>
            </w:pPr>
          </w:p>
        </w:tc>
      </w:tr>
      <w:tr w:rsidR="00CE1C08" w:rsidRPr="00D517B2" w14:paraId="47B0990B" w14:textId="77777777" w:rsidTr="001E2788">
        <w:trPr>
          <w:cantSplit/>
          <w:jc w:val="center"/>
        </w:trPr>
        <w:tc>
          <w:tcPr>
            <w:tcW w:w="810" w:type="pct"/>
          </w:tcPr>
          <w:p w14:paraId="0C6CBBF1" w14:textId="77777777" w:rsidR="00CE1C08" w:rsidRPr="00537905" w:rsidRDefault="00CE1C08" w:rsidP="00CE1C08">
            <w:pPr>
              <w:spacing w:before="80" w:after="60" w:line="300" w:lineRule="exact"/>
              <w:jc w:val="left"/>
              <w:rPr>
                <w:b/>
                <w:bCs/>
                <w:position w:val="2"/>
                <w:rtl/>
                <w:lang w:bidi="ar-SY"/>
              </w:rPr>
            </w:pPr>
            <w:r w:rsidRPr="00537905">
              <w:rPr>
                <w:rFonts w:hint="cs"/>
                <w:b/>
                <w:bCs/>
                <w:position w:val="2"/>
                <w:rtl/>
              </w:rPr>
              <w:t>الموضوع:</w:t>
            </w:r>
          </w:p>
        </w:tc>
        <w:tc>
          <w:tcPr>
            <w:tcW w:w="4190" w:type="pct"/>
            <w:gridSpan w:val="2"/>
          </w:tcPr>
          <w:p w14:paraId="4272C306" w14:textId="5679839A" w:rsidR="00CE1C08" w:rsidRPr="00537905" w:rsidRDefault="005556C9" w:rsidP="00521BBD">
            <w:pPr>
              <w:spacing w:before="80" w:after="60" w:line="300" w:lineRule="exact"/>
              <w:rPr>
                <w:b/>
                <w:bCs/>
                <w:color w:val="000000"/>
                <w:position w:val="2"/>
                <w:rtl/>
              </w:rPr>
            </w:pPr>
            <w:r w:rsidRPr="00537905">
              <w:rPr>
                <w:b/>
                <w:bCs/>
                <w:color w:val="000000"/>
                <w:position w:val="2"/>
                <w:rtl/>
              </w:rPr>
              <w:t xml:space="preserve">مشاورة الدول الأعضاء بشأن مشروعي التوصيتين المحددتين </w:t>
            </w:r>
            <w:r w:rsidRPr="00537905">
              <w:rPr>
                <w:b/>
                <w:bCs/>
                <w:color w:val="000000"/>
                <w:position w:val="2"/>
              </w:rPr>
              <w:t>ITU-T Q.5036</w:t>
            </w:r>
            <w:r w:rsidRPr="00537905">
              <w:rPr>
                <w:b/>
                <w:bCs/>
                <w:color w:val="000000"/>
                <w:position w:val="2"/>
                <w:rtl/>
              </w:rPr>
              <w:t xml:space="preserve"> </w:t>
            </w:r>
            <w:r w:rsidRPr="00537905">
              <w:rPr>
                <w:rFonts w:hint="cs"/>
                <w:b/>
                <w:bCs/>
                <w:color w:val="000000"/>
                <w:position w:val="2"/>
                <w:rtl/>
                <w:lang w:bidi="ar-EG"/>
              </w:rPr>
              <w:t>(</w:t>
            </w:r>
            <w:r w:rsidRPr="00537905">
              <w:rPr>
                <w:b/>
                <w:bCs/>
                <w:color w:val="000000"/>
                <w:position w:val="2"/>
              </w:rPr>
              <w:t>Q.IEC-PDMF</w:t>
            </w:r>
            <w:r w:rsidRPr="00537905">
              <w:rPr>
                <w:b/>
                <w:bCs/>
                <w:color w:val="000000"/>
                <w:position w:val="2"/>
                <w:rtl/>
              </w:rPr>
              <w:t xml:space="preserve"> سابقاً) و</w:t>
            </w:r>
            <w:r w:rsidRPr="00537905">
              <w:rPr>
                <w:b/>
                <w:bCs/>
                <w:color w:val="000000"/>
                <w:position w:val="2"/>
              </w:rPr>
              <w:t>ITU-T Q.5015</w:t>
            </w:r>
            <w:r w:rsidRPr="00537905">
              <w:rPr>
                <w:b/>
                <w:bCs/>
                <w:color w:val="000000"/>
                <w:position w:val="2"/>
                <w:rtl/>
              </w:rPr>
              <w:t xml:space="preserve"> (</w:t>
            </w:r>
            <w:proofErr w:type="spellStart"/>
            <w:r w:rsidRPr="00537905">
              <w:rPr>
                <w:b/>
                <w:bCs/>
                <w:color w:val="000000"/>
                <w:position w:val="2"/>
              </w:rPr>
              <w:t>Q.cco-mec</w:t>
            </w:r>
            <w:proofErr w:type="spellEnd"/>
            <w:r w:rsidRPr="00537905">
              <w:rPr>
                <w:b/>
                <w:bCs/>
                <w:color w:val="000000"/>
                <w:position w:val="2"/>
                <w:rtl/>
              </w:rPr>
              <w:t xml:space="preserve"> سابقاً) اللذين تُقترح الموافقة عليهما في اجتماع لجنة الدراسات </w:t>
            </w:r>
            <w:r w:rsidR="00537905">
              <w:rPr>
                <w:b/>
                <w:bCs/>
                <w:color w:val="000000"/>
                <w:position w:val="2"/>
                <w:rtl/>
              </w:rPr>
              <w:t>11 بقطاع</w:t>
            </w:r>
            <w:r w:rsidRPr="00537905">
              <w:rPr>
                <w:b/>
                <w:bCs/>
                <w:color w:val="000000"/>
                <w:position w:val="2"/>
                <w:rtl/>
              </w:rPr>
              <w:t xml:space="preserve"> تقييس الاتصالات (المزمع عقده في جنيف، في الفترة </w:t>
            </w:r>
            <w:r w:rsidR="00537905">
              <w:rPr>
                <w:rFonts w:hint="cs"/>
                <w:b/>
                <w:bCs/>
                <w:color w:val="000000"/>
                <w:position w:val="2"/>
                <w:rtl/>
              </w:rPr>
              <w:t xml:space="preserve">من </w:t>
            </w:r>
            <w:r w:rsidRPr="00537905">
              <w:rPr>
                <w:b/>
                <w:bCs/>
                <w:color w:val="000000"/>
                <w:position w:val="2"/>
                <w:rtl/>
              </w:rPr>
              <w:t>3</w:t>
            </w:r>
            <w:r w:rsidR="00537905">
              <w:rPr>
                <w:rFonts w:hint="cs"/>
                <w:b/>
                <w:bCs/>
                <w:color w:val="000000"/>
                <w:position w:val="2"/>
                <w:rtl/>
              </w:rPr>
              <w:t xml:space="preserve"> إلى </w:t>
            </w:r>
            <w:r w:rsidRPr="00537905">
              <w:rPr>
                <w:b/>
                <w:bCs/>
                <w:color w:val="000000"/>
                <w:position w:val="2"/>
                <w:rtl/>
              </w:rPr>
              <w:t>11 مارس 2026)</w:t>
            </w:r>
          </w:p>
        </w:tc>
      </w:tr>
    </w:tbl>
    <w:p w14:paraId="6621FBD8" w14:textId="017E3BFE" w:rsidR="00D517B2" w:rsidRPr="00D517B2" w:rsidRDefault="00D517B2" w:rsidP="00934F31">
      <w:pPr>
        <w:jc w:val="left"/>
        <w:rPr>
          <w:rtl/>
          <w:lang w:bidi="ar-EG"/>
        </w:rPr>
      </w:pPr>
      <w:r w:rsidRPr="00D517B2">
        <w:rPr>
          <w:rFonts w:hint="cs"/>
          <w:rtl/>
          <w:lang w:bidi="ar-SY"/>
        </w:rPr>
        <w:t>حضرات السادة والسيدات،</w:t>
      </w:r>
      <w:r w:rsidR="00934F31">
        <w:rPr>
          <w:lang w:bidi="ar-SY"/>
        </w:rPr>
        <w:br/>
      </w:r>
      <w:r w:rsidRPr="00D517B2">
        <w:rPr>
          <w:rFonts w:hint="cs"/>
          <w:rtl/>
        </w:rPr>
        <w:t>تحية طيبة وبعد،</w:t>
      </w:r>
    </w:p>
    <w:p w14:paraId="25A37194" w14:textId="2C92A70D" w:rsidR="005556C9" w:rsidRPr="00224088" w:rsidRDefault="005556C9" w:rsidP="005556C9">
      <w:pPr>
        <w:textDirection w:val="tbRlV"/>
        <w:rPr>
          <w:spacing w:val="-2"/>
          <w:lang w:val="ar-SA" w:eastAsia="zh-TW" w:bidi="en-GB"/>
        </w:rPr>
      </w:pPr>
      <w:r w:rsidRPr="00224088">
        <w:rPr>
          <w:spacing w:val="-2"/>
          <w:rtl/>
        </w:rPr>
        <w:t>1</w:t>
      </w:r>
      <w:r w:rsidRPr="00224088">
        <w:rPr>
          <w:spacing w:val="-2"/>
          <w:rtl/>
        </w:rPr>
        <w:tab/>
        <w:t xml:space="preserve">تعتزم لجنة الدراسات </w:t>
      </w:r>
      <w:r w:rsidR="00537905">
        <w:rPr>
          <w:spacing w:val="-2"/>
          <w:rtl/>
        </w:rPr>
        <w:t>11 بقطاع</w:t>
      </w:r>
      <w:r w:rsidRPr="00224088">
        <w:rPr>
          <w:spacing w:val="-2"/>
          <w:rtl/>
        </w:rPr>
        <w:t xml:space="preserve"> تقييس الاتصالات (متطلبات وبروتوكولات التشوير ومواصفات الاختبار ومكافحة أجهزة الاتصالات/تكنولوجيا المعلومات والاتصالات المزيَّفة) تطبيق إجراء الموافقة التقليدية الوارد وصفه في القسم 9 من القرار</w:t>
      </w:r>
      <w:r w:rsidR="00537905">
        <w:rPr>
          <w:rFonts w:hint="cs"/>
          <w:spacing w:val="-2"/>
          <w:rtl/>
        </w:rPr>
        <w:t> </w:t>
      </w:r>
      <w:r w:rsidRPr="00224088">
        <w:rPr>
          <w:spacing w:val="-2"/>
          <w:rtl/>
        </w:rPr>
        <w:t>1</w:t>
      </w:r>
      <w:r w:rsidR="00537905">
        <w:rPr>
          <w:rFonts w:hint="cs"/>
          <w:spacing w:val="-2"/>
          <w:rtl/>
        </w:rPr>
        <w:t> </w:t>
      </w:r>
      <w:r w:rsidRPr="00224088">
        <w:rPr>
          <w:spacing w:val="-2"/>
          <w:rtl/>
        </w:rPr>
        <w:t>(المراجَع في جنيف، 2022) للجمعية العالمية لتقييس الاتصالات من أجل الموافقة على مشروعي التوصيتين المذكورين أعلاه في</w:t>
      </w:r>
      <w:r w:rsidR="00224088">
        <w:rPr>
          <w:rFonts w:hint="eastAsia"/>
          <w:spacing w:val="-2"/>
          <w:rtl/>
        </w:rPr>
        <w:t> </w:t>
      </w:r>
      <w:r w:rsidRPr="00224088">
        <w:rPr>
          <w:spacing w:val="-2"/>
          <w:rtl/>
        </w:rPr>
        <w:t>اجتماعها المقبل المزمع عقده في جنيف في الفترة 3-11 مارس 2026. وسيصدر جدول أعمال اجتماع لجنة الدراسات</w:t>
      </w:r>
      <w:r w:rsidR="00734C9F" w:rsidRPr="00224088">
        <w:rPr>
          <w:rFonts w:hint="cs"/>
          <w:spacing w:val="-2"/>
          <w:rtl/>
        </w:rPr>
        <w:t> </w:t>
      </w:r>
      <w:r w:rsidR="00537905">
        <w:rPr>
          <w:spacing w:val="-2"/>
          <w:rtl/>
        </w:rPr>
        <w:t>11 بقطاع</w:t>
      </w:r>
      <w:r w:rsidRPr="00224088">
        <w:rPr>
          <w:spacing w:val="-2"/>
          <w:rtl/>
        </w:rPr>
        <w:t xml:space="preserve"> تقييس الاتصالات وجميع المعلومات ذات الصلة في الوقت المناسب.</w:t>
      </w:r>
    </w:p>
    <w:p w14:paraId="0A4901F3" w14:textId="77777777" w:rsidR="005556C9" w:rsidRPr="008A2276" w:rsidRDefault="005556C9" w:rsidP="005556C9">
      <w:pPr>
        <w:textDirection w:val="tbRlV"/>
        <w:rPr>
          <w:lang w:val="ar-SA" w:eastAsia="zh-TW" w:bidi="en-GB"/>
        </w:rPr>
      </w:pPr>
      <w:r w:rsidRPr="008A2276">
        <w:rPr>
          <w:rtl/>
        </w:rPr>
        <w:t>2</w:t>
      </w:r>
      <w:r w:rsidRPr="008A2276">
        <w:rPr>
          <w:rtl/>
        </w:rPr>
        <w:tab/>
        <w:t xml:space="preserve">يمكن الاطلاع في </w:t>
      </w:r>
      <w:r w:rsidRPr="008A2276">
        <w:rPr>
          <w:b/>
          <w:bCs/>
          <w:rtl/>
        </w:rPr>
        <w:t>الملحق 1</w:t>
      </w:r>
      <w:r w:rsidRPr="008A2276">
        <w:rPr>
          <w:rtl/>
        </w:rPr>
        <w:t xml:space="preserve"> على عنواني وملخصي مشروعي توصيتي قطاع تقييس الاتصالات اللذين تُقترح الموافقة عليهما والوثيقتين اللتين يردان فيهما.</w:t>
      </w:r>
    </w:p>
    <w:p w14:paraId="2DDC902F" w14:textId="52F69FE3" w:rsidR="005556C9" w:rsidRPr="008A2276" w:rsidRDefault="005556C9" w:rsidP="005556C9">
      <w:pPr>
        <w:textDirection w:val="tbRlV"/>
        <w:rPr>
          <w:lang w:val="ar-SA" w:eastAsia="zh-TW" w:bidi="en-GB"/>
        </w:rPr>
      </w:pPr>
      <w:r w:rsidRPr="008A2276">
        <w:rPr>
          <w:rtl/>
        </w:rPr>
        <w:t>3</w:t>
      </w:r>
      <w:r w:rsidRPr="008A2276">
        <w:rPr>
          <w:rtl/>
        </w:rPr>
        <w:tab/>
        <w:t>تستهل هذه الرسالة المعممة المشاورة الرسمية مع الدول الأعضاء في الاتحاد بشأن ما إذا كان يمكن النظر في هذين النصين للموافقة عليهما في الاجتماع المقبل، وفقاً للفقرة 4.9 من القرار 1. وي</w:t>
      </w:r>
      <w:r w:rsidR="00734C9F">
        <w:rPr>
          <w:rFonts w:hint="cs"/>
          <w:rtl/>
        </w:rPr>
        <w:t>ُ</w:t>
      </w:r>
      <w:r w:rsidRPr="008A2276">
        <w:rPr>
          <w:rtl/>
        </w:rPr>
        <w:t>رجى من الدول الأعضاء ملء الاستمارة الواردة في</w:t>
      </w:r>
      <w:r w:rsidR="00734C9F">
        <w:rPr>
          <w:rFonts w:hint="cs"/>
          <w:rtl/>
        </w:rPr>
        <w:t> </w:t>
      </w:r>
      <w:r w:rsidRPr="008A2276">
        <w:rPr>
          <w:b/>
          <w:bCs/>
          <w:rtl/>
        </w:rPr>
        <w:t>الملحق 2</w:t>
      </w:r>
      <w:r w:rsidRPr="008A2276">
        <w:rPr>
          <w:rtl/>
        </w:rPr>
        <w:t xml:space="preserve"> وإعادتها في موعد أقصاه </w:t>
      </w:r>
      <w:r w:rsidRPr="008A2276">
        <w:rPr>
          <w:b/>
          <w:bCs/>
          <w:rtl/>
        </w:rPr>
        <w:t>19 فبراير 2026</w:t>
      </w:r>
      <w:r w:rsidRPr="008A2276">
        <w:rPr>
          <w:rtl/>
        </w:rPr>
        <w:t>، الساعة 23:59 بالتوقيت العالمي المنسق.</w:t>
      </w:r>
    </w:p>
    <w:p w14:paraId="01942ACD" w14:textId="39433B54" w:rsidR="005556C9" w:rsidRPr="008A2276" w:rsidRDefault="005556C9" w:rsidP="00734C9F">
      <w:pPr>
        <w:keepNext/>
        <w:keepLines/>
        <w:textDirection w:val="tbRlV"/>
        <w:rPr>
          <w:lang w:val="ar-SA" w:eastAsia="zh-TW" w:bidi="en-GB"/>
        </w:rPr>
      </w:pPr>
      <w:bookmarkStart w:id="0" w:name="_Hlk172722338"/>
      <w:r w:rsidRPr="008A2276">
        <w:rPr>
          <w:rtl/>
        </w:rPr>
        <w:t>4</w:t>
      </w:r>
      <w:r w:rsidRPr="008A2276">
        <w:rPr>
          <w:rtl/>
        </w:rPr>
        <w:tab/>
        <w:t>إذا كانت نسبة 70 في المائة أو أكثر من الردود الواردة من الدول الأعضاء تؤيد النظر في مشروعي التوصيتين بغرض الموافقة عليهما، فستُكرَّس جلسة عامة لتطبيق إجراء الموافقة. وينبغي للدول الأعضاء التي لا تفوض سلطة المضي قدماً أن تبلغ مدير مكتب تقييس الاتصالات بأسباب هذا الرأي وأن ت</w:t>
      </w:r>
      <w:r w:rsidR="003C1624">
        <w:rPr>
          <w:rFonts w:hint="cs"/>
          <w:rtl/>
        </w:rPr>
        <w:t>ُ</w:t>
      </w:r>
      <w:r w:rsidRPr="008A2276">
        <w:rPr>
          <w:rtl/>
        </w:rPr>
        <w:t>شير إلى التغييرات الممكنة التي من شأنها أن تمك</w:t>
      </w:r>
      <w:r w:rsidR="003C1624">
        <w:rPr>
          <w:rFonts w:hint="cs"/>
          <w:rtl/>
        </w:rPr>
        <w:t>ّ</w:t>
      </w:r>
      <w:r w:rsidRPr="008A2276">
        <w:rPr>
          <w:rtl/>
        </w:rPr>
        <w:t>ن من إحراز تقدم في العمل.</w:t>
      </w:r>
      <w:bookmarkEnd w:id="0"/>
    </w:p>
    <w:p w14:paraId="425953BE" w14:textId="47D76E25" w:rsidR="00E84438" w:rsidRPr="00D517B2" w:rsidRDefault="005768E0" w:rsidP="00891703">
      <w:pPr>
        <w:spacing w:before="240"/>
        <w:jc w:val="left"/>
        <w:rPr>
          <w:rtl/>
          <w:lang w:bidi="ar-EG"/>
        </w:rPr>
      </w:pPr>
      <w:r>
        <w:rPr>
          <w:rFonts w:hint="cs"/>
          <w:noProof/>
          <w:rtl/>
          <w:lang w:val="ar-EG" w:bidi="ar-EG"/>
        </w:rPr>
        <w:drawing>
          <wp:anchor distT="0" distB="0" distL="114300" distR="114300" simplePos="0" relativeHeight="251658240" behindDoc="1" locked="0" layoutInCell="1" allowOverlap="1" wp14:anchorId="2EA9586F" wp14:editId="58D1C863">
            <wp:simplePos x="0" y="0"/>
            <wp:positionH relativeFrom="margin">
              <wp:align>right</wp:align>
            </wp:positionH>
            <wp:positionV relativeFrom="paragraph">
              <wp:posOffset>236855</wp:posOffset>
            </wp:positionV>
            <wp:extent cx="768389" cy="368319"/>
            <wp:effectExtent l="0" t="0" r="0" b="0"/>
            <wp:wrapNone/>
            <wp:docPr id="1766547107"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47107" name="Picture 1" descr="A black and white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E84438" w:rsidRPr="00D517B2">
        <w:rPr>
          <w:rFonts w:hint="cs"/>
          <w:rtl/>
          <w:lang w:bidi="ar-EG"/>
        </w:rPr>
        <w:t>وتفضلوا بقبول فائق التقدير والاحترام.</w:t>
      </w:r>
    </w:p>
    <w:p w14:paraId="138F1BE8" w14:textId="4DBF8801" w:rsidR="00E84438" w:rsidRDefault="00807031" w:rsidP="00934F31">
      <w:pPr>
        <w:spacing w:before="600" w:after="0"/>
        <w:jc w:val="left"/>
        <w:rPr>
          <w:lang w:bidi="ar-SY"/>
        </w:rPr>
      </w:pPr>
      <w:r>
        <w:rPr>
          <w:rFonts w:hint="cs"/>
          <w:rtl/>
          <w:lang w:bidi="ar-SY"/>
        </w:rPr>
        <w:t>سيزو أونوي</w:t>
      </w:r>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p w14:paraId="56AE945B" w14:textId="18F97ADC" w:rsidR="005556C9" w:rsidRPr="008A2276" w:rsidRDefault="005556C9" w:rsidP="00934F31">
      <w:pPr>
        <w:keepNext/>
        <w:keepLines/>
        <w:tabs>
          <w:tab w:val="right" w:pos="9639"/>
        </w:tabs>
        <w:spacing w:before="240" w:after="0"/>
        <w:textDirection w:val="tbRlV"/>
        <w:rPr>
          <w:lang w:val="ar-SA" w:eastAsia="zh-TW" w:bidi="en-GB"/>
        </w:rPr>
      </w:pPr>
      <w:r w:rsidRPr="008A2276">
        <w:rPr>
          <w:b/>
          <w:bCs/>
          <w:rtl/>
        </w:rPr>
        <w:t>الملحقات</w:t>
      </w:r>
      <w:r w:rsidRPr="008A2276">
        <w:t>:</w:t>
      </w:r>
      <w:r w:rsidRPr="008A2276">
        <w:rPr>
          <w:rtl/>
        </w:rPr>
        <w:t xml:space="preserve"> 2</w:t>
      </w:r>
    </w:p>
    <w:p w14:paraId="742E58BD" w14:textId="77777777" w:rsidR="00596808" w:rsidRDefault="00596808" w:rsidP="00E84438">
      <w:pPr>
        <w:rPr>
          <w:rtl/>
          <w:lang w:bidi="ar-EG"/>
        </w:rPr>
      </w:pPr>
      <w:r>
        <w:rPr>
          <w:rtl/>
          <w:lang w:bidi="ar-EG"/>
        </w:rPr>
        <w:br w:type="page"/>
      </w:r>
    </w:p>
    <w:p w14:paraId="220F2DF8" w14:textId="4247EEA0" w:rsidR="005556C9" w:rsidRPr="008A2276" w:rsidRDefault="005556C9" w:rsidP="00242387">
      <w:pPr>
        <w:pStyle w:val="Annextitle0"/>
        <w:bidi/>
        <w:textDirection w:val="tbRlV"/>
        <w:rPr>
          <w:rFonts w:ascii="Dubai" w:hAnsi="Dubai" w:cs="Dubai" w:hint="default"/>
          <w:sz w:val="22"/>
          <w:szCs w:val="22"/>
          <w:lang w:val="ar-SA" w:eastAsia="zh-TW" w:bidi="en-GB"/>
        </w:rPr>
      </w:pPr>
      <w:r w:rsidRPr="008A2276">
        <w:rPr>
          <w:rFonts w:ascii="Dubai" w:hAnsi="Dubai" w:cs="Dubai" w:hint="default"/>
          <w:bCs/>
          <w:sz w:val="22"/>
          <w:szCs w:val="22"/>
          <w:rtl/>
        </w:rPr>
        <w:lastRenderedPageBreak/>
        <w:t>الملحق 1</w:t>
      </w:r>
      <w:r w:rsidR="00242387">
        <w:rPr>
          <w:rFonts w:ascii="Dubai" w:hAnsi="Dubai" w:cs="Dubai" w:hint="default"/>
          <w:bCs/>
          <w:sz w:val="22"/>
          <w:szCs w:val="22"/>
          <w:rtl/>
        </w:rPr>
        <w:br/>
      </w:r>
      <w:r w:rsidRPr="008A2276">
        <w:rPr>
          <w:rFonts w:ascii="Dubai" w:hAnsi="Dubai" w:cs="Dubai" w:hint="default"/>
          <w:bCs/>
          <w:sz w:val="22"/>
          <w:szCs w:val="22"/>
          <w:rtl/>
        </w:rPr>
        <w:t xml:space="preserve">ملخصا مشروعي التوصيتين المحددتين ITU-T Q.5036 (Q.IEC-PDMF سابقاً) </w:t>
      </w:r>
      <w:r w:rsidR="003C1624">
        <w:rPr>
          <w:rFonts w:ascii="Dubai" w:hAnsi="Dubai" w:cs="Dubai" w:hint="default"/>
          <w:bCs/>
          <w:sz w:val="22"/>
          <w:szCs w:val="22"/>
          <w:rtl/>
        </w:rPr>
        <w:br/>
      </w:r>
      <w:r w:rsidRPr="008A2276">
        <w:rPr>
          <w:rFonts w:ascii="Dubai" w:hAnsi="Dubai" w:cs="Dubai" w:hint="default"/>
          <w:bCs/>
          <w:sz w:val="22"/>
          <w:szCs w:val="22"/>
          <w:rtl/>
        </w:rPr>
        <w:t>و</w:t>
      </w:r>
      <w:r w:rsidRPr="008A2276">
        <w:rPr>
          <w:rFonts w:ascii="Dubai" w:hAnsi="Dubai" w:cs="Dubai" w:hint="default"/>
          <w:bCs/>
          <w:sz w:val="22"/>
          <w:szCs w:val="22"/>
        </w:rPr>
        <w:t>ITU-T Q.5015</w:t>
      </w:r>
      <w:r>
        <w:rPr>
          <w:rFonts w:ascii="Dubai" w:hAnsi="Dubai" w:cs="Dubai"/>
          <w:bCs/>
          <w:sz w:val="22"/>
          <w:szCs w:val="22"/>
          <w:rtl/>
        </w:rPr>
        <w:t xml:space="preserve"> (</w:t>
      </w:r>
      <w:proofErr w:type="spellStart"/>
      <w:r w:rsidRPr="008A2276">
        <w:rPr>
          <w:rFonts w:ascii="Dubai" w:hAnsi="Dubai" w:cs="Dubai"/>
          <w:bCs/>
          <w:sz w:val="22"/>
          <w:szCs w:val="22"/>
        </w:rPr>
        <w:t>Q.cco-mec</w:t>
      </w:r>
      <w:proofErr w:type="spellEnd"/>
      <w:r>
        <w:rPr>
          <w:rFonts w:ascii="Dubai" w:hAnsi="Dubai" w:cs="Dubai"/>
          <w:bCs/>
          <w:sz w:val="22"/>
          <w:szCs w:val="22"/>
          <w:rtl/>
        </w:rPr>
        <w:t xml:space="preserve"> سابقاً) </w:t>
      </w:r>
      <w:r w:rsidRPr="008A2276">
        <w:rPr>
          <w:rFonts w:ascii="Dubai" w:hAnsi="Dubai" w:cs="Dubai" w:hint="default"/>
          <w:bCs/>
          <w:sz w:val="22"/>
          <w:szCs w:val="22"/>
          <w:rtl/>
        </w:rPr>
        <w:t>والوثيقتان اللتان يردان فيهما</w:t>
      </w:r>
    </w:p>
    <w:p w14:paraId="3B633C7D" w14:textId="7077F443" w:rsidR="005556C9" w:rsidRPr="008A2276" w:rsidRDefault="005556C9" w:rsidP="005556C9">
      <w:pPr>
        <w:pStyle w:val="Heading1"/>
        <w:textDirection w:val="tbRlV"/>
        <w:rPr>
          <w:b w:val="0"/>
          <w:bCs w:val="0"/>
          <w:sz w:val="22"/>
          <w:szCs w:val="22"/>
          <w:lang w:val="ar-SA" w:eastAsia="zh-TW" w:bidi="en-GB"/>
        </w:rPr>
      </w:pPr>
      <w:r w:rsidRPr="008A2276">
        <w:rPr>
          <w:sz w:val="22"/>
          <w:szCs w:val="22"/>
          <w:rtl/>
        </w:rPr>
        <w:t>1</w:t>
      </w:r>
      <w:r w:rsidRPr="008A2276">
        <w:rPr>
          <w:sz w:val="22"/>
          <w:szCs w:val="22"/>
          <w:rtl/>
        </w:rPr>
        <w:tab/>
      </w:r>
      <w:r w:rsidRPr="008A2276">
        <w:rPr>
          <w:b w:val="0"/>
          <w:sz w:val="22"/>
          <w:szCs w:val="22"/>
          <w:rtl/>
        </w:rPr>
        <w:t>مشروع التوصية الجديدة ITU-T Q.5036 (Q.IEC-PDMF سابقاً) [</w:t>
      </w:r>
      <w:hyperlink r:id="rId11" w:history="1">
        <w:r w:rsidRPr="003C1624">
          <w:rPr>
            <w:rStyle w:val="Hyperlink"/>
            <w:b w:val="0"/>
            <w:sz w:val="22"/>
            <w:szCs w:val="22"/>
            <w:rtl/>
          </w:rPr>
          <w:t>SG11-R12</w:t>
        </w:r>
      </w:hyperlink>
      <w:r w:rsidRPr="008A2276">
        <w:rPr>
          <w:b w:val="0"/>
          <w:sz w:val="22"/>
          <w:szCs w:val="22"/>
          <w:rtl/>
        </w:rPr>
        <w:t>]</w:t>
      </w:r>
      <w:hyperlink r:id="rId12" w:history="1"/>
    </w:p>
    <w:p w14:paraId="6914667E" w14:textId="56BC4654" w:rsidR="005556C9" w:rsidRPr="008A2276" w:rsidRDefault="005556C9" w:rsidP="00537905">
      <w:pPr>
        <w:rPr>
          <w:lang w:val="ar-SA" w:eastAsia="zh-TW" w:bidi="en-GB"/>
        </w:rPr>
      </w:pPr>
      <w:r w:rsidRPr="008A2276">
        <w:rPr>
          <w:rtl/>
        </w:rPr>
        <w:t>‎السطوح البينية لإدارة البيانات من أجل إطار عام لصنع القرار استناداً إلى حوسبة الحافة الذكية</w:t>
      </w:r>
    </w:p>
    <w:p w14:paraId="4EACDCDE" w14:textId="77777777" w:rsidR="005556C9" w:rsidRPr="008A2276" w:rsidRDefault="005556C9" w:rsidP="003C1624">
      <w:pPr>
        <w:pStyle w:val="Headingb"/>
        <w:rPr>
          <w:lang w:val="ar-SA" w:eastAsia="zh-TW" w:bidi="en-GB"/>
        </w:rPr>
      </w:pPr>
      <w:r w:rsidRPr="008A2276">
        <w:rPr>
          <w:rtl/>
        </w:rPr>
        <w:t>ملخص</w:t>
      </w:r>
    </w:p>
    <w:p w14:paraId="58A21C78" w14:textId="485BE209" w:rsidR="005556C9" w:rsidRPr="008A2276" w:rsidRDefault="005556C9" w:rsidP="003C1624">
      <w:pPr>
        <w:rPr>
          <w:color w:val="000000"/>
          <w:lang w:val="ar-SA" w:eastAsia="zh-TW" w:bidi="en-GB"/>
        </w:rPr>
      </w:pPr>
      <w:r w:rsidRPr="008A2276">
        <w:rPr>
          <w:rtl/>
        </w:rPr>
        <w:t xml:space="preserve">تحدد هذه التوصية السطوح البينية لإدارة البيانات من أجل إطار عام لصنع القرار استناداً إلى </w:t>
      </w:r>
      <w:r w:rsidRPr="003C1624">
        <w:rPr>
          <w:rtl/>
        </w:rPr>
        <w:t>معمارية</w:t>
      </w:r>
      <w:r w:rsidRPr="008A2276">
        <w:rPr>
          <w:rtl/>
        </w:rPr>
        <w:t xml:space="preserve"> حوسبة الحافة الذكية الوارد وصفها في التوصية ITU-T Q.5001. ويدعم الإطار خدمات صنع القرار القائمة على الذكاء الاصطناع</w:t>
      </w:r>
      <w:r w:rsidR="00537905">
        <w:rPr>
          <w:rFonts w:hint="cs"/>
          <w:rtl/>
        </w:rPr>
        <w:t>ي</w:t>
      </w:r>
      <w:r w:rsidRPr="008A2276">
        <w:rPr>
          <w:rtl/>
        </w:rPr>
        <w:t xml:space="preserve"> بتمكين سطوح بينية آمنة وفعالة لجمع البيانات الاجتماعية والاقتصادية </w:t>
      </w:r>
      <w:r w:rsidR="00537905" w:rsidRPr="008A2276">
        <w:rPr>
          <w:rtl/>
        </w:rPr>
        <w:t>وحوكم</w:t>
      </w:r>
      <w:r w:rsidR="00537905">
        <w:rPr>
          <w:rFonts w:hint="cs"/>
          <w:rtl/>
        </w:rPr>
        <w:t>تها</w:t>
      </w:r>
      <w:r w:rsidR="00537905" w:rsidRPr="008A2276">
        <w:rPr>
          <w:rtl/>
        </w:rPr>
        <w:t xml:space="preserve"> وإدار</w:t>
      </w:r>
      <w:r w:rsidR="00537905">
        <w:rPr>
          <w:rFonts w:hint="cs"/>
          <w:rtl/>
        </w:rPr>
        <w:t>تها</w:t>
      </w:r>
      <w:r w:rsidR="00537905" w:rsidRPr="008A2276">
        <w:rPr>
          <w:rtl/>
        </w:rPr>
        <w:t xml:space="preserve"> </w:t>
      </w:r>
      <w:r w:rsidR="00537905">
        <w:rPr>
          <w:rFonts w:hint="cs"/>
          <w:rtl/>
        </w:rPr>
        <w:t>و</w:t>
      </w:r>
      <w:r w:rsidRPr="008A2276">
        <w:rPr>
          <w:rtl/>
        </w:rPr>
        <w:t>الموز</w:t>
      </w:r>
      <w:r>
        <w:rPr>
          <w:rtl/>
        </w:rPr>
        <w:t>َّ</w:t>
      </w:r>
      <w:r w:rsidRPr="008A2276">
        <w:rPr>
          <w:rtl/>
        </w:rPr>
        <w:t>عة عبر أصحاب مصلحة متعددين.</w:t>
      </w:r>
    </w:p>
    <w:p w14:paraId="5E2B100B" w14:textId="01CF7F5C" w:rsidR="005556C9" w:rsidRPr="008A2276" w:rsidRDefault="005556C9" w:rsidP="003C1624">
      <w:pPr>
        <w:rPr>
          <w:color w:val="000000"/>
          <w:lang w:val="ar-SA" w:eastAsia="zh-TW" w:bidi="en-GB"/>
        </w:rPr>
      </w:pPr>
      <w:r w:rsidRPr="008A2276">
        <w:rPr>
          <w:rtl/>
        </w:rPr>
        <w:t xml:space="preserve">ويتألف الإطار المعماري من ثلاث طبقات: طبقة التشغيل البيني، وطبقة البيانات، وطبقة الخدمة. وتدمج هذه الطبقات الكتل الوظيفية لجمع البيانات والحوكمة وإدارة خدمات صنع القرار. وتدعم السطوح البينية لبرمجة تطبيقات طبقة البيانات عمليات من قبيل جمع البيانات الاجتماعية الاقتصادية المخزنة عند الحافة واسترجاعها وتحديثها وحذفها. وتتحكم السطوح البينية لبرمجة تطبيقات طبقة الخدمة </w:t>
      </w:r>
      <w:r w:rsidR="00537905">
        <w:rPr>
          <w:rFonts w:hint="cs"/>
          <w:rtl/>
        </w:rPr>
        <w:t xml:space="preserve">في </w:t>
      </w:r>
      <w:r w:rsidRPr="008A2276">
        <w:rPr>
          <w:rtl/>
        </w:rPr>
        <w:t>عمليات البيانات والخدمات مع تمكين خدمات صنع القرار العامة الجديرة بالثقة والمتوافقة.</w:t>
      </w:r>
    </w:p>
    <w:p w14:paraId="351357C7" w14:textId="5F0A5E86" w:rsidR="005556C9" w:rsidRPr="008A2276" w:rsidRDefault="005556C9" w:rsidP="005556C9">
      <w:pPr>
        <w:textDirection w:val="tbRlV"/>
        <w:rPr>
          <w:color w:val="000000"/>
          <w:lang w:val="ar-SA" w:eastAsia="zh-TW" w:bidi="en-GB"/>
        </w:rPr>
      </w:pPr>
      <w:r w:rsidRPr="008A2276">
        <w:rPr>
          <w:rtl/>
        </w:rPr>
        <w:t>وتشمل الوظائف الرئيسية المعر</w:t>
      </w:r>
      <w:r w:rsidR="003C1624">
        <w:rPr>
          <w:rFonts w:hint="cs"/>
          <w:rtl/>
        </w:rPr>
        <w:t>ّ</w:t>
      </w:r>
      <w:r w:rsidRPr="008A2276">
        <w:rPr>
          <w:rtl/>
        </w:rPr>
        <w:t>فة في هذه التوصية وظائف حوكمة البيانات ووظائف جمع البيانات ووظائف إدارة خدمات صنع القرار. وتضمن هذه الوظائف إدارة البيانات الشرحية والجودة، والجمع المنهجي للبيانات من مصادر غير متجانسة، وتقديم خدمات صنع القرار القائمة على الذكاء الاصطناعي بطريقة آمنة ومتوافقة.</w:t>
      </w:r>
    </w:p>
    <w:p w14:paraId="421B48B5" w14:textId="77777777" w:rsidR="005556C9" w:rsidRPr="008A2276" w:rsidRDefault="005556C9" w:rsidP="005556C9">
      <w:pPr>
        <w:textDirection w:val="tbRlV"/>
        <w:rPr>
          <w:lang w:val="ar-SA" w:eastAsia="zh-TW" w:bidi="en-GB"/>
        </w:rPr>
      </w:pPr>
      <w:r w:rsidRPr="008A2276">
        <w:rPr>
          <w:rtl/>
        </w:rPr>
        <w:t>ولم يجرِ إعداد أي وثيقة تسويغ وفق التوصية ITU-T A.5 من أجل نص المشروع المحدد هذا.</w:t>
      </w:r>
    </w:p>
    <w:p w14:paraId="2BC1124F" w14:textId="6797ADB6" w:rsidR="005556C9" w:rsidRPr="008A2276" w:rsidRDefault="005556C9" w:rsidP="005218C8">
      <w:pPr>
        <w:pStyle w:val="Note"/>
        <w:rPr>
          <w:lang w:val="ar-SA" w:eastAsia="zh-TW" w:bidi="en-GB"/>
        </w:rPr>
      </w:pPr>
      <w:r w:rsidRPr="008A2276">
        <w:rPr>
          <w:b/>
          <w:bCs/>
          <w:rtl/>
        </w:rPr>
        <w:t>ملاحظة من مكتب تقييس الاتصالات</w:t>
      </w:r>
      <w:r w:rsidRPr="008A2276">
        <w:rPr>
          <w:rtl/>
        </w:rPr>
        <w:t xml:space="preserve"> - تلقى مكتب تقييس الاتصالات حتى تاريخ هذه الرسالة المعممة، بياناً واحداً عن حقوق الملكية الفكرية فيما يخص مشروع النص هذا. وللاطلاع على أحدث المعلومات بهذا الشأن، يُرجى من الأعضاء الرجوع إلى قاعدة بيانات حقوق الملكية الفكرية المتاحة عبر الرابط التالي</w:t>
      </w:r>
      <w:r w:rsidRPr="008A2276">
        <w:t>:</w:t>
      </w:r>
      <w:r w:rsidRPr="008A2276">
        <w:rPr>
          <w:rtl/>
        </w:rPr>
        <w:t xml:space="preserve"> </w:t>
      </w:r>
      <w:hyperlink r:id="rId13" w:history="1">
        <w:r w:rsidR="005218C8" w:rsidRPr="00EF01F5">
          <w:rPr>
            <w:rStyle w:val="Hyperlink"/>
            <w:rFonts w:asciiTheme="minorHAnsi" w:hAnsiTheme="minorHAnsi" w:cstheme="minorHAnsi"/>
            <w:sz w:val="22"/>
            <w:szCs w:val="22"/>
          </w:rPr>
          <w:t>www.itu.int/ipr/</w:t>
        </w:r>
      </w:hyperlink>
      <w:hyperlink r:id="rId14" w:history="1"/>
    </w:p>
    <w:p w14:paraId="28E83046" w14:textId="7ED61E99" w:rsidR="005556C9" w:rsidRPr="008A2276" w:rsidRDefault="005556C9" w:rsidP="005556C9">
      <w:pPr>
        <w:pStyle w:val="Heading1"/>
        <w:textDirection w:val="tbRlV"/>
        <w:rPr>
          <w:b w:val="0"/>
          <w:bCs w:val="0"/>
          <w:sz w:val="22"/>
          <w:szCs w:val="22"/>
          <w:lang w:val="ar-SA" w:eastAsia="zh-TW" w:bidi="en-GB"/>
        </w:rPr>
      </w:pPr>
      <w:r w:rsidRPr="008A2276">
        <w:rPr>
          <w:sz w:val="22"/>
          <w:szCs w:val="22"/>
          <w:rtl/>
        </w:rPr>
        <w:t>2</w:t>
      </w:r>
      <w:r w:rsidRPr="008A2276">
        <w:rPr>
          <w:sz w:val="22"/>
          <w:szCs w:val="22"/>
          <w:rtl/>
        </w:rPr>
        <w:tab/>
      </w:r>
      <w:r w:rsidRPr="008A2276">
        <w:rPr>
          <w:b w:val="0"/>
          <w:sz w:val="22"/>
          <w:szCs w:val="22"/>
          <w:rtl/>
        </w:rPr>
        <w:t>مشروع التوصية الجديدة ITU-T Q.5015 (Q.cco-mec سابقاً) [</w:t>
      </w:r>
      <w:hyperlink r:id="rId15" w:history="1">
        <w:r w:rsidRPr="005218C8">
          <w:rPr>
            <w:rStyle w:val="Hyperlink"/>
            <w:b w:val="0"/>
            <w:sz w:val="22"/>
            <w:szCs w:val="22"/>
            <w:rtl/>
          </w:rPr>
          <w:t>SG11-R11</w:t>
        </w:r>
      </w:hyperlink>
      <w:r w:rsidRPr="008A2276">
        <w:rPr>
          <w:b w:val="0"/>
          <w:sz w:val="22"/>
          <w:szCs w:val="22"/>
          <w:rtl/>
        </w:rPr>
        <w:t>]</w:t>
      </w:r>
      <w:hyperlink r:id="rId16" w:history="1"/>
    </w:p>
    <w:p w14:paraId="6E90C385" w14:textId="77777777" w:rsidR="005556C9" w:rsidRPr="008A2276" w:rsidRDefault="005556C9" w:rsidP="005556C9">
      <w:pPr>
        <w:textDirection w:val="tbRlV"/>
        <w:rPr>
          <w:lang w:val="ar-SA" w:eastAsia="zh-TW" w:bidi="en-GB"/>
        </w:rPr>
      </w:pPr>
      <w:r w:rsidRPr="008A2276">
        <w:rPr>
          <w:rtl/>
        </w:rPr>
        <w:t>‏متطلبات التشوير الخاصة بالتنسيق الذي يدعم الحوسبة السرية في حوسبة الحافة متعددة النفاذ</w:t>
      </w:r>
    </w:p>
    <w:p w14:paraId="42A9BA34" w14:textId="77777777" w:rsidR="005556C9" w:rsidRPr="008A2276" w:rsidRDefault="005556C9" w:rsidP="005218C8">
      <w:pPr>
        <w:pStyle w:val="Headingb"/>
        <w:rPr>
          <w:lang w:val="ar-SA" w:eastAsia="zh-TW" w:bidi="en-GB"/>
        </w:rPr>
      </w:pPr>
      <w:r w:rsidRPr="008A2276">
        <w:rPr>
          <w:rtl/>
        </w:rPr>
        <w:t>ملخص</w:t>
      </w:r>
    </w:p>
    <w:p w14:paraId="04594485" w14:textId="43478773" w:rsidR="005556C9" w:rsidRPr="008A2276" w:rsidRDefault="005556C9" w:rsidP="005218C8">
      <w:pPr>
        <w:rPr>
          <w:lang w:val="ar-SA" w:eastAsia="zh-TW" w:bidi="en-GB"/>
        </w:rPr>
      </w:pPr>
      <w:r w:rsidRPr="008A2276">
        <w:rPr>
          <w:rtl/>
        </w:rPr>
        <w:t xml:space="preserve">توفر حوسبة الحافة متعددة النفاذ </w:t>
      </w:r>
      <w:r w:rsidRPr="008A2276">
        <w:t>MEC</w:t>
      </w:r>
      <w:r w:rsidR="005218C8">
        <w:t>)</w:t>
      </w:r>
      <w:r w:rsidRPr="008A2276">
        <w:rPr>
          <w:rtl/>
        </w:rPr>
        <w:t>) بيئة لمعالجة البيانات بالقرب من توليد بيانات الصناعات التخصصية. وتعتبر الحوسبة السرية تكنولوجيا تمكينية من أجل توفير بيئة محايدة وجديرة بالثقة ومعتمدة يمكنها حماية البيانات وشفرة نموذج الخوارزمية في وقت التشغيل في حوسبة الحافة متعددة النفاذ.</w:t>
      </w:r>
    </w:p>
    <w:p w14:paraId="6FA65DCF" w14:textId="085EB82A" w:rsidR="005556C9" w:rsidRPr="00B52B21" w:rsidRDefault="00537905" w:rsidP="005218C8">
      <w:pPr>
        <w:rPr>
          <w:spacing w:val="-2"/>
          <w:lang w:val="ar-SA" w:eastAsia="zh-TW" w:bidi="en-GB"/>
        </w:rPr>
      </w:pPr>
      <w:r>
        <w:rPr>
          <w:rFonts w:hint="cs"/>
          <w:spacing w:val="-2"/>
          <w:rtl/>
        </w:rPr>
        <w:t>وتحدد</w:t>
      </w:r>
      <w:r w:rsidR="005556C9" w:rsidRPr="00B52B21">
        <w:rPr>
          <w:spacing w:val="-2"/>
          <w:rtl/>
        </w:rPr>
        <w:t xml:space="preserve"> هذه التوصية معمارية التشوير وإجراءات التشوير ومتطلبات التشوير الخاصة بالتنسيق لدعم الحوسبة السرية في حوسبة الحافة متعددة النفاذ.</w:t>
      </w:r>
    </w:p>
    <w:p w14:paraId="5C69B094" w14:textId="71C9F69D" w:rsidR="005556C9" w:rsidRPr="002F7016" w:rsidRDefault="005556C9" w:rsidP="005218C8">
      <w:pPr>
        <w:rPr>
          <w:spacing w:val="-4"/>
          <w:lang w:val="ar-SA" w:eastAsia="zh-TW" w:bidi="en-GB"/>
        </w:rPr>
      </w:pPr>
      <w:r w:rsidRPr="002F7016">
        <w:rPr>
          <w:spacing w:val="-4"/>
          <w:rtl/>
        </w:rPr>
        <w:t>ويتضمن مشروع النص المحدد هذا مراجع معيارية تتطلب مسوغات وفق التوصية ITU-T A.5 ترد في الوثيقة [</w:t>
      </w:r>
      <w:hyperlink r:id="rId17" w:history="1">
        <w:r w:rsidR="005218C8" w:rsidRPr="002F7016">
          <w:rPr>
            <w:rStyle w:val="Hyperlink"/>
            <w:rFonts w:asciiTheme="minorHAnsi" w:hAnsiTheme="minorHAnsi" w:cstheme="minorHAnsi"/>
            <w:spacing w:val="-4"/>
          </w:rPr>
          <w:t>SG11</w:t>
        </w:r>
        <w:r w:rsidR="005218C8" w:rsidRPr="002F7016">
          <w:rPr>
            <w:rStyle w:val="Hyperlink"/>
            <w:rFonts w:asciiTheme="minorHAnsi" w:hAnsiTheme="minorHAnsi" w:cstheme="minorHAnsi"/>
            <w:spacing w:val="-4"/>
          </w:rPr>
          <w:noBreakHyphen/>
          <w:t>TD619/GEN</w:t>
        </w:r>
      </w:hyperlink>
      <w:r w:rsidRPr="002F7016">
        <w:rPr>
          <w:spacing w:val="-4"/>
          <w:rtl/>
        </w:rPr>
        <w:t>].</w:t>
      </w:r>
      <w:hyperlink r:id="rId18" w:history="1"/>
    </w:p>
    <w:p w14:paraId="5DA80AA3" w14:textId="2421D652" w:rsidR="005556C9" w:rsidRPr="008A2276" w:rsidRDefault="005556C9" w:rsidP="005218C8">
      <w:pPr>
        <w:pStyle w:val="Note"/>
        <w:rPr>
          <w:color w:val="000000"/>
          <w:lang w:val="ar-SA" w:eastAsia="zh-TW" w:bidi="en-GB"/>
        </w:rPr>
      </w:pPr>
      <w:r w:rsidRPr="008A2276">
        <w:rPr>
          <w:b/>
          <w:bCs/>
          <w:rtl/>
        </w:rPr>
        <w:t>ملاحظة من مكتب تقييس الاتصالات</w:t>
      </w:r>
      <w:r w:rsidRPr="008A2276">
        <w:rPr>
          <w:rtl/>
        </w:rPr>
        <w:t xml:space="preserve"> - لم يتلق مكتب تقييس الاتصالات حتى تاريخ هذه الرسالة المعممة، أي بيانات عن حقوق الملكية الفكرية فيما يخص مشروع النص هذا. وللاطلاع على أحدث المعلومات بهذا الشأن، يُرجى من الأعضاء الرجوع إلى قاعدة بيانات حقوق الملكية الفكرية المتاحة عبر الرابط التالي</w:t>
      </w:r>
      <w:r w:rsidRPr="008A2276">
        <w:t>:</w:t>
      </w:r>
      <w:r w:rsidRPr="008A2276">
        <w:rPr>
          <w:rtl/>
        </w:rPr>
        <w:t xml:space="preserve"> </w:t>
      </w:r>
      <w:hyperlink r:id="rId19" w:history="1">
        <w:r w:rsidR="005218C8" w:rsidRPr="004B4AE2">
          <w:rPr>
            <w:rStyle w:val="Hyperlink"/>
            <w:rFonts w:asciiTheme="minorHAnsi" w:hAnsiTheme="minorHAnsi" w:cstheme="minorHAnsi"/>
            <w:sz w:val="22"/>
            <w:szCs w:val="22"/>
          </w:rPr>
          <w:t>www.itu.int/ipr/</w:t>
        </w:r>
      </w:hyperlink>
      <w:r w:rsidRPr="008A2276">
        <w:rPr>
          <w:rtl/>
        </w:rPr>
        <w:t>.</w:t>
      </w:r>
      <w:hyperlink r:id="rId20" w:history="1"/>
    </w:p>
    <w:p w14:paraId="0E0574CE" w14:textId="77777777" w:rsidR="005556C9" w:rsidRDefault="005556C9" w:rsidP="005556C9">
      <w:pPr>
        <w:tabs>
          <w:tab w:val="clear" w:pos="794"/>
        </w:tabs>
        <w:spacing w:before="0"/>
        <w:rPr>
          <w:b/>
          <w:rtl/>
        </w:rPr>
      </w:pPr>
      <w:r>
        <w:rPr>
          <w:rtl/>
        </w:rPr>
        <w:br w:type="page"/>
      </w:r>
    </w:p>
    <w:p w14:paraId="078A80F8" w14:textId="54AB5A1C" w:rsidR="005556C9" w:rsidRPr="008A2276" w:rsidRDefault="005556C9" w:rsidP="00242387">
      <w:pPr>
        <w:pStyle w:val="Annextitle0"/>
        <w:bidi/>
        <w:spacing w:before="120"/>
        <w:textDirection w:val="tbRlV"/>
        <w:rPr>
          <w:rFonts w:ascii="Dubai" w:hAnsi="Dubai" w:cs="Dubai" w:hint="default"/>
          <w:sz w:val="22"/>
          <w:szCs w:val="22"/>
          <w:lang w:val="ar-SA" w:eastAsia="zh-TW" w:bidi="en-GB"/>
        </w:rPr>
      </w:pPr>
      <w:r w:rsidRPr="008A2276">
        <w:rPr>
          <w:rFonts w:ascii="Dubai" w:hAnsi="Dubai" w:cs="Dubai" w:hint="default"/>
          <w:bCs/>
          <w:sz w:val="22"/>
          <w:szCs w:val="22"/>
          <w:rtl/>
        </w:rPr>
        <w:lastRenderedPageBreak/>
        <w:t>الملحق 2</w:t>
      </w:r>
      <w:r w:rsidR="00242387">
        <w:rPr>
          <w:rFonts w:ascii="Dubai" w:hAnsi="Dubai" w:cs="Dubai" w:hint="default"/>
          <w:bCs/>
          <w:sz w:val="22"/>
          <w:szCs w:val="22"/>
          <w:rtl/>
        </w:rPr>
        <w:br/>
      </w:r>
      <w:r w:rsidRPr="008A2276">
        <w:rPr>
          <w:rFonts w:ascii="Dubai" w:hAnsi="Dubai" w:cs="Dubai" w:hint="default"/>
          <w:bCs/>
          <w:sz w:val="22"/>
          <w:szCs w:val="22"/>
          <w:rtl/>
        </w:rPr>
        <w:t xml:space="preserve">الموضوع: رد الدول الأعضاء على الرسالة المعممة 94 من مكتب تقييس الاتصالات: </w:t>
      </w:r>
      <w:r w:rsidR="005218C8">
        <w:rPr>
          <w:rFonts w:ascii="Dubai" w:hAnsi="Dubai" w:cs="Dubai" w:hint="default"/>
          <w:bCs/>
          <w:sz w:val="22"/>
          <w:szCs w:val="22"/>
        </w:rPr>
        <w:br/>
      </w:r>
      <w:r w:rsidRPr="008A2276">
        <w:rPr>
          <w:rFonts w:ascii="Dubai" w:hAnsi="Dubai" w:cs="Dubai" w:hint="default"/>
          <w:bCs/>
          <w:sz w:val="22"/>
          <w:szCs w:val="22"/>
          <w:rtl/>
        </w:rPr>
        <w:t xml:space="preserve">مشاورة بشأن مشروعي التوصيتين المحددتين ITU-T Q.5036 (Q.IEC-PDMF سابقاً) </w:t>
      </w:r>
      <w:r w:rsidR="005218C8">
        <w:rPr>
          <w:rFonts w:ascii="Dubai" w:hAnsi="Dubai" w:cs="Dubai" w:hint="default"/>
          <w:bCs/>
          <w:sz w:val="22"/>
          <w:szCs w:val="22"/>
        </w:rPr>
        <w:br/>
      </w:r>
      <w:r w:rsidRPr="008A2276">
        <w:rPr>
          <w:rFonts w:ascii="Dubai" w:hAnsi="Dubai" w:cs="Dubai" w:hint="default"/>
          <w:bCs/>
          <w:sz w:val="22"/>
          <w:szCs w:val="22"/>
          <w:rtl/>
        </w:rPr>
        <w:t>و</w:t>
      </w:r>
      <w:r w:rsidRPr="008A2276">
        <w:rPr>
          <w:rFonts w:ascii="Dubai" w:hAnsi="Dubai" w:cs="Dubai" w:hint="default"/>
          <w:bCs/>
          <w:sz w:val="22"/>
          <w:szCs w:val="22"/>
        </w:rPr>
        <w:t>ITU-T Q.5015</w:t>
      </w:r>
      <w:r w:rsidRPr="008A2276">
        <w:rPr>
          <w:rFonts w:ascii="Dubai" w:hAnsi="Dubai" w:cs="Dubai" w:hint="default"/>
          <w:bCs/>
          <w:sz w:val="22"/>
          <w:szCs w:val="22"/>
          <w:rtl/>
        </w:rPr>
        <w:t xml:space="preserve"> (Q.cco-mec سابقاً)</w:t>
      </w:r>
    </w:p>
    <w:tbl>
      <w:tblPr>
        <w:bidiVisual/>
        <w:tblW w:w="9957" w:type="dxa"/>
        <w:tblInd w:w="-176" w:type="dxa"/>
        <w:tblLayout w:type="fixed"/>
        <w:tblLook w:val="04A0" w:firstRow="1" w:lastRow="0" w:firstColumn="1" w:lastColumn="0" w:noHBand="0" w:noVBand="1"/>
      </w:tblPr>
      <w:tblGrid>
        <w:gridCol w:w="1877"/>
        <w:gridCol w:w="3686"/>
        <w:gridCol w:w="1559"/>
        <w:gridCol w:w="2835"/>
      </w:tblGrid>
      <w:tr w:rsidR="00D825B3" w:rsidRPr="008A2276" w14:paraId="12EAE51C" w14:textId="77777777" w:rsidTr="00224088">
        <w:trPr>
          <w:trHeight w:val="714"/>
        </w:trPr>
        <w:tc>
          <w:tcPr>
            <w:tcW w:w="1877" w:type="dxa"/>
          </w:tcPr>
          <w:p w14:paraId="18717F68" w14:textId="77777777" w:rsidR="00D825B3" w:rsidRPr="008A2276" w:rsidRDefault="00D825B3" w:rsidP="00066EAD">
            <w:pPr>
              <w:jc w:val="right"/>
              <w:textDirection w:val="tbRlV"/>
              <w:rPr>
                <w:lang w:val="ar-SA" w:eastAsia="zh-TW" w:bidi="en-GB"/>
              </w:rPr>
            </w:pPr>
            <w:r w:rsidRPr="008A2276">
              <w:rPr>
                <w:b/>
                <w:bCs/>
                <w:color w:val="000000"/>
                <w:rtl/>
              </w:rPr>
              <w:t>إلى</w:t>
            </w:r>
            <w:r w:rsidRPr="008A2276">
              <w:rPr>
                <w:color w:val="000000"/>
                <w:rtl/>
              </w:rPr>
              <w:t>:</w:t>
            </w:r>
          </w:p>
        </w:tc>
        <w:tc>
          <w:tcPr>
            <w:tcW w:w="3686" w:type="dxa"/>
          </w:tcPr>
          <w:p w14:paraId="78AC682B" w14:textId="749A05B9" w:rsidR="00D825B3" w:rsidRPr="007B167B" w:rsidRDefault="00D825B3" w:rsidP="00D825B3">
            <w:pPr>
              <w:jc w:val="left"/>
              <w:textDirection w:val="tbRlV"/>
              <w:rPr>
                <w:lang w:val="en-GB" w:eastAsia="zh-TW" w:bidi="en-GB"/>
              </w:rPr>
            </w:pPr>
            <w:r w:rsidRPr="008A2276">
              <w:rPr>
                <w:color w:val="000000"/>
                <w:rtl/>
              </w:rPr>
              <w:t>مدير مكتب تقييس الاتصالات،</w:t>
            </w:r>
            <w:r>
              <w:rPr>
                <w:color w:val="000000"/>
              </w:rPr>
              <w:br/>
            </w:r>
            <w:r w:rsidRPr="008A2276">
              <w:rPr>
                <w:color w:val="000000"/>
                <w:rtl/>
              </w:rPr>
              <w:t>الاتحاد الدولي للاتصالات</w:t>
            </w:r>
            <w:r>
              <w:rPr>
                <w:color w:val="000000"/>
              </w:rPr>
              <w:br/>
            </w:r>
            <w:r w:rsidRPr="008A2276">
              <w:rPr>
                <w:color w:val="000000"/>
              </w:rPr>
              <w:t>Place des Nations</w:t>
            </w:r>
            <w:r>
              <w:rPr>
                <w:color w:val="000000"/>
              </w:rPr>
              <w:br/>
            </w:r>
            <w:r w:rsidRPr="008A2276">
              <w:rPr>
                <w:color w:val="000000"/>
              </w:rPr>
              <w:t>CH-1211 Geneva 20, Switzerland</w:t>
            </w:r>
          </w:p>
        </w:tc>
        <w:tc>
          <w:tcPr>
            <w:tcW w:w="1559" w:type="dxa"/>
          </w:tcPr>
          <w:p w14:paraId="09252FDD" w14:textId="77777777" w:rsidR="00D825B3" w:rsidRPr="008A2276" w:rsidRDefault="00D825B3" w:rsidP="00066EAD">
            <w:pPr>
              <w:jc w:val="right"/>
              <w:textDirection w:val="tbRlV"/>
              <w:rPr>
                <w:lang w:val="ar-SA" w:eastAsia="zh-TW" w:bidi="en-GB"/>
              </w:rPr>
            </w:pPr>
            <w:r w:rsidRPr="008A2276">
              <w:rPr>
                <w:b/>
                <w:bCs/>
                <w:color w:val="000000"/>
                <w:rtl/>
              </w:rPr>
              <w:t>من</w:t>
            </w:r>
            <w:r w:rsidRPr="008A2276">
              <w:rPr>
                <w:color w:val="000000"/>
                <w:rtl/>
              </w:rPr>
              <w:t>:</w:t>
            </w:r>
          </w:p>
        </w:tc>
        <w:tc>
          <w:tcPr>
            <w:tcW w:w="2835" w:type="dxa"/>
          </w:tcPr>
          <w:p w14:paraId="4BE45DAF" w14:textId="04490A2A" w:rsidR="00D825B3" w:rsidRPr="008A2276" w:rsidRDefault="00D825B3" w:rsidP="00224088">
            <w:pPr>
              <w:jc w:val="left"/>
              <w:textDirection w:val="tbRlV"/>
              <w:rPr>
                <w:lang w:val="ar-SA" w:eastAsia="zh-TW" w:bidi="en-GB"/>
              </w:rPr>
            </w:pPr>
            <w:r w:rsidRPr="008A2276">
              <w:rPr>
                <w:color w:val="000000"/>
                <w:highlight w:val="green"/>
                <w:rtl/>
              </w:rPr>
              <w:t>[الاسم]</w:t>
            </w:r>
            <w:r w:rsidR="00D30D17">
              <w:rPr>
                <w:color w:val="000000"/>
                <w:highlight w:val="green"/>
              </w:rPr>
              <w:br/>
            </w:r>
            <w:r w:rsidRPr="008A2276">
              <w:rPr>
                <w:color w:val="000000"/>
                <w:highlight w:val="green"/>
                <w:rtl/>
              </w:rPr>
              <w:t>[الدور/اللقب الرسمي]</w:t>
            </w:r>
            <w:r w:rsidR="00D30D17">
              <w:rPr>
                <w:color w:val="000000"/>
                <w:highlight w:val="green"/>
              </w:rPr>
              <w:br/>
            </w:r>
            <w:r w:rsidRPr="008A2276">
              <w:rPr>
                <w:color w:val="000000"/>
                <w:highlight w:val="green"/>
                <w:rtl/>
              </w:rPr>
              <w:t>[العنوان]</w:t>
            </w:r>
          </w:p>
        </w:tc>
      </w:tr>
      <w:tr w:rsidR="00D825B3" w:rsidRPr="008A2276" w14:paraId="630A2C48" w14:textId="77777777" w:rsidTr="00D825B3">
        <w:tc>
          <w:tcPr>
            <w:tcW w:w="1877" w:type="dxa"/>
          </w:tcPr>
          <w:p w14:paraId="5864112D" w14:textId="77777777" w:rsidR="00D825B3" w:rsidRPr="008A2276" w:rsidRDefault="00D825B3" w:rsidP="00066EAD">
            <w:pPr>
              <w:spacing w:before="0"/>
              <w:jc w:val="right"/>
              <w:textDirection w:val="tbRlV"/>
              <w:rPr>
                <w:lang w:val="ar-SA" w:eastAsia="zh-TW" w:bidi="en-GB"/>
              </w:rPr>
            </w:pPr>
            <w:r w:rsidRPr="008A2276">
              <w:rPr>
                <w:b/>
                <w:bCs/>
                <w:color w:val="000000"/>
                <w:rtl/>
              </w:rPr>
              <w:t>الفاكس</w:t>
            </w:r>
            <w:r w:rsidRPr="008A2276">
              <w:rPr>
                <w:color w:val="000000"/>
                <w:rtl/>
              </w:rPr>
              <w:t>:</w:t>
            </w:r>
          </w:p>
        </w:tc>
        <w:tc>
          <w:tcPr>
            <w:tcW w:w="3686" w:type="dxa"/>
          </w:tcPr>
          <w:p w14:paraId="11F3D96C" w14:textId="0117B019" w:rsidR="00D825B3" w:rsidRPr="008A2276" w:rsidRDefault="003271CD" w:rsidP="00066EAD">
            <w:pPr>
              <w:spacing w:before="0"/>
              <w:textDirection w:val="tbRlV"/>
              <w:rPr>
                <w:lang w:val="ar-SA" w:eastAsia="zh-TW" w:bidi="en-GB"/>
              </w:rPr>
            </w:pPr>
            <w:r>
              <w:rPr>
                <w:color w:val="000000"/>
              </w:rPr>
              <w:t>+41-22-730-5853</w:t>
            </w:r>
          </w:p>
        </w:tc>
        <w:tc>
          <w:tcPr>
            <w:tcW w:w="1559" w:type="dxa"/>
          </w:tcPr>
          <w:p w14:paraId="52E8B131" w14:textId="77777777" w:rsidR="00D825B3" w:rsidRPr="008A2276" w:rsidRDefault="00D825B3" w:rsidP="00066EAD">
            <w:pPr>
              <w:spacing w:before="0"/>
              <w:jc w:val="right"/>
              <w:textDirection w:val="tbRlV"/>
              <w:rPr>
                <w:lang w:val="ar-SA" w:eastAsia="zh-TW" w:bidi="en-GB"/>
              </w:rPr>
            </w:pPr>
            <w:r w:rsidRPr="008A2276">
              <w:rPr>
                <w:b/>
                <w:bCs/>
                <w:color w:val="000000"/>
                <w:rtl/>
              </w:rPr>
              <w:t>الفاكس</w:t>
            </w:r>
            <w:r w:rsidRPr="008A2276">
              <w:rPr>
                <w:color w:val="000000"/>
                <w:rtl/>
              </w:rPr>
              <w:t>:</w:t>
            </w:r>
          </w:p>
        </w:tc>
        <w:tc>
          <w:tcPr>
            <w:tcW w:w="2835" w:type="dxa"/>
          </w:tcPr>
          <w:p w14:paraId="43E27E0A" w14:textId="77777777" w:rsidR="00D825B3" w:rsidRPr="008A2276" w:rsidRDefault="00D825B3" w:rsidP="00066EAD">
            <w:pPr>
              <w:spacing w:before="0"/>
            </w:pPr>
          </w:p>
        </w:tc>
      </w:tr>
      <w:tr w:rsidR="00D825B3" w:rsidRPr="008A2276" w14:paraId="7664A52C" w14:textId="77777777" w:rsidTr="00D825B3">
        <w:tc>
          <w:tcPr>
            <w:tcW w:w="1877" w:type="dxa"/>
          </w:tcPr>
          <w:p w14:paraId="1851C084" w14:textId="77777777" w:rsidR="00D825B3" w:rsidRPr="008A2276" w:rsidRDefault="00D825B3" w:rsidP="00066EAD">
            <w:pPr>
              <w:spacing w:before="0"/>
              <w:jc w:val="right"/>
              <w:textDirection w:val="tbRlV"/>
              <w:rPr>
                <w:b/>
                <w:bCs/>
                <w:lang w:val="ar-SA" w:eastAsia="zh-TW" w:bidi="en-GB"/>
              </w:rPr>
            </w:pPr>
            <w:r w:rsidRPr="008A2276">
              <w:rPr>
                <w:b/>
                <w:bCs/>
                <w:color w:val="000000"/>
                <w:rtl/>
              </w:rPr>
              <w:t>البريد الإلكتروني:</w:t>
            </w:r>
          </w:p>
        </w:tc>
        <w:tc>
          <w:tcPr>
            <w:tcW w:w="3686" w:type="dxa"/>
          </w:tcPr>
          <w:p w14:paraId="1353532F" w14:textId="04CB6376" w:rsidR="00D825B3" w:rsidRPr="008A2276" w:rsidRDefault="003271CD" w:rsidP="00066EAD">
            <w:pPr>
              <w:spacing w:before="0"/>
              <w:textDirection w:val="tbRlV"/>
              <w:rPr>
                <w:lang w:val="ar-SA" w:eastAsia="zh-TW" w:bidi="en-GB"/>
              </w:rPr>
            </w:pPr>
            <w:hyperlink r:id="rId21" w:history="1">
              <w:r w:rsidRPr="00397BE5">
                <w:rPr>
                  <w:rStyle w:val="Hyperlink"/>
                  <w:rtl/>
                </w:rPr>
                <w:t>tsbdir@itu.int</w:t>
              </w:r>
            </w:hyperlink>
          </w:p>
        </w:tc>
        <w:tc>
          <w:tcPr>
            <w:tcW w:w="1559" w:type="dxa"/>
          </w:tcPr>
          <w:p w14:paraId="7EAAF3A2" w14:textId="77777777" w:rsidR="00D825B3" w:rsidRPr="008A2276" w:rsidRDefault="00D825B3" w:rsidP="00066EAD">
            <w:pPr>
              <w:spacing w:before="0"/>
              <w:jc w:val="right"/>
              <w:textDirection w:val="tbRlV"/>
              <w:rPr>
                <w:b/>
                <w:bCs/>
                <w:lang w:val="ar-SA" w:eastAsia="zh-TW" w:bidi="en-GB"/>
              </w:rPr>
            </w:pPr>
            <w:r w:rsidRPr="008A2276">
              <w:rPr>
                <w:b/>
                <w:bCs/>
                <w:color w:val="000000"/>
                <w:rtl/>
              </w:rPr>
              <w:t>البريد الإلكتروني:</w:t>
            </w:r>
          </w:p>
        </w:tc>
        <w:tc>
          <w:tcPr>
            <w:tcW w:w="2835" w:type="dxa"/>
          </w:tcPr>
          <w:p w14:paraId="7F518B94" w14:textId="77777777" w:rsidR="00D825B3" w:rsidRPr="008A2276" w:rsidRDefault="00D825B3" w:rsidP="00066EAD">
            <w:pPr>
              <w:spacing w:before="0"/>
            </w:pPr>
          </w:p>
        </w:tc>
      </w:tr>
      <w:tr w:rsidR="00D825B3" w:rsidRPr="008A2276" w14:paraId="10882FE7" w14:textId="77777777" w:rsidTr="00D825B3">
        <w:tc>
          <w:tcPr>
            <w:tcW w:w="1877" w:type="dxa"/>
          </w:tcPr>
          <w:p w14:paraId="0E21854B" w14:textId="77777777" w:rsidR="00D825B3" w:rsidRPr="008A2276" w:rsidRDefault="00D825B3" w:rsidP="00066EAD">
            <w:pPr>
              <w:spacing w:before="0"/>
              <w:jc w:val="right"/>
            </w:pPr>
          </w:p>
        </w:tc>
        <w:tc>
          <w:tcPr>
            <w:tcW w:w="3686" w:type="dxa"/>
          </w:tcPr>
          <w:p w14:paraId="37034EE9" w14:textId="77777777" w:rsidR="00D825B3" w:rsidRPr="008A2276" w:rsidRDefault="00D825B3" w:rsidP="00066EAD">
            <w:pPr>
              <w:spacing w:before="0"/>
            </w:pPr>
          </w:p>
        </w:tc>
        <w:tc>
          <w:tcPr>
            <w:tcW w:w="1559" w:type="dxa"/>
          </w:tcPr>
          <w:p w14:paraId="14F7111F" w14:textId="77777777" w:rsidR="00D825B3" w:rsidRPr="008A2276" w:rsidRDefault="00D825B3" w:rsidP="00066EAD">
            <w:pPr>
              <w:spacing w:before="0"/>
              <w:jc w:val="right"/>
              <w:textDirection w:val="tbRlV"/>
              <w:rPr>
                <w:lang w:val="ar-SA" w:eastAsia="zh-TW" w:bidi="en-GB"/>
              </w:rPr>
            </w:pPr>
            <w:r w:rsidRPr="008A2276">
              <w:rPr>
                <w:b/>
                <w:bCs/>
                <w:color w:val="000000"/>
                <w:rtl/>
              </w:rPr>
              <w:t>التاريخ</w:t>
            </w:r>
            <w:r w:rsidRPr="008A2276">
              <w:rPr>
                <w:color w:val="000000"/>
                <w:rtl/>
              </w:rPr>
              <w:t>:</w:t>
            </w:r>
          </w:p>
        </w:tc>
        <w:tc>
          <w:tcPr>
            <w:tcW w:w="2835" w:type="dxa"/>
          </w:tcPr>
          <w:p w14:paraId="655888E2" w14:textId="77777777" w:rsidR="00D825B3" w:rsidRPr="008A2276" w:rsidRDefault="00D825B3" w:rsidP="00066EAD">
            <w:pPr>
              <w:spacing w:before="0"/>
              <w:textDirection w:val="tbRlV"/>
              <w:rPr>
                <w:lang w:val="ar-SA" w:eastAsia="zh-TW" w:bidi="en-GB"/>
              </w:rPr>
            </w:pPr>
            <w:r w:rsidRPr="008A2276">
              <w:rPr>
                <w:color w:val="000000"/>
                <w:highlight w:val="green"/>
                <w:rtl/>
              </w:rPr>
              <w:t>[المكان،] [التاريخ]</w:t>
            </w:r>
          </w:p>
        </w:tc>
      </w:tr>
    </w:tbl>
    <w:p w14:paraId="46A041DB" w14:textId="77777777" w:rsidR="005556C9" w:rsidRDefault="005556C9" w:rsidP="005556C9">
      <w:pPr>
        <w:spacing w:before="360"/>
        <w:textDirection w:val="tbRlV"/>
        <w:rPr>
          <w:rtl/>
        </w:rPr>
      </w:pPr>
      <w:r w:rsidRPr="008A2276">
        <w:rPr>
          <w:rtl/>
        </w:rPr>
        <w:t>حضرات السادة والسيدات،</w:t>
      </w:r>
    </w:p>
    <w:p w14:paraId="0D0B3F1C" w14:textId="77777777" w:rsidR="005556C9" w:rsidRPr="008A2276" w:rsidRDefault="005556C9" w:rsidP="003271CD">
      <w:pPr>
        <w:rPr>
          <w:lang w:val="ar-SA" w:eastAsia="zh-TW" w:bidi="en-GB"/>
        </w:rPr>
      </w:pPr>
      <w:r w:rsidRPr="008A2276">
        <w:rPr>
          <w:rtl/>
        </w:rPr>
        <w:t>تحية طيبة وبعد،</w:t>
      </w:r>
    </w:p>
    <w:p w14:paraId="0380D2C4" w14:textId="77777777" w:rsidR="005556C9" w:rsidRPr="008A2276" w:rsidRDefault="005556C9" w:rsidP="005556C9">
      <w:pPr>
        <w:textDirection w:val="tbRlV"/>
        <w:rPr>
          <w:lang w:val="ar-SA" w:eastAsia="zh-TW" w:bidi="en-GB"/>
        </w:rPr>
      </w:pPr>
      <w:r w:rsidRPr="008A2276">
        <w:rPr>
          <w:rtl/>
        </w:rPr>
        <w:t>فيما يخص مشاورة الدول الأعضاء بشأن مشروعي النصين المحددين المشار إليهما في الرسالة المعممة 94 من مكتب تقييس الاتصالات، أود أن أطلعكم على رأي هذه الإدارة المبين في الجدول أدناه.</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9"/>
        <w:gridCol w:w="7580"/>
      </w:tblGrid>
      <w:tr w:rsidR="005556C9" w:rsidRPr="00826000" w14:paraId="6A832237" w14:textId="77777777" w:rsidTr="003E537E">
        <w:trPr>
          <w:tblHeader/>
          <w:jc w:val="center"/>
        </w:trPr>
        <w:tc>
          <w:tcPr>
            <w:tcW w:w="2067" w:type="dxa"/>
            <w:vAlign w:val="center"/>
          </w:tcPr>
          <w:p w14:paraId="00226886" w14:textId="77777777" w:rsidR="005556C9" w:rsidRPr="00826000" w:rsidRDefault="005556C9" w:rsidP="003E537E">
            <w:pPr>
              <w:keepLines/>
              <w:jc w:val="center"/>
              <w:rPr>
                <w:b/>
                <w:bCs/>
              </w:rPr>
            </w:pPr>
          </w:p>
        </w:tc>
        <w:tc>
          <w:tcPr>
            <w:tcW w:w="7652" w:type="dxa"/>
            <w:vAlign w:val="center"/>
          </w:tcPr>
          <w:p w14:paraId="43107C73" w14:textId="77777777" w:rsidR="005556C9" w:rsidRPr="00826000" w:rsidRDefault="005556C9" w:rsidP="003E537E">
            <w:pPr>
              <w:keepLines/>
              <w:tabs>
                <w:tab w:val="clear" w:pos="794"/>
              </w:tabs>
              <w:ind w:left="939" w:hanging="459"/>
              <w:jc w:val="center"/>
              <w:textDirection w:val="tbRlV"/>
              <w:rPr>
                <w:b/>
                <w:bCs/>
                <w:lang w:val="ar-SA" w:eastAsia="zh-TW" w:bidi="en-GB"/>
              </w:rPr>
            </w:pPr>
            <w:r w:rsidRPr="00826000">
              <w:rPr>
                <w:b/>
                <w:bCs/>
                <w:color w:val="000000"/>
                <w:rtl/>
              </w:rPr>
              <w:t>يُرجى اختيار أحد المربعين فيما يتعلق بكل نص</w:t>
            </w:r>
          </w:p>
        </w:tc>
      </w:tr>
      <w:tr w:rsidR="005556C9" w:rsidRPr="00826000" w14:paraId="78A9BA60" w14:textId="77777777" w:rsidTr="003E537E">
        <w:trPr>
          <w:jc w:val="center"/>
        </w:trPr>
        <w:tc>
          <w:tcPr>
            <w:tcW w:w="2067" w:type="dxa"/>
            <w:vMerge w:val="restart"/>
            <w:vAlign w:val="center"/>
          </w:tcPr>
          <w:p w14:paraId="43C4896C" w14:textId="5DA553DF" w:rsidR="005556C9" w:rsidRPr="00826000" w:rsidRDefault="005556C9" w:rsidP="003E537E">
            <w:pPr>
              <w:keepLines/>
              <w:spacing w:before="60" w:after="60"/>
              <w:jc w:val="center"/>
              <w:textDirection w:val="tbRlV"/>
              <w:rPr>
                <w:b/>
                <w:bCs/>
                <w:color w:val="000000"/>
                <w:spacing w:val="-4"/>
              </w:rPr>
            </w:pPr>
            <w:r w:rsidRPr="00826000">
              <w:rPr>
                <w:b/>
                <w:bCs/>
                <w:color w:val="000000"/>
                <w:rtl/>
              </w:rPr>
              <w:t>مشروع التوصية الجديدة</w:t>
            </w:r>
            <w:r w:rsidR="00242387" w:rsidRPr="00826000">
              <w:rPr>
                <w:b/>
                <w:bCs/>
                <w:color w:val="000000"/>
                <w:rtl/>
              </w:rPr>
              <w:br/>
              <w:t>ITU-T Q.5036</w:t>
            </w:r>
            <w:r w:rsidR="003E537E" w:rsidRPr="00826000">
              <w:rPr>
                <w:b/>
                <w:bCs/>
                <w:color w:val="000000"/>
              </w:rPr>
              <w:br/>
            </w:r>
            <w:r w:rsidRPr="00826000">
              <w:rPr>
                <w:b/>
                <w:bCs/>
                <w:color w:val="000000"/>
                <w:spacing w:val="-4"/>
                <w:rtl/>
              </w:rPr>
              <w:t>(Q.IEC-PDMF سابقاً</w:t>
            </w:r>
            <w:r w:rsidR="00242387" w:rsidRPr="00826000">
              <w:rPr>
                <w:rFonts w:hint="cs"/>
                <w:b/>
                <w:bCs/>
                <w:color w:val="000000"/>
                <w:spacing w:val="-4"/>
                <w:rtl/>
              </w:rPr>
              <w:t>)</w:t>
            </w:r>
          </w:p>
        </w:tc>
        <w:tc>
          <w:tcPr>
            <w:tcW w:w="7652" w:type="dxa"/>
            <w:vAlign w:val="center"/>
          </w:tcPr>
          <w:p w14:paraId="65D8CE39" w14:textId="64294AC7" w:rsidR="005556C9" w:rsidRPr="00826000" w:rsidRDefault="005768E0" w:rsidP="00033456">
            <w:pPr>
              <w:keepLines/>
              <w:tabs>
                <w:tab w:val="clear" w:pos="794"/>
              </w:tabs>
              <w:spacing w:before="60" w:after="60"/>
              <w:ind w:left="397" w:hanging="397"/>
              <w:textDirection w:val="tbRlV"/>
              <w:rPr>
                <w:lang w:val="ar-SA" w:eastAsia="zh-TW" w:bidi="en-GB"/>
              </w:rPr>
            </w:pPr>
            <w:sdt>
              <w:sdtPr>
                <w:rPr>
                  <w:color w:val="000000"/>
                  <w:rtl/>
                </w:rPr>
                <w:id w:val="-1363359778"/>
                <w14:checkbox>
                  <w14:checked w14:val="0"/>
                  <w14:checkedState w14:val="0052" w14:font="Wingdings 2"/>
                  <w14:uncheckedState w14:val="2610" w14:font="MS Gothic"/>
                </w14:checkbox>
              </w:sdtPr>
              <w:sdtEndPr/>
              <w:sdtContent>
                <w:r w:rsidR="004F3EC5">
                  <w:rPr>
                    <w:rFonts w:ascii="MS Gothic" w:eastAsia="MS Gothic" w:hAnsi="MS Gothic" w:hint="eastAsia"/>
                    <w:color w:val="000000"/>
                    <w:rtl/>
                  </w:rPr>
                  <w:t>☐</w:t>
                </w:r>
              </w:sdtContent>
            </w:sdt>
            <w:r w:rsidR="005556C9" w:rsidRPr="00826000">
              <w:rPr>
                <w:color w:val="000000"/>
                <w:rtl/>
              </w:rPr>
              <w:tab/>
            </w:r>
            <w:r w:rsidR="005556C9" w:rsidRPr="00826000">
              <w:rPr>
                <w:b/>
                <w:bCs/>
                <w:color w:val="000000"/>
                <w:rtl/>
              </w:rPr>
              <w:t xml:space="preserve">تفوض </w:t>
            </w:r>
            <w:r w:rsidR="005556C9" w:rsidRPr="00826000">
              <w:rPr>
                <w:color w:val="000000"/>
                <w:rtl/>
              </w:rPr>
              <w:t xml:space="preserve">لجنة الدراسات 11 </w:t>
            </w:r>
            <w:r w:rsidR="005556C9" w:rsidRPr="00826000">
              <w:rPr>
                <w:b/>
                <w:bCs/>
                <w:color w:val="000000"/>
                <w:rtl/>
              </w:rPr>
              <w:t>سلطة النظر</w:t>
            </w:r>
            <w:r w:rsidR="005556C9" w:rsidRPr="00826000">
              <w:rPr>
                <w:color w:val="000000"/>
                <w:rtl/>
              </w:rPr>
              <w:t xml:space="preserve"> في هذا النص بغرض الموافقة عليه</w:t>
            </w:r>
            <w:r w:rsidR="00033456">
              <w:rPr>
                <w:color w:val="000000"/>
                <w:rtl/>
              </w:rPr>
              <w:tab/>
            </w:r>
            <w:r w:rsidR="00033456">
              <w:rPr>
                <w:color w:val="000000"/>
                <w:rtl/>
              </w:rPr>
              <w:br/>
            </w:r>
            <w:r w:rsidR="005556C9" w:rsidRPr="00826000">
              <w:rPr>
                <w:color w:val="000000"/>
                <w:rtl/>
              </w:rPr>
              <w:t>(وفي هذه الحالة، تحديد أحد الخيارين):</w:t>
            </w:r>
          </w:p>
          <w:p w14:paraId="496C4051" w14:textId="2D0BBDB2" w:rsidR="005556C9" w:rsidRPr="00826000" w:rsidRDefault="005768E0" w:rsidP="00033456">
            <w:pPr>
              <w:keepLines/>
              <w:tabs>
                <w:tab w:val="clear" w:pos="794"/>
              </w:tabs>
              <w:spacing w:before="60" w:after="60"/>
              <w:ind w:left="725" w:hanging="328"/>
              <w:textDirection w:val="tbRlV"/>
              <w:rPr>
                <w:lang w:val="ar-SA" w:eastAsia="zh-TW" w:bidi="en-GB"/>
              </w:rPr>
            </w:pPr>
            <w:sdt>
              <w:sdtPr>
                <w:rPr>
                  <w:color w:val="000000"/>
                  <w:rtl/>
                </w:rPr>
                <w:id w:val="-1497334445"/>
                <w14:checkbox>
                  <w14:checked w14:val="0"/>
                  <w14:checkedState w14:val="0052" w14:font="Wingdings 2"/>
                  <w14:uncheckedState w14:val="2610" w14:font="MS Gothic"/>
                </w14:checkbox>
              </w:sdtPr>
              <w:sdtEndPr/>
              <w:sdtContent>
                <w:r w:rsidR="004F3EC5">
                  <w:rPr>
                    <w:rFonts w:ascii="MS Gothic" w:eastAsia="MS Gothic" w:hAnsi="MS Gothic" w:hint="eastAsia"/>
                    <w:color w:val="000000"/>
                    <w:rtl/>
                  </w:rPr>
                  <w:t>☐</w:t>
                </w:r>
              </w:sdtContent>
            </w:sdt>
            <w:r w:rsidR="005556C9" w:rsidRPr="00826000">
              <w:rPr>
                <w:color w:val="000000"/>
                <w:rtl/>
              </w:rPr>
              <w:tab/>
              <w:t>لا تعليقات أو تغييرات مقترحة</w:t>
            </w:r>
          </w:p>
          <w:p w14:paraId="58EC3492" w14:textId="62AD98E6" w:rsidR="005556C9" w:rsidRPr="00826000" w:rsidRDefault="005768E0" w:rsidP="00033456">
            <w:pPr>
              <w:keepLines/>
              <w:tabs>
                <w:tab w:val="clear" w:pos="794"/>
              </w:tabs>
              <w:spacing w:before="60" w:after="60"/>
              <w:ind w:left="725" w:hanging="328"/>
              <w:textDirection w:val="tbRlV"/>
              <w:rPr>
                <w:lang w:val="ar-SA" w:eastAsia="zh-TW" w:bidi="en-GB"/>
              </w:rPr>
            </w:pPr>
            <w:sdt>
              <w:sdtPr>
                <w:rPr>
                  <w:color w:val="000000"/>
                  <w:rtl/>
                </w:rPr>
                <w:id w:val="1895155070"/>
                <w14:checkbox>
                  <w14:checked w14:val="0"/>
                  <w14:checkedState w14:val="0052" w14:font="Wingdings 2"/>
                  <w14:uncheckedState w14:val="2610" w14:font="MS Gothic"/>
                </w14:checkbox>
              </w:sdtPr>
              <w:sdtEndPr/>
              <w:sdtContent>
                <w:r w:rsidR="004F3EC5">
                  <w:rPr>
                    <w:rFonts w:ascii="MS Gothic" w:eastAsia="MS Gothic" w:hAnsi="MS Gothic" w:hint="eastAsia"/>
                    <w:color w:val="000000"/>
                    <w:rtl/>
                  </w:rPr>
                  <w:t>☐</w:t>
                </w:r>
              </w:sdtContent>
            </w:sdt>
            <w:r w:rsidR="005556C9" w:rsidRPr="00826000">
              <w:rPr>
                <w:color w:val="000000"/>
                <w:rtl/>
              </w:rPr>
              <w:tab/>
              <w:t>التعليقات والتغييرات المقترحة مرفَقة بالطي</w:t>
            </w:r>
          </w:p>
        </w:tc>
      </w:tr>
      <w:tr w:rsidR="005556C9" w:rsidRPr="00826000" w14:paraId="6F79F847" w14:textId="77777777" w:rsidTr="003E537E">
        <w:trPr>
          <w:jc w:val="center"/>
        </w:trPr>
        <w:tc>
          <w:tcPr>
            <w:tcW w:w="2067" w:type="dxa"/>
            <w:vMerge/>
            <w:vAlign w:val="center"/>
          </w:tcPr>
          <w:p w14:paraId="225FDFF3" w14:textId="77777777" w:rsidR="005556C9" w:rsidRPr="00826000" w:rsidRDefault="005556C9" w:rsidP="003E537E">
            <w:pPr>
              <w:keepLines/>
              <w:spacing w:before="60" w:after="60"/>
              <w:jc w:val="center"/>
              <w:rPr>
                <w:b/>
                <w:bCs/>
              </w:rPr>
            </w:pPr>
          </w:p>
        </w:tc>
        <w:tc>
          <w:tcPr>
            <w:tcW w:w="7652" w:type="dxa"/>
            <w:vAlign w:val="center"/>
          </w:tcPr>
          <w:p w14:paraId="531F367B" w14:textId="14708258" w:rsidR="005556C9" w:rsidRPr="00826000" w:rsidRDefault="005768E0" w:rsidP="00033456">
            <w:pPr>
              <w:keepLines/>
              <w:tabs>
                <w:tab w:val="clear" w:pos="794"/>
              </w:tabs>
              <w:spacing w:before="60" w:after="60"/>
              <w:ind w:left="397" w:hanging="397"/>
              <w:textDirection w:val="tbRlV"/>
              <w:rPr>
                <w:spacing w:val="-5"/>
                <w:lang w:val="ar-SA" w:eastAsia="zh-TW" w:bidi="en-GB"/>
              </w:rPr>
            </w:pPr>
            <w:sdt>
              <w:sdtPr>
                <w:rPr>
                  <w:color w:val="000000"/>
                  <w:spacing w:val="-5"/>
                  <w:rtl/>
                </w:rPr>
                <w:id w:val="-1532104757"/>
                <w14:checkbox>
                  <w14:checked w14:val="0"/>
                  <w14:checkedState w14:val="0052" w14:font="Wingdings 2"/>
                  <w14:uncheckedState w14:val="2610" w14:font="MS Gothic"/>
                </w14:checkbox>
              </w:sdtPr>
              <w:sdtEndPr/>
              <w:sdtContent>
                <w:r w:rsidR="004F3EC5">
                  <w:rPr>
                    <w:rFonts w:ascii="MS Gothic" w:eastAsia="MS Gothic" w:hAnsi="MS Gothic" w:hint="eastAsia"/>
                    <w:color w:val="000000"/>
                    <w:spacing w:val="-5"/>
                    <w:rtl/>
                  </w:rPr>
                  <w:t>☐</w:t>
                </w:r>
              </w:sdtContent>
            </w:sdt>
            <w:r w:rsidR="007E7C0A" w:rsidRPr="00826000">
              <w:rPr>
                <w:color w:val="000000"/>
                <w:spacing w:val="-5"/>
                <w:rtl/>
              </w:rPr>
              <w:tab/>
            </w:r>
            <w:r w:rsidR="005556C9" w:rsidRPr="00826000">
              <w:rPr>
                <w:b/>
                <w:bCs/>
                <w:color w:val="000000"/>
                <w:spacing w:val="-5"/>
                <w:rtl/>
              </w:rPr>
              <w:t>لا تفوض</w:t>
            </w:r>
            <w:r w:rsidR="005556C9" w:rsidRPr="00826000">
              <w:rPr>
                <w:color w:val="000000"/>
                <w:spacing w:val="-5"/>
                <w:rtl/>
              </w:rPr>
              <w:t xml:space="preserve"> لجنة الدراسات 11 </w:t>
            </w:r>
            <w:r w:rsidR="005556C9" w:rsidRPr="00826000">
              <w:rPr>
                <w:b/>
                <w:bCs/>
                <w:color w:val="000000"/>
                <w:spacing w:val="-5"/>
                <w:rtl/>
              </w:rPr>
              <w:t>سلطة النظر</w:t>
            </w:r>
            <w:r w:rsidR="005556C9" w:rsidRPr="00826000">
              <w:rPr>
                <w:color w:val="000000"/>
                <w:spacing w:val="-5"/>
                <w:rtl/>
              </w:rPr>
              <w:t xml:space="preserve"> في هذا النص بغرض الموافقة عليه (ترفَق بالطي أسباب هذا الرأي ولمحة عن التغييرات المحتملة التي من شأنها أن تمكّن من إحراز تقدم في</w:t>
            </w:r>
            <w:r w:rsidR="00D825B3" w:rsidRPr="00826000">
              <w:rPr>
                <w:rFonts w:hint="eastAsia"/>
                <w:color w:val="000000"/>
                <w:spacing w:val="-5"/>
                <w:rtl/>
                <w:lang w:bidi="ar-EG"/>
              </w:rPr>
              <w:t> </w:t>
            </w:r>
            <w:r w:rsidR="005556C9" w:rsidRPr="00826000">
              <w:rPr>
                <w:color w:val="000000"/>
                <w:spacing w:val="-5"/>
                <w:rtl/>
              </w:rPr>
              <w:t>العمل)</w:t>
            </w:r>
          </w:p>
        </w:tc>
      </w:tr>
      <w:tr w:rsidR="005556C9" w:rsidRPr="00826000" w14:paraId="558D0816" w14:textId="77777777" w:rsidTr="003E537E">
        <w:trPr>
          <w:jc w:val="center"/>
        </w:trPr>
        <w:tc>
          <w:tcPr>
            <w:tcW w:w="2067" w:type="dxa"/>
            <w:vMerge w:val="restart"/>
            <w:vAlign w:val="center"/>
          </w:tcPr>
          <w:p w14:paraId="3536B5B4" w14:textId="691F46B3" w:rsidR="005556C9" w:rsidRPr="00826000" w:rsidRDefault="005556C9" w:rsidP="003E537E">
            <w:pPr>
              <w:keepLines/>
              <w:spacing w:before="60" w:after="60"/>
              <w:jc w:val="center"/>
              <w:textDirection w:val="tbRlV"/>
              <w:rPr>
                <w:b/>
                <w:bCs/>
                <w:lang w:val="ar-SA" w:eastAsia="zh-TW" w:bidi="en-GB"/>
              </w:rPr>
            </w:pPr>
            <w:r w:rsidRPr="00826000">
              <w:rPr>
                <w:b/>
                <w:bCs/>
                <w:color w:val="000000"/>
                <w:rtl/>
              </w:rPr>
              <w:t>مشروع التوصية الجديدة</w:t>
            </w:r>
            <w:r w:rsidR="00242387" w:rsidRPr="00826000">
              <w:rPr>
                <w:b/>
                <w:bCs/>
                <w:color w:val="000000"/>
                <w:rtl/>
              </w:rPr>
              <w:br/>
            </w:r>
            <w:r w:rsidRPr="00826000">
              <w:rPr>
                <w:b/>
                <w:bCs/>
                <w:color w:val="000000"/>
                <w:rtl/>
              </w:rPr>
              <w:t>ITU-T Q.5015</w:t>
            </w:r>
            <w:r w:rsidR="003E537E" w:rsidRPr="00826000">
              <w:rPr>
                <w:b/>
                <w:bCs/>
                <w:color w:val="000000"/>
              </w:rPr>
              <w:br/>
            </w:r>
            <w:r w:rsidRPr="00826000">
              <w:rPr>
                <w:b/>
                <w:bCs/>
                <w:color w:val="000000"/>
                <w:rtl/>
              </w:rPr>
              <w:t>(Q.cco-mec سابقاً</w:t>
            </w:r>
            <w:r w:rsidR="00242387" w:rsidRPr="00826000">
              <w:rPr>
                <w:rFonts w:hint="cs"/>
                <w:b/>
                <w:bCs/>
                <w:color w:val="000000"/>
                <w:rtl/>
              </w:rPr>
              <w:t>)</w:t>
            </w:r>
          </w:p>
        </w:tc>
        <w:tc>
          <w:tcPr>
            <w:tcW w:w="7652" w:type="dxa"/>
            <w:vAlign w:val="center"/>
          </w:tcPr>
          <w:p w14:paraId="0EE58240" w14:textId="2A93E190" w:rsidR="005556C9" w:rsidRPr="00826000" w:rsidRDefault="005768E0" w:rsidP="00033456">
            <w:pPr>
              <w:keepLines/>
              <w:tabs>
                <w:tab w:val="clear" w:pos="794"/>
              </w:tabs>
              <w:spacing w:before="60" w:after="60"/>
              <w:ind w:left="397" w:hanging="397"/>
              <w:textDirection w:val="tbRlV"/>
              <w:rPr>
                <w:lang w:val="ar-SA" w:eastAsia="zh-TW" w:bidi="en-GB"/>
              </w:rPr>
            </w:pPr>
            <w:sdt>
              <w:sdtPr>
                <w:rPr>
                  <w:color w:val="000000"/>
                  <w:rtl/>
                </w:rPr>
                <w:id w:val="-1227674161"/>
                <w14:checkbox>
                  <w14:checked w14:val="0"/>
                  <w14:checkedState w14:val="0052" w14:font="Wingdings 2"/>
                  <w14:uncheckedState w14:val="2610" w14:font="MS Gothic"/>
                </w14:checkbox>
              </w:sdtPr>
              <w:sdtEndPr/>
              <w:sdtContent>
                <w:r w:rsidR="004F3EC5">
                  <w:rPr>
                    <w:rFonts w:ascii="MS Gothic" w:eastAsia="MS Gothic" w:hAnsi="MS Gothic" w:hint="eastAsia"/>
                    <w:color w:val="000000"/>
                    <w:rtl/>
                  </w:rPr>
                  <w:t>☐</w:t>
                </w:r>
              </w:sdtContent>
            </w:sdt>
            <w:r w:rsidR="005556C9" w:rsidRPr="00826000">
              <w:rPr>
                <w:color w:val="000000"/>
                <w:rtl/>
              </w:rPr>
              <w:tab/>
            </w:r>
            <w:r w:rsidR="005556C9" w:rsidRPr="00826000">
              <w:rPr>
                <w:b/>
                <w:bCs/>
                <w:color w:val="000000"/>
                <w:rtl/>
              </w:rPr>
              <w:t xml:space="preserve">تفوض </w:t>
            </w:r>
            <w:r w:rsidR="005556C9" w:rsidRPr="00826000">
              <w:rPr>
                <w:color w:val="000000"/>
                <w:rtl/>
              </w:rPr>
              <w:t xml:space="preserve">لجنة الدراسات 11 </w:t>
            </w:r>
            <w:r w:rsidR="005556C9" w:rsidRPr="00826000">
              <w:rPr>
                <w:b/>
                <w:bCs/>
                <w:color w:val="000000"/>
                <w:rtl/>
              </w:rPr>
              <w:t>سلطة النظر</w:t>
            </w:r>
            <w:r w:rsidR="005556C9" w:rsidRPr="00826000">
              <w:rPr>
                <w:color w:val="000000"/>
                <w:rtl/>
              </w:rPr>
              <w:t xml:space="preserve"> في هذا النص بغرض الموافقة عليه </w:t>
            </w:r>
            <w:r w:rsidR="00033456">
              <w:rPr>
                <w:color w:val="000000"/>
                <w:rtl/>
              </w:rPr>
              <w:tab/>
            </w:r>
            <w:r w:rsidR="00033456">
              <w:rPr>
                <w:color w:val="000000"/>
                <w:rtl/>
              </w:rPr>
              <w:br/>
            </w:r>
            <w:r w:rsidR="005556C9" w:rsidRPr="00826000">
              <w:rPr>
                <w:color w:val="000000"/>
                <w:rtl/>
              </w:rPr>
              <w:t>(وفي هذه الحالة، تحديد أحد الخيارين):</w:t>
            </w:r>
          </w:p>
          <w:p w14:paraId="15C28C26" w14:textId="64B7CF84" w:rsidR="005556C9" w:rsidRPr="00826000" w:rsidRDefault="005768E0" w:rsidP="00033456">
            <w:pPr>
              <w:keepLines/>
              <w:tabs>
                <w:tab w:val="clear" w:pos="794"/>
              </w:tabs>
              <w:spacing w:before="60" w:after="60"/>
              <w:ind w:left="725" w:hanging="328"/>
              <w:textDirection w:val="tbRlV"/>
              <w:rPr>
                <w:lang w:val="ar-SA" w:eastAsia="zh-TW" w:bidi="en-GB"/>
              </w:rPr>
            </w:pPr>
            <w:sdt>
              <w:sdtPr>
                <w:rPr>
                  <w:color w:val="000000"/>
                  <w:rtl/>
                </w:rPr>
                <w:id w:val="-1943220240"/>
                <w14:checkbox>
                  <w14:checked w14:val="0"/>
                  <w14:checkedState w14:val="0052" w14:font="Wingdings 2"/>
                  <w14:uncheckedState w14:val="2610" w14:font="MS Gothic"/>
                </w14:checkbox>
              </w:sdtPr>
              <w:sdtEndPr/>
              <w:sdtContent>
                <w:r w:rsidR="004F3EC5">
                  <w:rPr>
                    <w:rFonts w:ascii="MS Gothic" w:eastAsia="MS Gothic" w:hAnsi="MS Gothic" w:hint="eastAsia"/>
                    <w:color w:val="000000"/>
                    <w:rtl/>
                  </w:rPr>
                  <w:t>☐</w:t>
                </w:r>
              </w:sdtContent>
            </w:sdt>
            <w:r w:rsidR="005556C9" w:rsidRPr="00826000">
              <w:rPr>
                <w:color w:val="000000"/>
                <w:rtl/>
              </w:rPr>
              <w:tab/>
              <w:t>لا تعليقات أو تغييرات مقترحة</w:t>
            </w:r>
          </w:p>
          <w:p w14:paraId="63873870" w14:textId="3696E99A" w:rsidR="005556C9" w:rsidRPr="00826000" w:rsidRDefault="005768E0" w:rsidP="00033456">
            <w:pPr>
              <w:keepLines/>
              <w:tabs>
                <w:tab w:val="clear" w:pos="794"/>
              </w:tabs>
              <w:spacing w:before="60" w:after="60"/>
              <w:ind w:left="725" w:hanging="328"/>
              <w:textDirection w:val="tbRlV"/>
              <w:rPr>
                <w:lang w:val="ar-SA" w:eastAsia="zh-TW" w:bidi="en-GB"/>
              </w:rPr>
            </w:pPr>
            <w:sdt>
              <w:sdtPr>
                <w:rPr>
                  <w:color w:val="000000"/>
                  <w:rtl/>
                </w:rPr>
                <w:id w:val="105014830"/>
                <w14:checkbox>
                  <w14:checked w14:val="0"/>
                  <w14:checkedState w14:val="0052" w14:font="Wingdings 2"/>
                  <w14:uncheckedState w14:val="2610" w14:font="MS Gothic"/>
                </w14:checkbox>
              </w:sdtPr>
              <w:sdtEndPr/>
              <w:sdtContent>
                <w:r w:rsidR="004F3EC5">
                  <w:rPr>
                    <w:rFonts w:ascii="MS Gothic" w:eastAsia="MS Gothic" w:hAnsi="MS Gothic" w:hint="eastAsia"/>
                    <w:color w:val="000000"/>
                    <w:rtl/>
                  </w:rPr>
                  <w:t>☐</w:t>
                </w:r>
              </w:sdtContent>
            </w:sdt>
            <w:r w:rsidR="005556C9" w:rsidRPr="00826000">
              <w:rPr>
                <w:color w:val="000000"/>
                <w:rtl/>
              </w:rPr>
              <w:tab/>
              <w:t>التعليقات والتغييرات المقترحة مرفَقة بالطي</w:t>
            </w:r>
          </w:p>
        </w:tc>
      </w:tr>
      <w:tr w:rsidR="005556C9" w:rsidRPr="00826000" w14:paraId="4BE14CF0" w14:textId="77777777" w:rsidTr="003E537E">
        <w:trPr>
          <w:jc w:val="center"/>
        </w:trPr>
        <w:tc>
          <w:tcPr>
            <w:tcW w:w="2067" w:type="dxa"/>
            <w:vMerge/>
            <w:vAlign w:val="center"/>
          </w:tcPr>
          <w:p w14:paraId="1E7C274F" w14:textId="77777777" w:rsidR="005556C9" w:rsidRPr="00826000" w:rsidRDefault="005556C9" w:rsidP="003E537E">
            <w:pPr>
              <w:keepLines/>
              <w:spacing w:before="60" w:after="60"/>
              <w:jc w:val="center"/>
              <w:rPr>
                <w:b/>
                <w:bCs/>
              </w:rPr>
            </w:pPr>
          </w:p>
        </w:tc>
        <w:tc>
          <w:tcPr>
            <w:tcW w:w="7652" w:type="dxa"/>
            <w:vAlign w:val="center"/>
          </w:tcPr>
          <w:p w14:paraId="1BFCCA15" w14:textId="31E3142B" w:rsidR="005556C9" w:rsidRPr="00826000" w:rsidRDefault="005768E0" w:rsidP="00033456">
            <w:pPr>
              <w:keepLines/>
              <w:tabs>
                <w:tab w:val="clear" w:pos="794"/>
              </w:tabs>
              <w:spacing w:before="60" w:after="60"/>
              <w:ind w:left="397" w:hanging="397"/>
              <w:textDirection w:val="tbRlV"/>
              <w:rPr>
                <w:spacing w:val="-5"/>
                <w:lang w:val="ar-SA" w:eastAsia="zh-TW" w:bidi="en-GB"/>
              </w:rPr>
            </w:pPr>
            <w:sdt>
              <w:sdtPr>
                <w:rPr>
                  <w:color w:val="000000"/>
                  <w:spacing w:val="-5"/>
                  <w:rtl/>
                </w:rPr>
                <w:id w:val="-1852947113"/>
                <w14:checkbox>
                  <w14:checked w14:val="0"/>
                  <w14:checkedState w14:val="0052" w14:font="Wingdings 2"/>
                  <w14:uncheckedState w14:val="2610" w14:font="MS Gothic"/>
                </w14:checkbox>
              </w:sdtPr>
              <w:sdtEndPr/>
              <w:sdtContent>
                <w:r w:rsidR="004F3EC5">
                  <w:rPr>
                    <w:rFonts w:ascii="MS Gothic" w:eastAsia="MS Gothic" w:hAnsi="MS Gothic" w:hint="eastAsia"/>
                    <w:color w:val="000000"/>
                    <w:spacing w:val="-5"/>
                    <w:rtl/>
                  </w:rPr>
                  <w:t>☐</w:t>
                </w:r>
              </w:sdtContent>
            </w:sdt>
            <w:r w:rsidR="007E7C0A" w:rsidRPr="00826000">
              <w:rPr>
                <w:color w:val="000000"/>
                <w:spacing w:val="-5"/>
                <w:rtl/>
              </w:rPr>
              <w:tab/>
            </w:r>
            <w:r w:rsidR="005556C9" w:rsidRPr="00826000">
              <w:rPr>
                <w:b/>
                <w:bCs/>
                <w:color w:val="000000"/>
                <w:spacing w:val="-5"/>
                <w:rtl/>
              </w:rPr>
              <w:t>لا تفوض</w:t>
            </w:r>
            <w:r w:rsidR="005556C9" w:rsidRPr="00826000">
              <w:rPr>
                <w:color w:val="000000"/>
                <w:spacing w:val="-5"/>
                <w:rtl/>
              </w:rPr>
              <w:t xml:space="preserve"> لجنة الدراسات 11 </w:t>
            </w:r>
            <w:r w:rsidR="005556C9" w:rsidRPr="00826000">
              <w:rPr>
                <w:b/>
                <w:bCs/>
                <w:color w:val="000000"/>
                <w:spacing w:val="-5"/>
                <w:rtl/>
              </w:rPr>
              <w:t>سلطة النظر</w:t>
            </w:r>
            <w:r w:rsidR="005556C9" w:rsidRPr="00826000">
              <w:rPr>
                <w:color w:val="000000"/>
                <w:spacing w:val="-5"/>
                <w:rtl/>
              </w:rPr>
              <w:t xml:space="preserve"> في هذا النص بغرض الموافقة عليه (ترفَق بالطي أسباب هذا الرأي ولمحة عن التغييرات المحتملة التي من شأنها أن تمكّن من إحراز تقدم في</w:t>
            </w:r>
            <w:r w:rsidR="00D825B3" w:rsidRPr="00826000">
              <w:rPr>
                <w:rFonts w:hint="cs"/>
                <w:color w:val="000000"/>
                <w:spacing w:val="-5"/>
                <w:rtl/>
              </w:rPr>
              <w:t> </w:t>
            </w:r>
            <w:r w:rsidR="005556C9" w:rsidRPr="00826000">
              <w:rPr>
                <w:color w:val="000000"/>
                <w:spacing w:val="-5"/>
                <w:rtl/>
              </w:rPr>
              <w:t>العمل)</w:t>
            </w:r>
          </w:p>
        </w:tc>
      </w:tr>
    </w:tbl>
    <w:p w14:paraId="57EA560D" w14:textId="55795E90" w:rsidR="005556C9" w:rsidRDefault="005556C9" w:rsidP="003E537E">
      <w:pPr>
        <w:keepNext/>
        <w:keepLines/>
        <w:spacing w:before="360"/>
        <w:textDirection w:val="tbRlV"/>
        <w:rPr>
          <w:rtl/>
        </w:rPr>
      </w:pPr>
      <w:r w:rsidRPr="008A2276">
        <w:rPr>
          <w:rtl/>
        </w:rPr>
        <w:t>وتفضلوا بقبول فائق التقدير والاحترام.</w:t>
      </w:r>
    </w:p>
    <w:p w14:paraId="5465A690" w14:textId="77777777" w:rsidR="005556C9" w:rsidRPr="008A2276" w:rsidRDefault="005556C9" w:rsidP="00033456">
      <w:pPr>
        <w:keepNext/>
        <w:keepLines/>
        <w:spacing w:before="600"/>
        <w:textDirection w:val="tbRlV"/>
        <w:rPr>
          <w:lang w:eastAsia="zh-TW" w:bidi="en-GB"/>
        </w:rPr>
      </w:pPr>
      <w:r w:rsidRPr="008A2276">
        <w:rPr>
          <w:highlight w:val="green"/>
          <w:rtl/>
        </w:rPr>
        <w:t>[الاسم]</w:t>
      </w:r>
    </w:p>
    <w:p w14:paraId="5AB3B4BB" w14:textId="77777777" w:rsidR="005556C9" w:rsidRDefault="005556C9" w:rsidP="005556C9">
      <w:pPr>
        <w:textDirection w:val="tbRlV"/>
        <w:rPr>
          <w:rtl/>
        </w:rPr>
      </w:pPr>
      <w:r w:rsidRPr="008A2276">
        <w:rPr>
          <w:highlight w:val="green"/>
          <w:rtl/>
        </w:rPr>
        <w:t>[الدور/اللقب الرسمي]</w:t>
      </w:r>
    </w:p>
    <w:p w14:paraId="3B2962A5" w14:textId="77777777" w:rsidR="005556C9" w:rsidRPr="008A2276" w:rsidRDefault="005556C9" w:rsidP="005556C9">
      <w:pPr>
        <w:rPr>
          <w:rtl/>
        </w:rPr>
      </w:pPr>
      <w:r w:rsidRPr="008A2276">
        <w:rPr>
          <w:rtl/>
        </w:rPr>
        <w:t xml:space="preserve">إدارة </w:t>
      </w:r>
      <w:r w:rsidRPr="008A2276">
        <w:rPr>
          <w:highlight w:val="green"/>
          <w:rtl/>
        </w:rPr>
        <w:t>[الدولة العضو]</w:t>
      </w:r>
    </w:p>
    <w:p w14:paraId="2F289B1B" w14:textId="4C61C35F" w:rsidR="00DD6915" w:rsidRDefault="00DD6915" w:rsidP="00033456">
      <w:pPr>
        <w:spacing w:before="24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DD6915" w:rsidSect="00934F31">
      <w:headerReference w:type="default" r:id="rId22"/>
      <w:footerReference w:type="first" r:id="rId23"/>
      <w:type w:val="oddPage"/>
      <w:pgSz w:w="11907" w:h="16840" w:code="9"/>
      <w:pgMar w:top="1418" w:right="1134" w:bottom="720" w:left="1134" w:header="709" w:footer="2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99723" w14:textId="77777777" w:rsidR="00AC7292" w:rsidRDefault="00AC7292" w:rsidP="006C3242">
      <w:pPr>
        <w:spacing w:before="0" w:line="240" w:lineRule="auto"/>
      </w:pPr>
      <w:r>
        <w:separator/>
      </w:r>
    </w:p>
  </w:endnote>
  <w:endnote w:type="continuationSeparator" w:id="0">
    <w:p w14:paraId="69CA8698" w14:textId="77777777" w:rsidR="00AC7292" w:rsidRDefault="00AC7292"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plified Arabic">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D5D9"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50E1F" w14:textId="77777777" w:rsidR="00AC7292" w:rsidRDefault="00AC7292" w:rsidP="006C3242">
      <w:pPr>
        <w:spacing w:before="0" w:line="240" w:lineRule="auto"/>
      </w:pPr>
      <w:r>
        <w:separator/>
      </w:r>
    </w:p>
  </w:footnote>
  <w:footnote w:type="continuationSeparator" w:id="0">
    <w:p w14:paraId="76743FB0" w14:textId="77777777" w:rsidR="00AC7292" w:rsidRDefault="00AC7292"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6A0C" w14:textId="5C634400"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5556C9">
      <w:rPr>
        <w:sz w:val="20"/>
        <w:szCs w:val="20"/>
        <w:lang w:bidi="ar-EG"/>
      </w:rPr>
      <w:t>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30"/>
    <w:rsid w:val="00002A63"/>
    <w:rsid w:val="00033456"/>
    <w:rsid w:val="0006468A"/>
    <w:rsid w:val="00090574"/>
    <w:rsid w:val="000C1C0E"/>
    <w:rsid w:val="000C548A"/>
    <w:rsid w:val="000E327F"/>
    <w:rsid w:val="0012696B"/>
    <w:rsid w:val="00146FE2"/>
    <w:rsid w:val="0015074D"/>
    <w:rsid w:val="00193F0C"/>
    <w:rsid w:val="001C0169"/>
    <w:rsid w:val="001D1D50"/>
    <w:rsid w:val="001D6745"/>
    <w:rsid w:val="001E2788"/>
    <w:rsid w:val="001E446E"/>
    <w:rsid w:val="001F4353"/>
    <w:rsid w:val="0020374D"/>
    <w:rsid w:val="002154EE"/>
    <w:rsid w:val="00224088"/>
    <w:rsid w:val="002276D2"/>
    <w:rsid w:val="0023283D"/>
    <w:rsid w:val="00242387"/>
    <w:rsid w:val="0026373E"/>
    <w:rsid w:val="00271C43"/>
    <w:rsid w:val="00290728"/>
    <w:rsid w:val="002978F4"/>
    <w:rsid w:val="002B028D"/>
    <w:rsid w:val="002B5794"/>
    <w:rsid w:val="002E196B"/>
    <w:rsid w:val="002E6541"/>
    <w:rsid w:val="002F7016"/>
    <w:rsid w:val="00311E6C"/>
    <w:rsid w:val="003271CD"/>
    <w:rsid w:val="00334924"/>
    <w:rsid w:val="003409BC"/>
    <w:rsid w:val="00357185"/>
    <w:rsid w:val="00372F67"/>
    <w:rsid w:val="00383829"/>
    <w:rsid w:val="003A3046"/>
    <w:rsid w:val="003C1624"/>
    <w:rsid w:val="003C7EDF"/>
    <w:rsid w:val="003E537E"/>
    <w:rsid w:val="003F2CF9"/>
    <w:rsid w:val="003F4B29"/>
    <w:rsid w:val="00400EC6"/>
    <w:rsid w:val="0042686F"/>
    <w:rsid w:val="004317D8"/>
    <w:rsid w:val="00434183"/>
    <w:rsid w:val="00443869"/>
    <w:rsid w:val="00447F32"/>
    <w:rsid w:val="00472030"/>
    <w:rsid w:val="004C11F8"/>
    <w:rsid w:val="004E11DC"/>
    <w:rsid w:val="004F3EC5"/>
    <w:rsid w:val="005218C8"/>
    <w:rsid w:val="00521BBD"/>
    <w:rsid w:val="00525DDD"/>
    <w:rsid w:val="00537905"/>
    <w:rsid w:val="005409AC"/>
    <w:rsid w:val="0055516A"/>
    <w:rsid w:val="005556C9"/>
    <w:rsid w:val="005731DD"/>
    <w:rsid w:val="005768E0"/>
    <w:rsid w:val="0058491B"/>
    <w:rsid w:val="00592EA5"/>
    <w:rsid w:val="00595B52"/>
    <w:rsid w:val="00596808"/>
    <w:rsid w:val="005A3170"/>
    <w:rsid w:val="006019C6"/>
    <w:rsid w:val="006062AC"/>
    <w:rsid w:val="006635B2"/>
    <w:rsid w:val="00677396"/>
    <w:rsid w:val="0069200F"/>
    <w:rsid w:val="006A65CB"/>
    <w:rsid w:val="006C1530"/>
    <w:rsid w:val="006C3242"/>
    <w:rsid w:val="006C7CC0"/>
    <w:rsid w:val="006E1BAD"/>
    <w:rsid w:val="006E6264"/>
    <w:rsid w:val="006F63F7"/>
    <w:rsid w:val="007025C7"/>
    <w:rsid w:val="00706D7A"/>
    <w:rsid w:val="007139D8"/>
    <w:rsid w:val="00722F0D"/>
    <w:rsid w:val="00734C9F"/>
    <w:rsid w:val="0074420E"/>
    <w:rsid w:val="00783E26"/>
    <w:rsid w:val="007C3BC7"/>
    <w:rsid w:val="007C3BCD"/>
    <w:rsid w:val="007D4ACF"/>
    <w:rsid w:val="007E7C0A"/>
    <w:rsid w:val="007F0787"/>
    <w:rsid w:val="00807031"/>
    <w:rsid w:val="00810B7B"/>
    <w:rsid w:val="00817FD5"/>
    <w:rsid w:val="0082358A"/>
    <w:rsid w:val="008235CD"/>
    <w:rsid w:val="008247DE"/>
    <w:rsid w:val="00826000"/>
    <w:rsid w:val="00840B10"/>
    <w:rsid w:val="008513CB"/>
    <w:rsid w:val="00873469"/>
    <w:rsid w:val="00877F4B"/>
    <w:rsid w:val="00891703"/>
    <w:rsid w:val="008A7F84"/>
    <w:rsid w:val="0091702E"/>
    <w:rsid w:val="00923B0C"/>
    <w:rsid w:val="00926F44"/>
    <w:rsid w:val="00934F31"/>
    <w:rsid w:val="0094021C"/>
    <w:rsid w:val="0094432F"/>
    <w:rsid w:val="00952F86"/>
    <w:rsid w:val="00982B28"/>
    <w:rsid w:val="009D313F"/>
    <w:rsid w:val="009F17C2"/>
    <w:rsid w:val="00A47A5A"/>
    <w:rsid w:val="00A6683B"/>
    <w:rsid w:val="00A77C90"/>
    <w:rsid w:val="00A9156F"/>
    <w:rsid w:val="00A97F94"/>
    <w:rsid w:val="00AA7EA2"/>
    <w:rsid w:val="00AB0BC9"/>
    <w:rsid w:val="00AC7292"/>
    <w:rsid w:val="00AF6B5C"/>
    <w:rsid w:val="00B03099"/>
    <w:rsid w:val="00B05BC8"/>
    <w:rsid w:val="00B52B21"/>
    <w:rsid w:val="00B64B47"/>
    <w:rsid w:val="00B916A7"/>
    <w:rsid w:val="00BB0F08"/>
    <w:rsid w:val="00BF543D"/>
    <w:rsid w:val="00C002DE"/>
    <w:rsid w:val="00C53BF8"/>
    <w:rsid w:val="00C66157"/>
    <w:rsid w:val="00C674FE"/>
    <w:rsid w:val="00C67501"/>
    <w:rsid w:val="00C75633"/>
    <w:rsid w:val="00CA0638"/>
    <w:rsid w:val="00CE1C08"/>
    <w:rsid w:val="00CE2EE1"/>
    <w:rsid w:val="00CE3349"/>
    <w:rsid w:val="00CE36E5"/>
    <w:rsid w:val="00CF27F5"/>
    <w:rsid w:val="00CF3FFD"/>
    <w:rsid w:val="00D02EDB"/>
    <w:rsid w:val="00D10CCF"/>
    <w:rsid w:val="00D22846"/>
    <w:rsid w:val="00D30D17"/>
    <w:rsid w:val="00D517B2"/>
    <w:rsid w:val="00D76170"/>
    <w:rsid w:val="00D77D0F"/>
    <w:rsid w:val="00D825B3"/>
    <w:rsid w:val="00DA1CF0"/>
    <w:rsid w:val="00DC1E02"/>
    <w:rsid w:val="00DC24B4"/>
    <w:rsid w:val="00DC5FB0"/>
    <w:rsid w:val="00DD1EBB"/>
    <w:rsid w:val="00DD6915"/>
    <w:rsid w:val="00DF16DC"/>
    <w:rsid w:val="00E45211"/>
    <w:rsid w:val="00E473C5"/>
    <w:rsid w:val="00E84438"/>
    <w:rsid w:val="00E92863"/>
    <w:rsid w:val="00EB796D"/>
    <w:rsid w:val="00F058DC"/>
    <w:rsid w:val="00F24FC4"/>
    <w:rsid w:val="00F2676C"/>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F2B07"/>
  <w15:chartTrackingRefBased/>
  <w15:docId w15:val="{00230D30-E794-44D8-B415-18C293A7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customStyle="1" w:styleId="Tabletext">
    <w:name w:val="Table_text"/>
    <w:basedOn w:val="Normal"/>
    <w:rsid w:val="005556C9"/>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Times New Roman" w:eastAsia="Times New Roman" w:hAnsi="CG Times" w:cs="Simplified Arabic" w:hint="cs"/>
      <w:sz w:val="24"/>
      <w:szCs w:val="30"/>
      <w:lang w:val="en-GB"/>
    </w:rPr>
  </w:style>
  <w:style w:type="paragraph" w:customStyle="1" w:styleId="Annextitle0">
    <w:name w:val="Annex_title"/>
    <w:basedOn w:val="Normal"/>
    <w:next w:val="Normal"/>
    <w:rsid w:val="005556C9"/>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eastAsia="Times New Roman" w:hAnsi="CG Times" w:cs="Simplified Arabic" w:hint="cs"/>
      <w:b/>
      <w:sz w:val="28"/>
      <w:szCs w:val="30"/>
      <w:lang w:val="en-GB"/>
    </w:rPr>
  </w:style>
  <w:style w:type="character" w:styleId="FollowedHyperlink">
    <w:name w:val="FollowedHyperlink"/>
    <w:basedOn w:val="DefaultParagraphFont"/>
    <w:uiPriority w:val="99"/>
    <w:semiHidden/>
    <w:unhideWhenUsed/>
    <w:rsid w:val="005218C8"/>
    <w:rPr>
      <w:color w:val="954F72" w:themeColor="followedHyperlink"/>
      <w:u w:val="single"/>
    </w:rPr>
  </w:style>
  <w:style w:type="paragraph" w:styleId="Revision">
    <w:name w:val="Revision"/>
    <w:hidden/>
    <w:uiPriority w:val="99"/>
    <w:semiHidden/>
    <w:rsid w:val="0020374D"/>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ar/ITU-T/ipr/Pages/default.aspx" TargetMode="External"/><Relationship Id="rId18" Type="http://schemas.openxmlformats.org/officeDocument/2006/relationships/hyperlink" Target="https://www.itu.int/md/T25-SG11-251117-TD-GEN-0619/en" TargetMode="External"/><Relationship Id="rId3" Type="http://schemas.openxmlformats.org/officeDocument/2006/relationships/styles" Target="styles.xml"/><Relationship Id="rId21" Type="http://schemas.openxmlformats.org/officeDocument/2006/relationships/hyperlink" Target="mailto:tsbdir@itu.int%20" TargetMode="External"/><Relationship Id="rId7" Type="http://schemas.openxmlformats.org/officeDocument/2006/relationships/endnotes" Target="endnotes.xml"/><Relationship Id="rId12" Type="http://schemas.openxmlformats.org/officeDocument/2006/relationships/hyperlink" Target="https://www.itu.int/md/meetingdoc.asp?lang=en&amp;parent=T25-SG11-R-0012" TargetMode="External"/><Relationship Id="rId17" Type="http://schemas.openxmlformats.org/officeDocument/2006/relationships/hyperlink" Target="https://www.itu.int/md/T25-SG11-251117-TD-GEN-0619/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meetingdoc.asp?lang=en&amp;parent=T25-SG11-R-0011" TargetMode="External"/><Relationship Id="rId20" Type="http://schemas.openxmlformats.org/officeDocument/2006/relationships/hyperlink" Target="http://www.itu.int/ip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meetingdoc.asp?lang=en&amp;parent=T25-SG11-R-001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meetingdoc.asp?lang=en&amp;parent=T25-SG11-R-0011"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itu.int/ar/ITU-T/ipr/Pages/default.aspx" TargetMode="External"/><Relationship Id="rId4" Type="http://schemas.openxmlformats.org/officeDocument/2006/relationships/settings" Target="settings.xml"/><Relationship Id="rId9" Type="http://schemas.openxmlformats.org/officeDocument/2006/relationships/hyperlink" Target="mailto:tsbsg11@itu.int" TargetMode="External"/><Relationship Id="rId14" Type="http://schemas.openxmlformats.org/officeDocument/2006/relationships/hyperlink" Target="http://www.itu.int/ipr/"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11</TotalTime>
  <Pages>3</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Alnatoor, Ehsan</dc:creator>
  <cp:keywords/>
  <dc:description/>
  <cp:lastModifiedBy>Braud, Olivia</cp:lastModifiedBy>
  <cp:revision>5</cp:revision>
  <cp:lastPrinted>2025-12-18T10:29:00Z</cp:lastPrinted>
  <dcterms:created xsi:type="dcterms:W3CDTF">2025-12-03T15:52:00Z</dcterms:created>
  <dcterms:modified xsi:type="dcterms:W3CDTF">2025-12-18T10:30:00Z</dcterms:modified>
</cp:coreProperties>
</file>