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585"/>
        <w:tblW w:w="9781" w:type="dxa"/>
        <w:tblLayout w:type="fixed"/>
        <w:tblLook w:val="0000" w:firstRow="0" w:lastRow="0" w:firstColumn="0" w:lastColumn="0" w:noHBand="0" w:noVBand="0"/>
      </w:tblPr>
      <w:tblGrid>
        <w:gridCol w:w="1530"/>
        <w:gridCol w:w="3060"/>
        <w:gridCol w:w="3207"/>
        <w:gridCol w:w="1984"/>
      </w:tblGrid>
      <w:tr w:rsidR="004933E6" w:rsidRPr="00677A12" w14:paraId="050044E6" w14:textId="77777777" w:rsidTr="00677A12">
        <w:trPr>
          <w:trHeight w:val="1170"/>
        </w:trPr>
        <w:tc>
          <w:tcPr>
            <w:tcW w:w="1530" w:type="dxa"/>
            <w:tcMar>
              <w:left w:w="0" w:type="dxa"/>
              <w:right w:w="0" w:type="dxa"/>
            </w:tcMar>
            <w:vAlign w:val="center"/>
          </w:tcPr>
          <w:p w14:paraId="2DCA39F8" w14:textId="77777777" w:rsidR="004933E6" w:rsidRPr="00FF406B" w:rsidRDefault="004933E6" w:rsidP="004933E6">
            <w:pPr>
              <w:pStyle w:val="Tabletext"/>
              <w:jc w:val="center"/>
              <w:rPr>
                <w:lang w:val="ru-RU"/>
              </w:rPr>
            </w:pPr>
            <w:r w:rsidRPr="00FF406B">
              <w:rPr>
                <w:noProof/>
                <w:color w:val="000000"/>
                <w:lang w:val="ru-RU" w:eastAsia="en-GB"/>
              </w:rPr>
              <w:drawing>
                <wp:inline distT="0" distB="0" distL="0" distR="0" wp14:anchorId="6F403195" wp14:editId="72959CB2">
                  <wp:extent cx="733331" cy="733331"/>
                  <wp:effectExtent l="0" t="0" r="0" b="0"/>
                  <wp:docPr id="4" name="Picture 2" descr="The International Teleocmmunication Union - Connecting the World." title="ITU logo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392" cy="734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67" w:type="dxa"/>
            <w:gridSpan w:val="2"/>
            <w:tcMar>
              <w:left w:w="142" w:type="dxa"/>
            </w:tcMar>
            <w:vAlign w:val="center"/>
          </w:tcPr>
          <w:p w14:paraId="71296C91" w14:textId="77777777" w:rsidR="00FC7713" w:rsidRPr="00FF406B" w:rsidRDefault="00FC7713" w:rsidP="00FC7713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F406B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2E256BF5" w14:textId="5D36F2E8" w:rsidR="004933E6" w:rsidRPr="00FF406B" w:rsidRDefault="00FC7713" w:rsidP="00FC7713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r w:rsidRPr="00FF406B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6CAB5C49" w14:textId="77777777" w:rsidR="004933E6" w:rsidRPr="00FF406B" w:rsidRDefault="004933E6" w:rsidP="004933E6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  <w:hyperlink r:id="rId9" w:history="1"/>
          </w:p>
        </w:tc>
      </w:tr>
      <w:tr w:rsidR="004933E6" w:rsidRPr="00677A12" w14:paraId="25955CA0" w14:textId="77777777" w:rsidTr="00677A12">
        <w:trPr>
          <w:cantSplit/>
          <w:trHeight w:val="446"/>
        </w:trPr>
        <w:tc>
          <w:tcPr>
            <w:tcW w:w="4590" w:type="dxa"/>
            <w:gridSpan w:val="2"/>
            <w:vAlign w:val="center"/>
          </w:tcPr>
          <w:p w14:paraId="765FE014" w14:textId="77777777" w:rsidR="004933E6" w:rsidRPr="00677A12" w:rsidRDefault="004933E6" w:rsidP="004933E6">
            <w:pPr>
              <w:pStyle w:val="Tabletext"/>
              <w:spacing w:before="0" w:after="0"/>
              <w:jc w:val="righ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  <w:tc>
          <w:tcPr>
            <w:tcW w:w="5191" w:type="dxa"/>
            <w:gridSpan w:val="2"/>
            <w:vAlign w:val="center"/>
          </w:tcPr>
          <w:p w14:paraId="572445C4" w14:textId="2D739333" w:rsidR="004933E6" w:rsidRPr="00677A12" w:rsidRDefault="004933E6" w:rsidP="00677A12">
            <w:pPr>
              <w:pStyle w:val="Tabletext"/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Женева, 25 ноября 2025 года</w:t>
            </w:r>
          </w:p>
        </w:tc>
      </w:tr>
      <w:tr w:rsidR="004933E6" w:rsidRPr="00677A12" w14:paraId="4D63185C" w14:textId="77777777" w:rsidTr="00677A12">
        <w:trPr>
          <w:cantSplit/>
          <w:trHeight w:val="746"/>
        </w:trPr>
        <w:tc>
          <w:tcPr>
            <w:tcW w:w="1530" w:type="dxa"/>
          </w:tcPr>
          <w:p w14:paraId="6E0F3998" w14:textId="77777777" w:rsidR="004933E6" w:rsidRPr="00677A12" w:rsidRDefault="004933E6" w:rsidP="004933E6">
            <w:pPr>
              <w:pStyle w:val="Tabletext"/>
              <w:ind w:left="-114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Осн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.:</w:t>
            </w:r>
          </w:p>
        </w:tc>
        <w:tc>
          <w:tcPr>
            <w:tcW w:w="3060" w:type="dxa"/>
          </w:tcPr>
          <w:p w14:paraId="70EEF82C" w14:textId="41745847" w:rsidR="004933E6" w:rsidRPr="00677A12" w:rsidRDefault="004933E6" w:rsidP="00FF406B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Циркуляр 93 БСЭ</w:t>
            </w:r>
            <w:r w:rsidR="00FF406B" w:rsidRPr="00677A1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u-RU"/>
              </w:rPr>
              <w:br/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SG15/HO</w:t>
            </w:r>
          </w:p>
        </w:tc>
        <w:tc>
          <w:tcPr>
            <w:tcW w:w="5191" w:type="dxa"/>
            <w:gridSpan w:val="2"/>
            <w:vMerge w:val="restart"/>
          </w:tcPr>
          <w:p w14:paraId="1AB3B210" w14:textId="419FAB4F" w:rsidR="004933E6" w:rsidRPr="00677A12" w:rsidRDefault="00A407F4" w:rsidP="004933E6">
            <w:pPr>
              <w:pStyle w:val="Tabletext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Кому</w:t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:</w:t>
            </w:r>
          </w:p>
          <w:p w14:paraId="7AC2CFDF" w14:textId="425DC936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Администрациям Государств – Членов Союза</w:t>
            </w:r>
          </w:p>
          <w:p w14:paraId="1EADA9D5" w14:textId="2648652A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075901C3" w14:textId="5CE3B29F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Членам Сектора МСЭ-Т</w:t>
            </w:r>
          </w:p>
          <w:p w14:paraId="7CA53DD9" w14:textId="310D0E20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Ассоциированным членам МСЭ-Т</w:t>
            </w:r>
          </w:p>
          <w:p w14:paraId="6A42ADE2" w14:textId="1D0957DD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Академическим организациям − Членам МСЭ из Африканского региона</w:t>
            </w:r>
          </w:p>
          <w:p w14:paraId="1B15A147" w14:textId="77777777" w:rsidR="004933E6" w:rsidRPr="00677A12" w:rsidRDefault="004933E6" w:rsidP="004933E6">
            <w:pPr>
              <w:pStyle w:val="Tabletext"/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Копии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:</w:t>
            </w:r>
          </w:p>
          <w:p w14:paraId="27D8E308" w14:textId="5AE9F64F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Африканскому союзу электросвязи (АСЭ)</w:t>
            </w:r>
          </w:p>
          <w:p w14:paraId="468A7343" w14:textId="43A374A4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Африканской сети потребителей ИКТ (AICN)</w:t>
            </w:r>
          </w:p>
          <w:p w14:paraId="4874A483" w14:textId="70BE923D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Экономическому сообществу государств Западной Африки (ЭКОВАС)</w:t>
            </w:r>
          </w:p>
          <w:p w14:paraId="3DD800E5" w14:textId="59FD261E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Восточноафриканской организации связи (EACO)</w:t>
            </w:r>
          </w:p>
          <w:p w14:paraId="22A719B9" w14:textId="5FAC45C2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Лиге арабских государств</w:t>
            </w:r>
          </w:p>
          <w:p w14:paraId="7F92A173" w14:textId="6EFCFCCA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Африканской организации по стандартизации (ARSO)</w:t>
            </w:r>
          </w:p>
          <w:p w14:paraId="3748B16A" w14:textId="7A7ABF00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Африканскому региональному центру МЭК (МЭК-AFRC)</w:t>
            </w:r>
          </w:p>
          <w:p w14:paraId="7ACAF410" w14:textId="51FE5950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Африканскому совету ИИЭЭ</w:t>
            </w:r>
          </w:p>
          <w:p w14:paraId="570211BB" w14:textId="25B524B6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Региональному отделению МСЭ для региона Африки</w:t>
            </w:r>
          </w:p>
          <w:p w14:paraId="056F1FF5" w14:textId="314E1B02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  <w:t>З</w:t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ональным отделениям МСЭ для Африки</w:t>
            </w:r>
          </w:p>
          <w:p w14:paraId="1329B87F" w14:textId="1C6EDABE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Председателю и заместителям Председателя 15-й Исследовательской комиссии МСЭ-Т</w:t>
            </w:r>
          </w:p>
          <w:p w14:paraId="4297A658" w14:textId="1B7F1C1D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Председателю Региональной группы 15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noBreakHyphen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й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 </w:t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Исследовательской комиссии для Африки</w:t>
            </w:r>
          </w:p>
          <w:p w14:paraId="4ED55F60" w14:textId="69F653DD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Директору Бюро развития электросвязи</w:t>
            </w:r>
          </w:p>
          <w:p w14:paraId="6AB8C4CF" w14:textId="5727584C" w:rsidR="004933E6" w:rsidRPr="00677A12" w:rsidRDefault="00FF406B" w:rsidP="00FF406B">
            <w:pPr>
              <w:pStyle w:val="Tabletext"/>
              <w:tabs>
                <w:tab w:val="clear" w:pos="284"/>
              </w:tabs>
              <w:spacing w:before="20" w:after="20"/>
              <w:ind w:left="318" w:hanging="365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−</w:t>
            </w: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ab/>
            </w:r>
            <w:r w:rsidR="004933E6"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Директору Бюро радиосвязи</w:t>
            </w:r>
          </w:p>
        </w:tc>
      </w:tr>
      <w:tr w:rsidR="004933E6" w:rsidRPr="00677A12" w14:paraId="57BB9B0F" w14:textId="77777777" w:rsidTr="00677A12">
        <w:trPr>
          <w:cantSplit/>
          <w:trHeight w:val="221"/>
        </w:trPr>
        <w:tc>
          <w:tcPr>
            <w:tcW w:w="1530" w:type="dxa"/>
          </w:tcPr>
          <w:p w14:paraId="6DAA4F1F" w14:textId="77777777" w:rsidR="004933E6" w:rsidRPr="00677A12" w:rsidRDefault="004933E6" w:rsidP="004933E6">
            <w:pPr>
              <w:pStyle w:val="Tabletext"/>
              <w:ind w:lef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Для контактов:</w:t>
            </w:r>
          </w:p>
        </w:tc>
        <w:tc>
          <w:tcPr>
            <w:tcW w:w="3060" w:type="dxa"/>
          </w:tcPr>
          <w:p w14:paraId="39AA3FF7" w14:textId="77777777" w:rsidR="004933E6" w:rsidRPr="00677A12" w:rsidRDefault="004933E6" w:rsidP="004933E6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Хироси Ота (Hiroshi Ota)</w:t>
            </w:r>
          </w:p>
        </w:tc>
        <w:tc>
          <w:tcPr>
            <w:tcW w:w="5191" w:type="dxa"/>
            <w:gridSpan w:val="2"/>
            <w:vMerge/>
          </w:tcPr>
          <w:p w14:paraId="5364A931" w14:textId="77777777" w:rsidR="004933E6" w:rsidRPr="00677A12" w:rsidRDefault="004933E6" w:rsidP="004933E6">
            <w:pPr>
              <w:pStyle w:val="Tabletext"/>
              <w:ind w:left="142" w:hanging="1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4933E6" w:rsidRPr="00677A12" w14:paraId="47A7E95C" w14:textId="77777777" w:rsidTr="00677A12">
        <w:trPr>
          <w:cantSplit/>
          <w:trHeight w:val="252"/>
        </w:trPr>
        <w:tc>
          <w:tcPr>
            <w:tcW w:w="1530" w:type="dxa"/>
          </w:tcPr>
          <w:p w14:paraId="53387B9E" w14:textId="77777777" w:rsidR="004933E6" w:rsidRPr="00677A12" w:rsidRDefault="004933E6" w:rsidP="004933E6">
            <w:pPr>
              <w:pStyle w:val="Tabletext"/>
              <w:ind w:lef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Тел.:</w:t>
            </w:r>
          </w:p>
        </w:tc>
        <w:tc>
          <w:tcPr>
            <w:tcW w:w="3060" w:type="dxa"/>
          </w:tcPr>
          <w:p w14:paraId="38EB4F30" w14:textId="77777777" w:rsidR="004933E6" w:rsidRPr="00677A12" w:rsidRDefault="004933E6" w:rsidP="004933E6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+41 22 730 6356</w:t>
            </w:r>
          </w:p>
        </w:tc>
        <w:tc>
          <w:tcPr>
            <w:tcW w:w="5191" w:type="dxa"/>
            <w:gridSpan w:val="2"/>
            <w:vMerge/>
          </w:tcPr>
          <w:p w14:paraId="3649C8C4" w14:textId="77777777" w:rsidR="004933E6" w:rsidRPr="00677A12" w:rsidRDefault="004933E6" w:rsidP="004933E6">
            <w:pPr>
              <w:pStyle w:val="Tabletext"/>
              <w:ind w:left="142" w:hanging="1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4933E6" w:rsidRPr="00677A12" w14:paraId="3A8BD7B6" w14:textId="77777777" w:rsidTr="00677A12">
        <w:trPr>
          <w:cantSplit/>
          <w:trHeight w:val="116"/>
        </w:trPr>
        <w:tc>
          <w:tcPr>
            <w:tcW w:w="1530" w:type="dxa"/>
          </w:tcPr>
          <w:p w14:paraId="0FB04651" w14:textId="77777777" w:rsidR="004933E6" w:rsidRPr="00677A12" w:rsidRDefault="004933E6" w:rsidP="004933E6">
            <w:pPr>
              <w:pStyle w:val="Tabletext"/>
              <w:ind w:lef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Факс:</w:t>
            </w:r>
          </w:p>
        </w:tc>
        <w:tc>
          <w:tcPr>
            <w:tcW w:w="3060" w:type="dxa"/>
          </w:tcPr>
          <w:p w14:paraId="7886475F" w14:textId="77777777" w:rsidR="004933E6" w:rsidRPr="00677A12" w:rsidRDefault="004933E6" w:rsidP="004933E6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+41 22 730 5853</w:t>
            </w:r>
          </w:p>
        </w:tc>
        <w:tc>
          <w:tcPr>
            <w:tcW w:w="5191" w:type="dxa"/>
            <w:gridSpan w:val="2"/>
            <w:vMerge/>
          </w:tcPr>
          <w:p w14:paraId="526CFF52" w14:textId="77777777" w:rsidR="004933E6" w:rsidRPr="00677A12" w:rsidRDefault="004933E6" w:rsidP="004933E6">
            <w:pPr>
              <w:pStyle w:val="Tabletext"/>
              <w:ind w:left="142" w:hanging="1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4933E6" w:rsidRPr="00677A12" w14:paraId="4D3C0F45" w14:textId="77777777" w:rsidTr="00677A12">
        <w:trPr>
          <w:cantSplit/>
          <w:trHeight w:val="6543"/>
        </w:trPr>
        <w:tc>
          <w:tcPr>
            <w:tcW w:w="1530" w:type="dxa"/>
          </w:tcPr>
          <w:p w14:paraId="21DF42AD" w14:textId="77777777" w:rsidR="004933E6" w:rsidRPr="00677A12" w:rsidRDefault="004933E6" w:rsidP="004933E6">
            <w:pPr>
              <w:pStyle w:val="Tabletext"/>
              <w:ind w:left="-114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color w:val="000000"/>
                <w:sz w:val="22"/>
                <w:szCs w:val="22"/>
                <w:lang w:val="ru-RU"/>
              </w:rPr>
              <w:t>Эл. почта:</w:t>
            </w:r>
          </w:p>
        </w:tc>
        <w:tc>
          <w:tcPr>
            <w:tcW w:w="3060" w:type="dxa"/>
          </w:tcPr>
          <w:p w14:paraId="0D0DAD5C" w14:textId="2EC3BCDD" w:rsidR="004933E6" w:rsidRPr="00677A12" w:rsidRDefault="00A55879" w:rsidP="004933E6">
            <w:pPr>
              <w:pStyle w:val="Tabletext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hyperlink r:id="rId10" w:history="1">
              <w:r w:rsidRPr="00677A12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ru-RU"/>
                </w:rPr>
                <w:t>tsbsg15@itu.int</w:t>
              </w:r>
            </w:hyperlink>
          </w:p>
        </w:tc>
        <w:tc>
          <w:tcPr>
            <w:tcW w:w="5191" w:type="dxa"/>
            <w:gridSpan w:val="2"/>
            <w:vMerge/>
          </w:tcPr>
          <w:p w14:paraId="60C052F9" w14:textId="77777777" w:rsidR="004933E6" w:rsidRPr="00677A12" w:rsidRDefault="004933E6" w:rsidP="004933E6">
            <w:pPr>
              <w:pStyle w:val="Tabletext"/>
              <w:ind w:left="142" w:hanging="142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</w:p>
        </w:tc>
      </w:tr>
      <w:tr w:rsidR="004933E6" w:rsidRPr="00677A12" w14:paraId="3D292A15" w14:textId="77777777" w:rsidTr="00677A12">
        <w:trPr>
          <w:cantSplit/>
          <w:trHeight w:val="450"/>
        </w:trPr>
        <w:tc>
          <w:tcPr>
            <w:tcW w:w="1530" w:type="dxa"/>
          </w:tcPr>
          <w:p w14:paraId="1422AABA" w14:textId="77777777" w:rsidR="004933E6" w:rsidRPr="00677A12" w:rsidRDefault="004933E6" w:rsidP="00677A12">
            <w:pPr>
              <w:pStyle w:val="Tabletext"/>
              <w:spacing w:before="0" w:after="0"/>
              <w:ind w:left="-110"/>
              <w:rPr>
                <w:rFonts w:asciiTheme="minorHAnsi" w:hAnsiTheme="minorHAnsi" w:cstheme="minorHAnsi"/>
                <w:sz w:val="22"/>
                <w:szCs w:val="22"/>
                <w:lang w:val="ru-RU"/>
              </w:rPr>
            </w:pPr>
            <w:r w:rsidRPr="00677A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Предмет:</w:t>
            </w:r>
          </w:p>
        </w:tc>
        <w:tc>
          <w:tcPr>
            <w:tcW w:w="8251" w:type="dxa"/>
            <w:gridSpan w:val="3"/>
          </w:tcPr>
          <w:p w14:paraId="10FC6130" w14:textId="59D1A2F4" w:rsidR="004933E6" w:rsidRPr="00677A12" w:rsidRDefault="004933E6" w:rsidP="00677A12">
            <w:pPr>
              <w:pStyle w:val="Tabletext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  <w:lang w:val="ru-RU"/>
              </w:rPr>
            </w:pPr>
            <w:bookmarkStart w:id="0" w:name="_Hlk214958010"/>
            <w:r w:rsidRPr="00677A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Создание Региональной группы 15-й Исследовательской комиссии МСЭ-Т для</w:t>
            </w:r>
            <w:r w:rsidR="009F31A0" w:rsidRPr="00677A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 </w:t>
            </w:r>
            <w:r w:rsidRPr="00677A1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ru-RU"/>
              </w:rPr>
              <w:t>Африки (РегГр-АФР ИК15)</w:t>
            </w:r>
            <w:bookmarkEnd w:id="0"/>
          </w:p>
        </w:tc>
      </w:tr>
    </w:tbl>
    <w:p w14:paraId="7C4DCE4B" w14:textId="5D1AB789" w:rsidR="006D775C" w:rsidRPr="00677A12" w:rsidRDefault="00D40F22" w:rsidP="00677A12">
      <w:pPr>
        <w:spacing w:after="120"/>
        <w:rPr>
          <w:rFonts w:asciiTheme="minorHAnsi" w:hAnsiTheme="minorHAnsi" w:cstheme="minorHAnsi"/>
          <w:sz w:val="22"/>
          <w:szCs w:val="22"/>
          <w:lang w:val="ru-RU"/>
        </w:rPr>
      </w:pPr>
      <w:r w:rsidRPr="00677A12">
        <w:rPr>
          <w:rFonts w:asciiTheme="minorHAnsi" w:hAnsiTheme="minorHAnsi" w:cstheme="minorHAnsi"/>
          <w:sz w:val="22"/>
          <w:szCs w:val="22"/>
          <w:lang w:val="ru-RU"/>
        </w:rPr>
        <w:t xml:space="preserve">Уважаемая госпожа, </w:t>
      </w:r>
      <w:r w:rsidR="00DC5097" w:rsidRPr="00677A12">
        <w:rPr>
          <w:rFonts w:asciiTheme="minorHAnsi" w:hAnsiTheme="minorHAnsi" w:cstheme="minorHAnsi"/>
          <w:sz w:val="22"/>
          <w:szCs w:val="22"/>
          <w:lang w:val="ru-RU"/>
        </w:rPr>
        <w:br/>
      </w:r>
      <w:r w:rsidRPr="00677A12">
        <w:rPr>
          <w:rFonts w:asciiTheme="minorHAnsi" w:hAnsiTheme="minorHAnsi" w:cstheme="minorHAnsi"/>
          <w:sz w:val="22"/>
          <w:szCs w:val="22"/>
          <w:lang w:val="ru-RU"/>
        </w:rPr>
        <w:t>уважаемый господин,</w:t>
      </w:r>
    </w:p>
    <w:p w14:paraId="6263F22F" w14:textId="4B8530FE" w:rsidR="00E21F01" w:rsidRPr="00677A12" w:rsidRDefault="00B05A2C" w:rsidP="00FF406B">
      <w:pPr>
        <w:spacing w:before="0" w:after="1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677A12">
        <w:rPr>
          <w:rFonts w:asciiTheme="minorHAnsi" w:hAnsiTheme="minorHAnsi" w:cstheme="minorHAnsi"/>
          <w:sz w:val="22"/>
          <w:szCs w:val="22"/>
          <w:lang w:val="ru-RU"/>
        </w:rPr>
        <w:t>1</w:t>
      </w:r>
      <w:r w:rsidRPr="00677A12">
        <w:rPr>
          <w:rFonts w:asciiTheme="minorHAnsi" w:hAnsiTheme="minorHAnsi" w:cstheme="minorHAnsi"/>
          <w:sz w:val="22"/>
          <w:szCs w:val="22"/>
          <w:lang w:val="ru-RU"/>
        </w:rPr>
        <w:tab/>
        <w:t>Имею честь сообщить, что 15-я Исследовательская комиссия МСЭ-Т по сетям, технологиям и инфраструктуре для транспортных сетей, сетей доступа и домашних систем на своем заключительном пленарном заседании (Женева, 24 октября 2025 г.) приняла решение создать Региональную группу 15</w:t>
      </w:r>
      <w:r w:rsidR="00FF406B" w:rsidRPr="00677A12">
        <w:rPr>
          <w:rFonts w:asciiTheme="minorHAnsi" w:hAnsiTheme="minorHAnsi" w:cstheme="minorHAnsi"/>
          <w:sz w:val="22"/>
          <w:szCs w:val="22"/>
          <w:lang w:val="ru-RU"/>
        </w:rPr>
        <w:noBreakHyphen/>
      </w:r>
      <w:r w:rsidRPr="00677A12">
        <w:rPr>
          <w:rFonts w:asciiTheme="minorHAnsi" w:hAnsiTheme="minorHAnsi" w:cstheme="minorHAnsi"/>
          <w:sz w:val="22"/>
          <w:szCs w:val="22"/>
          <w:lang w:val="ru-RU"/>
        </w:rPr>
        <w:t>й Исследовательской комиссии МСЭ-Т для Африки (РегГр-АФР ИК15), как это определено в Резолюции</w:t>
      </w:r>
      <w:r w:rsidR="00FC7713" w:rsidRPr="00677A12">
        <w:rPr>
          <w:rFonts w:asciiTheme="minorHAnsi" w:hAnsiTheme="minorHAnsi" w:cstheme="minorHAnsi"/>
          <w:sz w:val="22"/>
          <w:szCs w:val="22"/>
          <w:lang w:val="ru-RU"/>
        </w:rPr>
        <w:t> </w:t>
      </w:r>
      <w:r w:rsidRPr="00677A12">
        <w:rPr>
          <w:rFonts w:asciiTheme="minorHAnsi" w:hAnsiTheme="minorHAnsi" w:cstheme="minorHAnsi"/>
          <w:sz w:val="22"/>
          <w:szCs w:val="22"/>
          <w:lang w:val="ru-RU"/>
        </w:rPr>
        <w:t>54 (Пересм. Нью-Дели, 2024 г.) ВАСЭ.</w:t>
      </w:r>
    </w:p>
    <w:p w14:paraId="5FC7B013" w14:textId="4D72B51B" w:rsidR="008E0B07" w:rsidRPr="00677A12" w:rsidRDefault="008E0B07" w:rsidP="00FF406B">
      <w:pPr>
        <w:spacing w:before="0" w:after="1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677A12">
        <w:rPr>
          <w:rFonts w:asciiTheme="minorHAnsi" w:hAnsiTheme="minorHAnsi" w:cstheme="minorHAnsi"/>
          <w:sz w:val="22"/>
          <w:szCs w:val="22"/>
          <w:lang w:val="ru-RU"/>
        </w:rPr>
        <w:t>2</w:t>
      </w:r>
      <w:r w:rsidRPr="00677A12">
        <w:rPr>
          <w:rFonts w:asciiTheme="minorHAnsi" w:hAnsiTheme="minorHAnsi" w:cstheme="minorHAnsi"/>
          <w:sz w:val="22"/>
          <w:szCs w:val="22"/>
          <w:lang w:val="ru-RU"/>
        </w:rPr>
        <w:tab/>
        <w:t xml:space="preserve">Круг ведения и методы работы Региональной группы 15-й Исследовательской комиссии для Африки (РегГр-АФР ИК15), утвержденные 15-й Исследовательской комиссией, приводятся в </w:t>
      </w:r>
      <w:r w:rsidRPr="00677A12">
        <w:rPr>
          <w:rFonts w:asciiTheme="minorHAnsi" w:hAnsiTheme="minorHAnsi" w:cstheme="minorHAnsi"/>
          <w:b/>
          <w:bCs/>
          <w:sz w:val="22"/>
          <w:szCs w:val="22"/>
          <w:lang w:val="ru-RU"/>
        </w:rPr>
        <w:t>Приложении 1</w:t>
      </w:r>
      <w:r w:rsidRPr="00677A12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152058A9" w14:textId="63723CF4" w:rsidR="00B05A2C" w:rsidRPr="00677A12" w:rsidRDefault="00680FBF" w:rsidP="00FF406B">
      <w:pPr>
        <w:spacing w:before="0" w:after="120"/>
        <w:jc w:val="both"/>
        <w:rPr>
          <w:rFonts w:asciiTheme="minorHAnsi" w:eastAsia="Yu Mincho" w:hAnsiTheme="minorHAnsi" w:cstheme="minorHAnsi"/>
          <w:sz w:val="22"/>
          <w:szCs w:val="22"/>
          <w:lang w:val="ru-RU"/>
        </w:rPr>
      </w:pPr>
      <w:r w:rsidRPr="00677A12">
        <w:rPr>
          <w:rFonts w:asciiTheme="minorHAnsi" w:hAnsiTheme="minorHAnsi" w:cstheme="minorHAnsi"/>
          <w:sz w:val="22"/>
          <w:szCs w:val="22"/>
          <w:lang w:val="ru-RU"/>
        </w:rPr>
        <w:t>3</w:t>
      </w:r>
      <w:r w:rsidRPr="00677A12">
        <w:rPr>
          <w:rFonts w:asciiTheme="minorHAnsi" w:hAnsiTheme="minorHAnsi" w:cstheme="minorHAnsi"/>
          <w:sz w:val="22"/>
          <w:szCs w:val="22"/>
          <w:lang w:val="ru-RU"/>
        </w:rPr>
        <w:tab/>
        <w:t>Председатель ИК15 назначил Председателем РегГр-АФР ИК15 г-на Мохамеда Амина БЕНЗИАНА (Algérie Télécom SPA, Алжир).</w:t>
      </w:r>
    </w:p>
    <w:p w14:paraId="332251D6" w14:textId="2F84D2EE" w:rsidR="00B05A2C" w:rsidRPr="00677A12" w:rsidRDefault="00B05A2C" w:rsidP="00FF406B">
      <w:pPr>
        <w:spacing w:before="0" w:after="1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677A12">
        <w:rPr>
          <w:rFonts w:asciiTheme="minorHAnsi" w:hAnsiTheme="minorHAnsi" w:cstheme="minorHAnsi"/>
          <w:sz w:val="22"/>
          <w:szCs w:val="22"/>
          <w:lang w:val="ru-RU"/>
        </w:rPr>
        <w:t>4</w:t>
      </w:r>
      <w:r w:rsidRPr="00677A12">
        <w:rPr>
          <w:rFonts w:asciiTheme="minorHAnsi" w:hAnsiTheme="minorHAnsi" w:cstheme="minorHAnsi"/>
          <w:sz w:val="22"/>
          <w:szCs w:val="22"/>
          <w:lang w:val="ru-RU"/>
        </w:rPr>
        <w:tab/>
      </w:r>
      <w:r w:rsidR="00FC7713" w:rsidRPr="00677A12">
        <w:rPr>
          <w:rFonts w:asciiTheme="minorHAnsi" w:hAnsiTheme="minorHAnsi" w:cstheme="minorHAnsi"/>
          <w:sz w:val="22"/>
          <w:szCs w:val="22"/>
          <w:lang w:val="ru-RU"/>
        </w:rPr>
        <w:t>В</w:t>
      </w:r>
      <w:r w:rsidRPr="00677A12">
        <w:rPr>
          <w:rFonts w:asciiTheme="minorHAnsi" w:hAnsiTheme="minorHAnsi" w:cstheme="minorHAnsi"/>
          <w:sz w:val="22"/>
          <w:szCs w:val="22"/>
          <w:lang w:val="ru-RU"/>
        </w:rPr>
        <w:t xml:space="preserve">еб-страница РегГр-АФР ИК15 </w:t>
      </w:r>
      <w:r w:rsidR="00FC7713" w:rsidRPr="00677A12">
        <w:rPr>
          <w:rFonts w:asciiTheme="minorHAnsi" w:hAnsiTheme="minorHAnsi" w:cstheme="minorHAnsi"/>
          <w:sz w:val="22"/>
          <w:szCs w:val="22"/>
          <w:lang w:val="ru-RU"/>
        </w:rPr>
        <w:t xml:space="preserve">теперь </w:t>
      </w:r>
      <w:r w:rsidRPr="00677A12">
        <w:rPr>
          <w:rFonts w:asciiTheme="minorHAnsi" w:hAnsiTheme="minorHAnsi" w:cstheme="minorHAnsi"/>
          <w:sz w:val="22"/>
          <w:szCs w:val="22"/>
          <w:lang w:val="ru-RU"/>
        </w:rPr>
        <w:t xml:space="preserve">доступна по адресу: </w:t>
      </w:r>
      <w:hyperlink r:id="rId11" w:history="1">
        <w:r w:rsidR="00DC5097" w:rsidRPr="00677A12">
          <w:rPr>
            <w:rStyle w:val="Hyperlink"/>
            <w:rFonts w:asciiTheme="minorHAnsi" w:hAnsiTheme="minorHAnsi" w:cstheme="minorHAnsi"/>
            <w:sz w:val="22"/>
            <w:szCs w:val="22"/>
            <w:lang w:val="ru-RU"/>
          </w:rPr>
          <w:t>https://www.itu.int/en/ITU-T/regionalgroups/sg15-afr/Pages/default.aspx</w:t>
        </w:r>
      </w:hyperlink>
      <w:r w:rsidRPr="00677A12">
        <w:rPr>
          <w:rFonts w:asciiTheme="minorHAnsi" w:hAnsiTheme="minorHAnsi" w:cstheme="minorHAnsi"/>
          <w:sz w:val="22"/>
          <w:szCs w:val="22"/>
          <w:lang w:val="ru-RU"/>
        </w:rPr>
        <w:t>.</w:t>
      </w:r>
      <w:hyperlink r:id="rId12" w:history="1"/>
    </w:p>
    <w:p w14:paraId="6ED3B250" w14:textId="0A663D05" w:rsidR="00CF2CF8" w:rsidRPr="00677A12" w:rsidRDefault="00D249F9" w:rsidP="00FF406B">
      <w:pPr>
        <w:spacing w:before="0" w:after="1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677A12">
        <w:rPr>
          <w:rFonts w:asciiTheme="minorHAnsi" w:hAnsiTheme="minorHAnsi" w:cstheme="minorHAnsi"/>
          <w:sz w:val="22"/>
          <w:szCs w:val="22"/>
          <w:lang w:val="ru-RU"/>
        </w:rPr>
        <w:lastRenderedPageBreak/>
        <w:t>5</w:t>
      </w:r>
      <w:r w:rsidRPr="00677A12">
        <w:rPr>
          <w:rFonts w:asciiTheme="minorHAnsi" w:hAnsiTheme="minorHAnsi" w:cstheme="minorHAnsi"/>
          <w:sz w:val="22"/>
          <w:szCs w:val="22"/>
          <w:lang w:val="ru-RU"/>
        </w:rPr>
        <w:tab/>
        <w:t xml:space="preserve">Для использования РегГр-АФР ИК15 был создан список рассылки </w:t>
      </w:r>
      <w:hyperlink r:id="rId13" w:history="1">
        <w:r w:rsidR="00FF406B" w:rsidRPr="00677A12">
          <w:rPr>
            <w:rStyle w:val="Hyperlink"/>
            <w:rFonts w:asciiTheme="minorHAnsi" w:hAnsiTheme="minorHAnsi" w:cstheme="minorHAnsi"/>
            <w:sz w:val="22"/>
            <w:szCs w:val="22"/>
            <w:lang w:val="ru-RU"/>
          </w:rPr>
          <w:t>tsg15rgafr@lists.itu.int</w:t>
        </w:r>
      </w:hyperlink>
      <w:r w:rsidRPr="00677A12">
        <w:rPr>
          <w:rFonts w:asciiTheme="minorHAnsi" w:hAnsiTheme="minorHAnsi" w:cstheme="minorHAnsi"/>
          <w:sz w:val="22"/>
          <w:szCs w:val="22"/>
          <w:lang w:val="ru-RU"/>
        </w:rPr>
        <w:t>.</w:t>
      </w:r>
      <w:hyperlink r:id="rId14" w:history="1"/>
    </w:p>
    <w:p w14:paraId="547043CA" w14:textId="3D51251B" w:rsidR="004F04FA" w:rsidRPr="00677A12" w:rsidRDefault="00E640DF" w:rsidP="00DF6015">
      <w:pPr>
        <w:rPr>
          <w:rFonts w:asciiTheme="minorHAnsi" w:hAnsiTheme="minorHAnsi" w:cstheme="minorHAnsi"/>
          <w:sz w:val="22"/>
          <w:szCs w:val="22"/>
          <w:lang w:val="ru-RU"/>
        </w:rPr>
      </w:pPr>
      <w:r w:rsidRPr="00677A12">
        <w:rPr>
          <w:rFonts w:asciiTheme="minorHAnsi" w:hAnsiTheme="minorHAnsi" w:cstheme="minorHAnsi"/>
          <w:sz w:val="22"/>
          <w:szCs w:val="22"/>
          <w:lang w:val="ru-RU"/>
        </w:rPr>
        <w:t>С уважением,</w:t>
      </w:r>
    </w:p>
    <w:p w14:paraId="07A043E0" w14:textId="6FFEFDC1" w:rsidR="008C1D23" w:rsidRPr="00677A12" w:rsidRDefault="00B976B6" w:rsidP="00677A12">
      <w:pPr>
        <w:spacing w:before="720"/>
        <w:rPr>
          <w:rFonts w:asciiTheme="minorHAnsi" w:hAnsiTheme="minorHAnsi" w:cstheme="minorHAnsi"/>
          <w:sz w:val="22"/>
          <w:szCs w:val="22"/>
          <w:lang w:val="ru-RU"/>
        </w:rPr>
      </w:pPr>
      <w:r>
        <w:rPr>
          <w:rFonts w:asciiTheme="minorHAnsi" w:hAnsiTheme="minorHAnsi" w:cstheme="minorHAnsi"/>
          <w:noProof/>
          <w:sz w:val="22"/>
          <w:szCs w:val="22"/>
          <w:lang w:val="ru-RU"/>
        </w:rPr>
        <w:drawing>
          <wp:anchor distT="0" distB="0" distL="114300" distR="114300" simplePos="0" relativeHeight="251658240" behindDoc="1" locked="0" layoutInCell="1" allowOverlap="1" wp14:anchorId="2459C056" wp14:editId="07DF8E97">
            <wp:simplePos x="0" y="0"/>
            <wp:positionH relativeFrom="margin">
              <wp:align>left</wp:align>
            </wp:positionH>
            <wp:positionV relativeFrom="paragraph">
              <wp:posOffset>53975</wp:posOffset>
            </wp:positionV>
            <wp:extent cx="768389" cy="342918"/>
            <wp:effectExtent l="0" t="0" r="0" b="0"/>
            <wp:wrapNone/>
            <wp:docPr id="2093997392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97392" name="Picture 1" descr="A black text on a white background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CE4" w:rsidRPr="00677A12">
        <w:rPr>
          <w:rFonts w:asciiTheme="minorHAnsi" w:hAnsiTheme="minorHAnsi" w:cstheme="minorHAnsi"/>
          <w:sz w:val="22"/>
          <w:szCs w:val="22"/>
          <w:lang w:val="ru-RU"/>
        </w:rPr>
        <w:t>Сейдзо Оноэ</w:t>
      </w:r>
      <w:r w:rsidR="00DC5097" w:rsidRPr="00677A12">
        <w:rPr>
          <w:rFonts w:asciiTheme="minorHAnsi" w:hAnsiTheme="minorHAnsi" w:cstheme="minorHAnsi"/>
          <w:sz w:val="22"/>
          <w:szCs w:val="22"/>
          <w:lang w:val="ru-RU"/>
        </w:rPr>
        <w:br/>
      </w:r>
      <w:r w:rsidR="00FC4CE4" w:rsidRPr="00677A12">
        <w:rPr>
          <w:rFonts w:asciiTheme="minorHAnsi" w:hAnsiTheme="minorHAnsi" w:cstheme="minorHAnsi"/>
          <w:sz w:val="22"/>
          <w:szCs w:val="22"/>
          <w:lang w:val="ru-RU"/>
        </w:rPr>
        <w:t xml:space="preserve">Директор Бюро </w:t>
      </w:r>
      <w:r w:rsidR="00DC5097" w:rsidRPr="00677A12">
        <w:rPr>
          <w:rFonts w:asciiTheme="minorHAnsi" w:hAnsiTheme="minorHAnsi" w:cstheme="minorHAnsi"/>
          <w:sz w:val="22"/>
          <w:szCs w:val="22"/>
          <w:lang w:val="ru-RU"/>
        </w:rPr>
        <w:br/>
      </w:r>
      <w:r w:rsidR="00FC4CE4" w:rsidRPr="00677A12">
        <w:rPr>
          <w:rFonts w:asciiTheme="minorHAnsi" w:hAnsiTheme="minorHAnsi" w:cstheme="minorHAnsi"/>
          <w:sz w:val="22"/>
          <w:szCs w:val="22"/>
          <w:lang w:val="ru-RU"/>
        </w:rPr>
        <w:t>стандартизации электросвязи</w:t>
      </w:r>
    </w:p>
    <w:p w14:paraId="6F1183AF" w14:textId="3A43B0B2" w:rsidR="001C0CF7" w:rsidRPr="00677A12" w:rsidRDefault="008C1D23" w:rsidP="00FF406B">
      <w:pPr>
        <w:spacing w:before="1080"/>
        <w:rPr>
          <w:rFonts w:asciiTheme="minorHAnsi" w:hAnsiTheme="minorHAnsi" w:cstheme="minorHAnsi"/>
          <w:sz w:val="22"/>
          <w:szCs w:val="22"/>
          <w:lang w:val="ru-RU"/>
        </w:rPr>
      </w:pPr>
      <w:r w:rsidRPr="00677A12">
        <w:rPr>
          <w:rFonts w:asciiTheme="minorHAnsi" w:hAnsiTheme="minorHAnsi" w:cstheme="minorHAnsi"/>
          <w:b/>
          <w:bCs/>
          <w:sz w:val="22"/>
          <w:szCs w:val="22"/>
          <w:lang w:val="ru-RU"/>
        </w:rPr>
        <w:t>Приложение</w:t>
      </w:r>
      <w:r w:rsidRPr="00677A12">
        <w:rPr>
          <w:rFonts w:asciiTheme="minorHAnsi" w:hAnsiTheme="minorHAnsi" w:cstheme="minorHAnsi"/>
          <w:sz w:val="22"/>
          <w:szCs w:val="22"/>
          <w:lang w:val="ru-RU"/>
        </w:rPr>
        <w:t>:</w:t>
      </w:r>
      <w:r w:rsidR="00FF406B" w:rsidRPr="00677A12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677A12">
        <w:rPr>
          <w:rFonts w:asciiTheme="minorHAnsi" w:hAnsiTheme="minorHAnsi" w:cstheme="minorHAnsi"/>
          <w:sz w:val="22"/>
          <w:szCs w:val="22"/>
          <w:lang w:val="ru-RU"/>
        </w:rPr>
        <w:t>1</w:t>
      </w:r>
    </w:p>
    <w:p w14:paraId="598A38A3" w14:textId="0C31C5C7" w:rsidR="00D85070" w:rsidRPr="00FF406B" w:rsidRDefault="00D85070" w:rsidP="00FF406B">
      <w:pPr>
        <w:pStyle w:val="AnnexNo"/>
        <w:pageBreakBefore/>
        <w:rPr>
          <w:lang w:val="ru-RU"/>
        </w:rPr>
      </w:pPr>
      <w:r w:rsidRPr="00FF406B">
        <w:rPr>
          <w:lang w:val="ru-RU"/>
        </w:rPr>
        <w:lastRenderedPageBreak/>
        <w:t>Приложение 1</w:t>
      </w:r>
    </w:p>
    <w:p w14:paraId="2AF21DFD" w14:textId="3FA5712C" w:rsidR="008C0872" w:rsidRPr="00FF406B" w:rsidRDefault="008C0872" w:rsidP="00D85070">
      <w:pPr>
        <w:pStyle w:val="Annextitle"/>
        <w:rPr>
          <w:szCs w:val="28"/>
          <w:lang w:val="ru-RU"/>
        </w:rPr>
      </w:pPr>
      <w:r w:rsidRPr="00FF406B">
        <w:rPr>
          <w:bCs/>
          <w:szCs w:val="28"/>
          <w:lang w:val="ru-RU"/>
        </w:rPr>
        <w:t>Круг ведения Региональной группы 15-й Исследовательской комиссии МСЭ-Т для</w:t>
      </w:r>
      <w:r w:rsidR="00FF406B" w:rsidRPr="00FF406B">
        <w:rPr>
          <w:bCs/>
          <w:szCs w:val="28"/>
          <w:lang w:val="ru-RU"/>
        </w:rPr>
        <w:t> </w:t>
      </w:r>
      <w:r w:rsidRPr="00FF406B">
        <w:rPr>
          <w:bCs/>
          <w:szCs w:val="28"/>
          <w:lang w:val="ru-RU"/>
        </w:rPr>
        <w:t>Африки (РегГр-АФР ИК15)</w:t>
      </w:r>
    </w:p>
    <w:p w14:paraId="25754DF3" w14:textId="301C0AB3" w:rsidR="008C0872" w:rsidRPr="00FF406B" w:rsidRDefault="008C0872" w:rsidP="00FF406B">
      <w:pPr>
        <w:pStyle w:val="ListParagraph"/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 xml:space="preserve">Поощрение активного участия делегатов </w:t>
      </w:r>
      <w:r w:rsidR="00DC5097" w:rsidRPr="00FF406B">
        <w:rPr>
          <w:sz w:val="22"/>
          <w:szCs w:val="22"/>
          <w:lang w:val="ru-RU"/>
        </w:rPr>
        <w:t>от</w:t>
      </w:r>
      <w:r w:rsidRPr="00FF406B">
        <w:rPr>
          <w:sz w:val="22"/>
          <w:szCs w:val="22"/>
          <w:lang w:val="ru-RU"/>
        </w:rPr>
        <w:t xml:space="preserve"> африканских стран в работе ИК15 МСЭ-Т (включая собрания групп Докладчиков и другие мероприятия ИК15 МСЭ-Т) и поддержка кандидатур </w:t>
      </w:r>
      <w:r w:rsidR="00DC5097" w:rsidRPr="00FF406B">
        <w:rPr>
          <w:sz w:val="22"/>
          <w:szCs w:val="22"/>
          <w:lang w:val="ru-RU"/>
        </w:rPr>
        <w:t>от</w:t>
      </w:r>
      <w:r w:rsidRPr="00FF406B">
        <w:rPr>
          <w:sz w:val="22"/>
          <w:szCs w:val="22"/>
          <w:lang w:val="ru-RU"/>
        </w:rPr>
        <w:t xml:space="preserve"> африканских стран при выдвижении на руководящие должности в ИК15 МСЭ-Т.</w:t>
      </w:r>
    </w:p>
    <w:p w14:paraId="203C315B" w14:textId="0148BC62" w:rsidR="008C0872" w:rsidRPr="00FF406B" w:rsidRDefault="008C0872" w:rsidP="00FF406B">
      <w:pPr>
        <w:pStyle w:val="ListParagraph"/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>Выявление и обсуждение проблем развертывания в регионе, связанных с Рекомендациями ИК15 МСЭ-Т.</w:t>
      </w:r>
    </w:p>
    <w:p w14:paraId="403E2DE0" w14:textId="77777777" w:rsidR="008C0872" w:rsidRPr="00FF406B" w:rsidRDefault="008C0872" w:rsidP="00FF406B">
      <w:pPr>
        <w:pStyle w:val="ListParagraph"/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>Удовлетворение потребностей региона в профессиональной подготовке в области разработки стандартов и оптических технологий.</w:t>
      </w:r>
    </w:p>
    <w:p w14:paraId="2C72BE99" w14:textId="5CC388DA" w:rsidR="008C0872" w:rsidRPr="00FF406B" w:rsidRDefault="008C0872" w:rsidP="00FF406B">
      <w:pPr>
        <w:pStyle w:val="ListParagraph"/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>Содействие получению таких результатов работы ИК15 МСЭ-Т, которые отвечали</w:t>
      </w:r>
      <w:r w:rsidR="00DC5097" w:rsidRPr="00FF406B">
        <w:rPr>
          <w:sz w:val="22"/>
          <w:szCs w:val="22"/>
          <w:lang w:val="ru-RU"/>
        </w:rPr>
        <w:t xml:space="preserve"> бы</w:t>
      </w:r>
      <w:r w:rsidRPr="00FF406B">
        <w:rPr>
          <w:sz w:val="22"/>
          <w:szCs w:val="22"/>
          <w:lang w:val="ru-RU"/>
        </w:rPr>
        <w:t xml:space="preserve"> соответствующим региональным приоритетам Африки. </w:t>
      </w:r>
    </w:p>
    <w:p w14:paraId="4906AD5A" w14:textId="04785817" w:rsidR="008C0872" w:rsidRPr="00FF406B" w:rsidRDefault="008C0872" w:rsidP="00FF406B">
      <w:pPr>
        <w:pStyle w:val="ListParagraph"/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>Осуществление тесного сотрудничества с соответствующими компетентными региональными организациями электросвязи в Африке, органами по стандартизации африканских стран и региональными/зональными отделениями МСЭ в Африке в целях достижения возможной синергии и представления ИК15 МСЭ-Т отчетов о работе в регионе.</w:t>
      </w:r>
    </w:p>
    <w:p w14:paraId="20353143" w14:textId="07007129" w:rsidR="008C0872" w:rsidRPr="00FF406B" w:rsidRDefault="008C0872" w:rsidP="00FF406B">
      <w:pPr>
        <w:pStyle w:val="ListParagraph"/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>Создание специального пространства</w:t>
      </w:r>
      <w:r w:rsidR="003849B8" w:rsidRPr="00FF406B">
        <w:rPr>
          <w:sz w:val="22"/>
          <w:szCs w:val="22"/>
          <w:lang w:val="ru-RU"/>
        </w:rPr>
        <w:t xml:space="preserve"> для обсуждений</w:t>
      </w:r>
      <w:r w:rsidRPr="00FF406B">
        <w:rPr>
          <w:sz w:val="22"/>
          <w:szCs w:val="22"/>
          <w:lang w:val="ru-RU"/>
        </w:rPr>
        <w:t xml:space="preserve">, например путем организации региональных технических семинаров-практикумов, </w:t>
      </w:r>
      <w:r w:rsidR="003849B8" w:rsidRPr="00FF406B">
        <w:rPr>
          <w:sz w:val="22"/>
          <w:szCs w:val="22"/>
          <w:lang w:val="ru-RU"/>
        </w:rPr>
        <w:t>в целях</w:t>
      </w:r>
      <w:r w:rsidRPr="00FF406B">
        <w:rPr>
          <w:sz w:val="22"/>
          <w:szCs w:val="22"/>
          <w:lang w:val="ru-RU"/>
        </w:rPr>
        <w:t xml:space="preserve"> </w:t>
      </w:r>
      <w:r w:rsidR="003849B8" w:rsidRPr="00FF406B">
        <w:rPr>
          <w:sz w:val="22"/>
          <w:szCs w:val="22"/>
          <w:lang w:val="ru-RU"/>
        </w:rPr>
        <w:t>осуществления</w:t>
      </w:r>
      <w:r w:rsidRPr="00FF406B">
        <w:rPr>
          <w:sz w:val="22"/>
          <w:szCs w:val="22"/>
          <w:lang w:val="ru-RU"/>
        </w:rPr>
        <w:t xml:space="preserve"> настоящего круга ведения.</w:t>
      </w:r>
    </w:p>
    <w:p w14:paraId="33AF8978" w14:textId="2BCF1396" w:rsidR="008C0872" w:rsidRPr="00FF406B" w:rsidRDefault="008C0872" w:rsidP="00FF406B">
      <w:pPr>
        <w:pStyle w:val="ListParagraph"/>
        <w:numPr>
          <w:ilvl w:val="0"/>
          <w:numId w:val="12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 xml:space="preserve">Ограничение сферы деятельности </w:t>
      </w:r>
      <w:r w:rsidR="003849B8" w:rsidRPr="00FF406B">
        <w:rPr>
          <w:sz w:val="22"/>
          <w:szCs w:val="22"/>
          <w:lang w:val="ru-RU"/>
        </w:rPr>
        <w:t xml:space="preserve">региональной группы </w:t>
      </w:r>
      <w:r w:rsidRPr="00FF406B">
        <w:rPr>
          <w:sz w:val="22"/>
          <w:szCs w:val="22"/>
          <w:lang w:val="ru-RU"/>
        </w:rPr>
        <w:t>настоящим кругом ведения в соответствии с мандатом ИК15 МСЭ-Т, определенным в Резолюции 2 МСЭ-Т, и отказ от разработки региональных стандартов.</w:t>
      </w:r>
    </w:p>
    <w:p w14:paraId="6A2065F0" w14:textId="3755BECB" w:rsidR="008C0872" w:rsidRPr="00FF406B" w:rsidRDefault="00D85070" w:rsidP="00D85070">
      <w:pPr>
        <w:pStyle w:val="Annextitle"/>
        <w:rPr>
          <w:bCs/>
          <w:szCs w:val="28"/>
          <w:lang w:val="ru-RU"/>
        </w:rPr>
      </w:pPr>
      <w:r w:rsidRPr="00FF406B">
        <w:rPr>
          <w:bCs/>
          <w:szCs w:val="28"/>
          <w:lang w:val="ru-RU"/>
        </w:rPr>
        <w:t>Методы работы Региональной группы 15-й Исследовательской комиссии МСЭ-Т для</w:t>
      </w:r>
      <w:r w:rsidR="00FF406B" w:rsidRPr="00FF406B">
        <w:rPr>
          <w:bCs/>
          <w:szCs w:val="28"/>
          <w:lang w:val="ru-RU"/>
        </w:rPr>
        <w:t> </w:t>
      </w:r>
      <w:r w:rsidRPr="00FF406B">
        <w:rPr>
          <w:bCs/>
          <w:szCs w:val="28"/>
          <w:lang w:val="ru-RU"/>
        </w:rPr>
        <w:t>Африки</w:t>
      </w:r>
    </w:p>
    <w:p w14:paraId="77F3961B" w14:textId="77777777" w:rsidR="008C0872" w:rsidRPr="00FF406B" w:rsidRDefault="008C0872" w:rsidP="00FF406B">
      <w:pPr>
        <w:pStyle w:val="ListParagraph"/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>Председатель РегГр-АФР ИК15 назначается Председателем ИК15 МСЭ-Т из числа заместителей Председателя ИК15 МСЭ-Т в Африканском регионе на текущий исследовательский период.</w:t>
      </w:r>
    </w:p>
    <w:p w14:paraId="56D2758E" w14:textId="2624DA29" w:rsidR="008C0872" w:rsidRPr="00FF406B" w:rsidRDefault="008C0872" w:rsidP="00FF406B">
      <w:pPr>
        <w:pStyle w:val="ListParagraph"/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 xml:space="preserve">Из региональных членов РегГр-АФР ИК15, лично присутствующих на первом собрании региональной группы текущего исследовательского периода, избираются до четырех заместителей Председателя РегГр-АФР ИК15, </w:t>
      </w:r>
      <w:r w:rsidR="003849B8" w:rsidRPr="00FF406B">
        <w:rPr>
          <w:sz w:val="22"/>
          <w:szCs w:val="22"/>
          <w:lang w:val="ru-RU"/>
        </w:rPr>
        <w:t xml:space="preserve">учитывая их компетентность и принцип справедливого географического распределения, </w:t>
      </w:r>
      <w:r w:rsidRPr="00FF406B">
        <w:rPr>
          <w:sz w:val="22"/>
          <w:szCs w:val="22"/>
          <w:lang w:val="ru-RU"/>
        </w:rPr>
        <w:t>которые назначаются ИК15 на ее следующем пленарном заседании.</w:t>
      </w:r>
    </w:p>
    <w:p w14:paraId="62F4AA37" w14:textId="78E7833B" w:rsidR="008C0872" w:rsidRPr="00FF406B" w:rsidRDefault="008C0872" w:rsidP="00FF406B">
      <w:pPr>
        <w:pStyle w:val="ListParagraph"/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 xml:space="preserve">Полномочия Председателя РегГр-АФР ИК15 и заместителей Председателя РегГр-АФР ИК15 </w:t>
      </w:r>
      <w:r w:rsidR="00A67720" w:rsidRPr="00FF406B">
        <w:rPr>
          <w:sz w:val="22"/>
          <w:szCs w:val="22"/>
          <w:lang w:val="ru-RU"/>
        </w:rPr>
        <w:t>предоставляются</w:t>
      </w:r>
      <w:r w:rsidRPr="00FF406B">
        <w:rPr>
          <w:sz w:val="22"/>
          <w:szCs w:val="22"/>
          <w:lang w:val="ru-RU"/>
        </w:rPr>
        <w:t xml:space="preserve"> на один исследовательский период, а срок их действия не может превышать двух исследовательских периодов.</w:t>
      </w:r>
    </w:p>
    <w:p w14:paraId="5F32F3D1" w14:textId="1EC883B8" w:rsidR="008C0872" w:rsidRPr="00FF406B" w:rsidRDefault="003849B8" w:rsidP="00FF406B">
      <w:pPr>
        <w:pStyle w:val="ListParagraph"/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 xml:space="preserve">Наличие у </w:t>
      </w:r>
      <w:r w:rsidR="008C0872" w:rsidRPr="00FF406B">
        <w:rPr>
          <w:sz w:val="22"/>
          <w:szCs w:val="22"/>
          <w:lang w:val="ru-RU"/>
        </w:rPr>
        <w:t xml:space="preserve">данной региональной группы </w:t>
      </w:r>
      <w:r w:rsidRPr="00FF406B">
        <w:rPr>
          <w:sz w:val="22"/>
          <w:szCs w:val="22"/>
          <w:lang w:val="ru-RU"/>
        </w:rPr>
        <w:t xml:space="preserve">подгрупп </w:t>
      </w:r>
      <w:r w:rsidR="008C0872" w:rsidRPr="00FF406B">
        <w:rPr>
          <w:sz w:val="22"/>
          <w:szCs w:val="22"/>
          <w:lang w:val="ru-RU"/>
        </w:rPr>
        <w:t>не предусмотрен</w:t>
      </w:r>
      <w:r w:rsidRPr="00FF406B">
        <w:rPr>
          <w:sz w:val="22"/>
          <w:szCs w:val="22"/>
          <w:lang w:val="ru-RU"/>
        </w:rPr>
        <w:t>о</w:t>
      </w:r>
      <w:r w:rsidR="008C0872" w:rsidRPr="00FF406B">
        <w:rPr>
          <w:sz w:val="22"/>
          <w:szCs w:val="22"/>
          <w:lang w:val="ru-RU"/>
        </w:rPr>
        <w:t>, если только они не будут утверждены пленарным заседанием ИК15 МСЭ-Т.</w:t>
      </w:r>
    </w:p>
    <w:p w14:paraId="7ECE1857" w14:textId="39CAB0BE" w:rsidR="00A67720" w:rsidRPr="00FF406B" w:rsidRDefault="00D73C61" w:rsidP="00FF406B">
      <w:pPr>
        <w:pStyle w:val="ListParagraph"/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>Достижения</w:t>
      </w:r>
      <w:r w:rsidR="008C0872" w:rsidRPr="00FF406B">
        <w:rPr>
          <w:sz w:val="22"/>
          <w:szCs w:val="22"/>
          <w:lang w:val="ru-RU"/>
        </w:rPr>
        <w:t xml:space="preserve"> региональной группы должн</w:t>
      </w:r>
      <w:r w:rsidR="00A67720" w:rsidRPr="00FF406B">
        <w:rPr>
          <w:sz w:val="22"/>
          <w:szCs w:val="22"/>
          <w:lang w:val="ru-RU"/>
        </w:rPr>
        <w:t>ы</w:t>
      </w:r>
      <w:r w:rsidR="008C0872" w:rsidRPr="00FF406B">
        <w:rPr>
          <w:sz w:val="22"/>
          <w:szCs w:val="22"/>
          <w:lang w:val="ru-RU"/>
        </w:rPr>
        <w:t xml:space="preserve"> оцен</w:t>
      </w:r>
      <w:r w:rsidR="00A67720" w:rsidRPr="00FF406B">
        <w:rPr>
          <w:sz w:val="22"/>
          <w:szCs w:val="22"/>
          <w:lang w:val="ru-RU"/>
        </w:rPr>
        <w:t xml:space="preserve">иваться </w:t>
      </w:r>
      <w:r w:rsidR="008C0872" w:rsidRPr="00FF406B">
        <w:rPr>
          <w:sz w:val="22"/>
          <w:szCs w:val="22"/>
          <w:lang w:val="ru-RU"/>
        </w:rPr>
        <w:t>пленарн</w:t>
      </w:r>
      <w:r w:rsidR="00A67720" w:rsidRPr="00FF406B">
        <w:rPr>
          <w:sz w:val="22"/>
          <w:szCs w:val="22"/>
          <w:lang w:val="ru-RU"/>
        </w:rPr>
        <w:t>ым</w:t>
      </w:r>
      <w:r w:rsidR="008C0872" w:rsidRPr="00FF406B">
        <w:rPr>
          <w:sz w:val="22"/>
          <w:szCs w:val="22"/>
          <w:lang w:val="ru-RU"/>
        </w:rPr>
        <w:t xml:space="preserve"> заседани</w:t>
      </w:r>
      <w:r w:rsidR="00A67720" w:rsidRPr="00FF406B">
        <w:rPr>
          <w:sz w:val="22"/>
          <w:szCs w:val="22"/>
          <w:lang w:val="ru-RU"/>
        </w:rPr>
        <w:t>ем</w:t>
      </w:r>
      <w:r w:rsidR="008C0872" w:rsidRPr="00FF406B">
        <w:rPr>
          <w:sz w:val="22"/>
          <w:szCs w:val="22"/>
          <w:lang w:val="ru-RU"/>
        </w:rPr>
        <w:t xml:space="preserve"> ИК15, </w:t>
      </w:r>
      <w:r w:rsidRPr="00FF406B">
        <w:rPr>
          <w:sz w:val="22"/>
          <w:szCs w:val="22"/>
          <w:lang w:val="ru-RU"/>
        </w:rPr>
        <w:t>а в начале каждого исследовательского периода должен рассматриваться вопрос о подтверждении мандата региональной группы.</w:t>
      </w:r>
    </w:p>
    <w:p w14:paraId="36B124D1" w14:textId="6B7BEAAC" w:rsidR="008C0872" w:rsidRPr="00FF406B" w:rsidRDefault="008C0872" w:rsidP="00FF406B">
      <w:pPr>
        <w:pStyle w:val="ListParagraph"/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>Не менее чем за двенадцать календарных дней до каждого пленарного заседания ИК15 МСЭ-Т Региональная группа представляет отчет, в котором обозначает свои достижения</w:t>
      </w:r>
      <w:r w:rsidR="00D73C61" w:rsidRPr="00FF406B">
        <w:rPr>
          <w:sz w:val="22"/>
          <w:szCs w:val="22"/>
          <w:lang w:val="ru-RU"/>
        </w:rPr>
        <w:t xml:space="preserve">, подтверждающие </w:t>
      </w:r>
      <w:r w:rsidR="003849B8" w:rsidRPr="00FF406B">
        <w:rPr>
          <w:sz w:val="22"/>
          <w:szCs w:val="22"/>
          <w:lang w:val="ru-RU"/>
        </w:rPr>
        <w:t>осуществлени</w:t>
      </w:r>
      <w:r w:rsidR="00D73C61" w:rsidRPr="00FF406B">
        <w:rPr>
          <w:sz w:val="22"/>
          <w:szCs w:val="22"/>
          <w:lang w:val="ru-RU"/>
        </w:rPr>
        <w:t>е</w:t>
      </w:r>
      <w:r w:rsidRPr="00FF406B">
        <w:rPr>
          <w:sz w:val="22"/>
          <w:szCs w:val="22"/>
          <w:lang w:val="ru-RU"/>
        </w:rPr>
        <w:t xml:space="preserve"> круга ведения.</w:t>
      </w:r>
    </w:p>
    <w:p w14:paraId="44DE4310" w14:textId="7BF842B4" w:rsidR="008C0872" w:rsidRPr="00FF406B" w:rsidRDefault="008C0872" w:rsidP="00FF406B">
      <w:pPr>
        <w:pStyle w:val="ListParagraph"/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lastRenderedPageBreak/>
        <w:t>О каждом собрании региональной группы следует объявлять по меньшей мере за два месяца и проводить его не менее чем за два месяца до начала каждого пленарного заседания ИК15 МСЭ</w:t>
      </w:r>
      <w:r w:rsidR="00CB5F85">
        <w:rPr>
          <w:sz w:val="22"/>
          <w:szCs w:val="22"/>
          <w:lang w:val="ru-RU"/>
        </w:rPr>
        <w:noBreakHyphen/>
      </w:r>
      <w:r w:rsidRPr="00FF406B">
        <w:rPr>
          <w:sz w:val="22"/>
          <w:szCs w:val="22"/>
          <w:lang w:val="ru-RU"/>
        </w:rPr>
        <w:t xml:space="preserve">Т. </w:t>
      </w:r>
      <w:r w:rsidR="003849B8" w:rsidRPr="00FF406B">
        <w:rPr>
          <w:sz w:val="22"/>
          <w:szCs w:val="22"/>
          <w:lang w:val="ru-RU"/>
        </w:rPr>
        <w:t>Также м</w:t>
      </w:r>
      <w:r w:rsidRPr="00FF406B">
        <w:rPr>
          <w:sz w:val="22"/>
          <w:szCs w:val="22"/>
          <w:lang w:val="ru-RU"/>
        </w:rPr>
        <w:t>огут быть запланированы дополнительные собрания региональной группы.</w:t>
      </w:r>
    </w:p>
    <w:p w14:paraId="1DBF8E30" w14:textId="4960743C" w:rsidR="008C0872" w:rsidRDefault="008C0872" w:rsidP="00FF406B">
      <w:pPr>
        <w:pStyle w:val="ListParagraph"/>
        <w:numPr>
          <w:ilvl w:val="0"/>
          <w:numId w:val="11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sz w:val="22"/>
          <w:szCs w:val="22"/>
          <w:lang w:val="ru-RU"/>
        </w:rPr>
      </w:pPr>
      <w:r w:rsidRPr="00FF406B">
        <w:rPr>
          <w:sz w:val="22"/>
          <w:szCs w:val="22"/>
          <w:lang w:val="ru-RU"/>
        </w:rPr>
        <w:t xml:space="preserve">С тем чтобы максимально расширить возможности для диалога и консультаций, </w:t>
      </w:r>
      <w:r w:rsidR="003849B8" w:rsidRPr="00FF406B">
        <w:rPr>
          <w:sz w:val="22"/>
          <w:szCs w:val="22"/>
          <w:lang w:val="ru-RU"/>
        </w:rPr>
        <w:t>принимающей стороне</w:t>
      </w:r>
      <w:r w:rsidRPr="00FF406B">
        <w:rPr>
          <w:sz w:val="22"/>
          <w:szCs w:val="22"/>
          <w:lang w:val="ru-RU"/>
        </w:rPr>
        <w:t xml:space="preserve"> предлагается поддерживать проведение собраний региональной группы и региональных технических семинаров-практикумов в очном формате. В отсутствие поддержки принимающей стороны региональная группа может проводить собрания в онлайновом формате.</w:t>
      </w:r>
    </w:p>
    <w:p w14:paraId="43C0A5EA" w14:textId="294D5504" w:rsidR="00CB5F85" w:rsidRPr="00CB5F85" w:rsidRDefault="00CB5F85" w:rsidP="00CB5F85">
      <w:pPr>
        <w:spacing w:before="480"/>
        <w:jc w:val="center"/>
        <w:rPr>
          <w:lang w:val="ru-RU"/>
        </w:rPr>
      </w:pPr>
      <w:r>
        <w:t>______________</w:t>
      </w:r>
    </w:p>
    <w:sectPr w:rsidR="00CB5F85" w:rsidRPr="00CB5F85" w:rsidSect="00677A12">
      <w:headerReference w:type="default" r:id="rId16"/>
      <w:footerReference w:type="first" r:id="rId17"/>
      <w:type w:val="oddPage"/>
      <w:pgSz w:w="11907" w:h="16834" w:code="9"/>
      <w:pgMar w:top="1418" w:right="1134" w:bottom="1134" w:left="1134" w:header="567" w:footer="342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83A7E" w14:textId="77777777" w:rsidR="00F123CA" w:rsidRDefault="00F123CA">
      <w:r>
        <w:separator/>
      </w:r>
    </w:p>
  </w:endnote>
  <w:endnote w:type="continuationSeparator" w:id="0">
    <w:p w14:paraId="2A3513EC" w14:textId="77777777" w:rsidR="00F123CA" w:rsidRDefault="00F1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379C" w14:textId="126D19C9" w:rsidR="00A009BE" w:rsidRPr="009F31A0" w:rsidRDefault="009F31A0" w:rsidP="009F31A0">
    <w:pPr>
      <w:pStyle w:val="FirstFooter"/>
      <w:ind w:left="-397" w:right="-397"/>
      <w:jc w:val="center"/>
      <w:rPr>
        <w:color w:val="0070C0"/>
        <w:lang w:val="ru-RU"/>
      </w:rPr>
    </w:pPr>
    <w:r w:rsidRPr="00BA1F70">
      <w:rPr>
        <w:color w:val="0070C0"/>
        <w:sz w:val="18"/>
        <w:szCs w:val="18"/>
      </w:rPr>
      <w:t>International Telecommunication Union • Place des Nations • CH-1211 Geneva 20 • Switzerland</w:t>
    </w:r>
    <w:r w:rsidRPr="00BA1F70">
      <w:rPr>
        <w:color w:val="0070C0"/>
        <w:sz w:val="18"/>
        <w:szCs w:val="18"/>
      </w:rPr>
      <w:br/>
    </w:r>
    <w:r>
      <w:rPr>
        <w:color w:val="0070C0"/>
        <w:sz w:val="18"/>
        <w:szCs w:val="18"/>
        <w:lang w:val="ru-RU"/>
      </w:rPr>
      <w:t>Тел.</w:t>
    </w:r>
    <w:r w:rsidRPr="00BA1F70">
      <w:rPr>
        <w:color w:val="0070C0"/>
        <w:sz w:val="18"/>
        <w:szCs w:val="18"/>
      </w:rPr>
      <w:t xml:space="preserve">: +41 22 730 5111 • </w:t>
    </w:r>
    <w:r>
      <w:rPr>
        <w:color w:val="0070C0"/>
        <w:sz w:val="18"/>
        <w:szCs w:val="18"/>
        <w:lang w:val="ru-RU"/>
      </w:rPr>
      <w:t>Факс</w:t>
    </w:r>
    <w:r w:rsidRPr="00BA1F70">
      <w:rPr>
        <w:color w:val="0070C0"/>
        <w:sz w:val="18"/>
        <w:szCs w:val="18"/>
      </w:rPr>
      <w:t xml:space="preserve">: +41 22 733 7256 • </w:t>
    </w:r>
    <w:r>
      <w:rPr>
        <w:color w:val="0070C0"/>
        <w:sz w:val="18"/>
        <w:szCs w:val="18"/>
        <w:lang w:val="ru-RU"/>
      </w:rPr>
      <w:t xml:space="preserve">Эл. </w:t>
    </w:r>
    <w:r>
      <w:rPr>
        <w:color w:val="0070C0"/>
        <w:sz w:val="18"/>
        <w:szCs w:val="18"/>
        <w:lang w:val="ru-RU"/>
      </w:rPr>
      <w:t>почта</w:t>
    </w:r>
    <w:r w:rsidRPr="00BA1F70">
      <w:rPr>
        <w:color w:val="0070C0"/>
        <w:sz w:val="18"/>
        <w:szCs w:val="18"/>
      </w:rPr>
      <w:t xml:space="preserve">: </w:t>
    </w:r>
    <w:hyperlink r:id="rId1" w:history="1">
      <w:r w:rsidRPr="00BA1F70">
        <w:rPr>
          <w:rStyle w:val="Hyperlink"/>
          <w:color w:val="0070C0"/>
          <w:sz w:val="18"/>
          <w:szCs w:val="18"/>
        </w:rPr>
        <w:t>itumail@itu.int</w:t>
      </w:r>
    </w:hyperlink>
    <w:r w:rsidRPr="00BA1F70">
      <w:rPr>
        <w:color w:val="0070C0"/>
        <w:sz w:val="18"/>
        <w:szCs w:val="18"/>
      </w:rPr>
      <w:t xml:space="preserve"> • </w:t>
    </w:r>
    <w:hyperlink r:id="rId2" w:history="1">
      <w:r w:rsidRPr="00BA1F70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6BE80" w14:textId="77777777" w:rsidR="00F123CA" w:rsidRDefault="00F123CA">
      <w:r>
        <w:t>____________________</w:t>
      </w:r>
    </w:p>
  </w:footnote>
  <w:footnote w:type="continuationSeparator" w:id="0">
    <w:p w14:paraId="68F271CB" w14:textId="77777777" w:rsidR="00F123CA" w:rsidRDefault="00F1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95A5" w14:textId="2FE920C9" w:rsidR="004933E6" w:rsidRPr="00F6564F" w:rsidRDefault="00A009BE" w:rsidP="00F6564F">
    <w:pPr>
      <w:spacing w:before="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006DE0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="009F31A0">
      <w:rPr>
        <w:sz w:val="18"/>
        <w:lang w:val="ru-RU"/>
      </w:rPr>
      <w:t>Циркуляр</w:t>
    </w:r>
    <w:r w:rsidRPr="00D8656F">
      <w:rPr>
        <w:sz w:val="18"/>
      </w:rPr>
      <w:t xml:space="preserve"> </w:t>
    </w:r>
    <w:r w:rsidR="00D43D9A">
      <w:rPr>
        <w:sz w:val="18"/>
      </w:rPr>
      <w:t>93</w:t>
    </w:r>
    <w:r w:rsidR="009F31A0">
      <w:rPr>
        <w:sz w:val="18"/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ï‚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ï‚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ï‚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ï‚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ï‚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83C83"/>
    <w:multiLevelType w:val="hybridMultilevel"/>
    <w:tmpl w:val="6DA849F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452E7"/>
    <w:multiLevelType w:val="hybridMultilevel"/>
    <w:tmpl w:val="B9EE83AA"/>
    <w:lvl w:ilvl="0" w:tplc="936AB86A">
      <w:start w:val="1"/>
      <w:numFmt w:val="bullet"/>
      <w:lvlText w:val="−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B23B7"/>
    <w:multiLevelType w:val="hybridMultilevel"/>
    <w:tmpl w:val="DE76F3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5E48"/>
    <w:multiLevelType w:val="hybridMultilevel"/>
    <w:tmpl w:val="717616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476869">
    <w:abstractNumId w:val="9"/>
  </w:num>
  <w:num w:numId="2" w16cid:durableId="551622375">
    <w:abstractNumId w:val="7"/>
  </w:num>
  <w:num w:numId="3" w16cid:durableId="209272566">
    <w:abstractNumId w:val="6"/>
  </w:num>
  <w:num w:numId="4" w16cid:durableId="784038355">
    <w:abstractNumId w:val="5"/>
  </w:num>
  <w:num w:numId="5" w16cid:durableId="1401248242">
    <w:abstractNumId w:val="4"/>
  </w:num>
  <w:num w:numId="6" w16cid:durableId="1315065494">
    <w:abstractNumId w:val="8"/>
  </w:num>
  <w:num w:numId="7" w16cid:durableId="1291087823">
    <w:abstractNumId w:val="3"/>
  </w:num>
  <w:num w:numId="8" w16cid:durableId="1520925075">
    <w:abstractNumId w:val="2"/>
  </w:num>
  <w:num w:numId="9" w16cid:durableId="1494252699">
    <w:abstractNumId w:val="1"/>
  </w:num>
  <w:num w:numId="10" w16cid:durableId="1576476335">
    <w:abstractNumId w:val="0"/>
  </w:num>
  <w:num w:numId="11" w16cid:durableId="1497260404">
    <w:abstractNumId w:val="13"/>
  </w:num>
  <w:num w:numId="12" w16cid:durableId="333807329">
    <w:abstractNumId w:val="12"/>
  </w:num>
  <w:num w:numId="13" w16cid:durableId="343484602">
    <w:abstractNumId w:val="11"/>
  </w:num>
  <w:num w:numId="14" w16cid:durableId="348683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5C"/>
    <w:rsid w:val="00006DE0"/>
    <w:rsid w:val="000227D6"/>
    <w:rsid w:val="00056992"/>
    <w:rsid w:val="00062B08"/>
    <w:rsid w:val="000A0633"/>
    <w:rsid w:val="000C5382"/>
    <w:rsid w:val="000C7A23"/>
    <w:rsid w:val="000F6929"/>
    <w:rsid w:val="001004FD"/>
    <w:rsid w:val="00101E65"/>
    <w:rsid w:val="001259C0"/>
    <w:rsid w:val="00132866"/>
    <w:rsid w:val="001501A1"/>
    <w:rsid w:val="00183B20"/>
    <w:rsid w:val="00190C38"/>
    <w:rsid w:val="001C0CF7"/>
    <w:rsid w:val="001C51DC"/>
    <w:rsid w:val="001F0FC1"/>
    <w:rsid w:val="002509A5"/>
    <w:rsid w:val="002647B1"/>
    <w:rsid w:val="0028010B"/>
    <w:rsid w:val="0029677E"/>
    <w:rsid w:val="002A0A57"/>
    <w:rsid w:val="002A1193"/>
    <w:rsid w:val="002C29D2"/>
    <w:rsid w:val="002C51DC"/>
    <w:rsid w:val="002C6EC1"/>
    <w:rsid w:val="002D56E5"/>
    <w:rsid w:val="002E6345"/>
    <w:rsid w:val="0030554F"/>
    <w:rsid w:val="00305A9C"/>
    <w:rsid w:val="00315F99"/>
    <w:rsid w:val="00324FCA"/>
    <w:rsid w:val="003256CC"/>
    <w:rsid w:val="003341A4"/>
    <w:rsid w:val="00335EB6"/>
    <w:rsid w:val="00336F77"/>
    <w:rsid w:val="00340172"/>
    <w:rsid w:val="00356D6F"/>
    <w:rsid w:val="00364CEE"/>
    <w:rsid w:val="00370A11"/>
    <w:rsid w:val="003849B8"/>
    <w:rsid w:val="00394026"/>
    <w:rsid w:val="003A1799"/>
    <w:rsid w:val="003B479B"/>
    <w:rsid w:val="003C3C3A"/>
    <w:rsid w:val="003C5AE7"/>
    <w:rsid w:val="003C757A"/>
    <w:rsid w:val="003D42C3"/>
    <w:rsid w:val="003F6094"/>
    <w:rsid w:val="004254CA"/>
    <w:rsid w:val="00445204"/>
    <w:rsid w:val="00451E27"/>
    <w:rsid w:val="00454926"/>
    <w:rsid w:val="00463108"/>
    <w:rsid w:val="00473ECD"/>
    <w:rsid w:val="00481B48"/>
    <w:rsid w:val="004933E6"/>
    <w:rsid w:val="004939C0"/>
    <w:rsid w:val="00495BA8"/>
    <w:rsid w:val="00496885"/>
    <w:rsid w:val="004B1929"/>
    <w:rsid w:val="004B1A0E"/>
    <w:rsid w:val="004B3445"/>
    <w:rsid w:val="004C1BA8"/>
    <w:rsid w:val="004F04FA"/>
    <w:rsid w:val="004F3181"/>
    <w:rsid w:val="005022C1"/>
    <w:rsid w:val="00510276"/>
    <w:rsid w:val="00533D70"/>
    <w:rsid w:val="005638D8"/>
    <w:rsid w:val="005676A9"/>
    <w:rsid w:val="00577EA8"/>
    <w:rsid w:val="005815AD"/>
    <w:rsid w:val="00592EA7"/>
    <w:rsid w:val="00595AE9"/>
    <w:rsid w:val="005C398A"/>
    <w:rsid w:val="005D3672"/>
    <w:rsid w:val="005E239D"/>
    <w:rsid w:val="005F253B"/>
    <w:rsid w:val="005F755F"/>
    <w:rsid w:val="005F7B49"/>
    <w:rsid w:val="00633FD9"/>
    <w:rsid w:val="00637025"/>
    <w:rsid w:val="006512E3"/>
    <w:rsid w:val="00653A8A"/>
    <w:rsid w:val="00653BB2"/>
    <w:rsid w:val="0065629B"/>
    <w:rsid w:val="00677A12"/>
    <w:rsid w:val="00680FBF"/>
    <w:rsid w:val="0069099D"/>
    <w:rsid w:val="006C56AC"/>
    <w:rsid w:val="006D775C"/>
    <w:rsid w:val="006E7F29"/>
    <w:rsid w:val="006F458F"/>
    <w:rsid w:val="00714436"/>
    <w:rsid w:val="007244F9"/>
    <w:rsid w:val="00730708"/>
    <w:rsid w:val="00746EA0"/>
    <w:rsid w:val="00751F81"/>
    <w:rsid w:val="007612BF"/>
    <w:rsid w:val="0077408E"/>
    <w:rsid w:val="00787529"/>
    <w:rsid w:val="007C067C"/>
    <w:rsid w:val="007C235A"/>
    <w:rsid w:val="007C4535"/>
    <w:rsid w:val="007D6C06"/>
    <w:rsid w:val="007F1638"/>
    <w:rsid w:val="007F62A8"/>
    <w:rsid w:val="007F6827"/>
    <w:rsid w:val="008052FC"/>
    <w:rsid w:val="00840523"/>
    <w:rsid w:val="0084326C"/>
    <w:rsid w:val="00843A2C"/>
    <w:rsid w:val="00855EAC"/>
    <w:rsid w:val="008730B7"/>
    <w:rsid w:val="00885A7C"/>
    <w:rsid w:val="008C0872"/>
    <w:rsid w:val="008C1D23"/>
    <w:rsid w:val="008C2F20"/>
    <w:rsid w:val="008E0B07"/>
    <w:rsid w:val="008F6EA7"/>
    <w:rsid w:val="00901518"/>
    <w:rsid w:val="00911B33"/>
    <w:rsid w:val="00941EA2"/>
    <w:rsid w:val="009443EA"/>
    <w:rsid w:val="009929EF"/>
    <w:rsid w:val="0099722F"/>
    <w:rsid w:val="009B112D"/>
    <w:rsid w:val="009D4928"/>
    <w:rsid w:val="009F0D70"/>
    <w:rsid w:val="009F31A0"/>
    <w:rsid w:val="00A009BE"/>
    <w:rsid w:val="00A036E5"/>
    <w:rsid w:val="00A17A17"/>
    <w:rsid w:val="00A208A1"/>
    <w:rsid w:val="00A330FA"/>
    <w:rsid w:val="00A407F4"/>
    <w:rsid w:val="00A44CB6"/>
    <w:rsid w:val="00A55132"/>
    <w:rsid w:val="00A55879"/>
    <w:rsid w:val="00A57FDF"/>
    <w:rsid w:val="00A67720"/>
    <w:rsid w:val="00A73960"/>
    <w:rsid w:val="00A82F2E"/>
    <w:rsid w:val="00A9722B"/>
    <w:rsid w:val="00B03090"/>
    <w:rsid w:val="00B049BB"/>
    <w:rsid w:val="00B0573D"/>
    <w:rsid w:val="00B05A2C"/>
    <w:rsid w:val="00B066DF"/>
    <w:rsid w:val="00B347F0"/>
    <w:rsid w:val="00B44FC8"/>
    <w:rsid w:val="00B728BF"/>
    <w:rsid w:val="00B77855"/>
    <w:rsid w:val="00B976B6"/>
    <w:rsid w:val="00BA0AF5"/>
    <w:rsid w:val="00BA1F70"/>
    <w:rsid w:val="00BC730F"/>
    <w:rsid w:val="00BD4B85"/>
    <w:rsid w:val="00BF0417"/>
    <w:rsid w:val="00C02B28"/>
    <w:rsid w:val="00C053A0"/>
    <w:rsid w:val="00C05CB0"/>
    <w:rsid w:val="00C066D6"/>
    <w:rsid w:val="00C11248"/>
    <w:rsid w:val="00C2288B"/>
    <w:rsid w:val="00C273FE"/>
    <w:rsid w:val="00C521FD"/>
    <w:rsid w:val="00C8524E"/>
    <w:rsid w:val="00CB5F85"/>
    <w:rsid w:val="00CC752A"/>
    <w:rsid w:val="00CF2CF8"/>
    <w:rsid w:val="00CF7962"/>
    <w:rsid w:val="00D026DD"/>
    <w:rsid w:val="00D249F9"/>
    <w:rsid w:val="00D40F22"/>
    <w:rsid w:val="00D43D9A"/>
    <w:rsid w:val="00D63CF2"/>
    <w:rsid w:val="00D720AF"/>
    <w:rsid w:val="00D73C61"/>
    <w:rsid w:val="00D73FB7"/>
    <w:rsid w:val="00D82C10"/>
    <w:rsid w:val="00D85070"/>
    <w:rsid w:val="00DA40C3"/>
    <w:rsid w:val="00DC5097"/>
    <w:rsid w:val="00DF4EB2"/>
    <w:rsid w:val="00DF6015"/>
    <w:rsid w:val="00E216E6"/>
    <w:rsid w:val="00E21F01"/>
    <w:rsid w:val="00E34B1F"/>
    <w:rsid w:val="00E41008"/>
    <w:rsid w:val="00E4379D"/>
    <w:rsid w:val="00E640DF"/>
    <w:rsid w:val="00E977F5"/>
    <w:rsid w:val="00EA13ED"/>
    <w:rsid w:val="00EB2D69"/>
    <w:rsid w:val="00EC0818"/>
    <w:rsid w:val="00ED59C9"/>
    <w:rsid w:val="00EE3E85"/>
    <w:rsid w:val="00EF2B7A"/>
    <w:rsid w:val="00EF69F2"/>
    <w:rsid w:val="00F103F0"/>
    <w:rsid w:val="00F123CA"/>
    <w:rsid w:val="00F260CB"/>
    <w:rsid w:val="00F31CE2"/>
    <w:rsid w:val="00F3699A"/>
    <w:rsid w:val="00F4121B"/>
    <w:rsid w:val="00F51780"/>
    <w:rsid w:val="00F6564F"/>
    <w:rsid w:val="00F7366F"/>
    <w:rsid w:val="00F8044C"/>
    <w:rsid w:val="00F82A80"/>
    <w:rsid w:val="00F93ABC"/>
    <w:rsid w:val="00FA52F2"/>
    <w:rsid w:val="00FB0C43"/>
    <w:rsid w:val="00FC4CE4"/>
    <w:rsid w:val="00FC7713"/>
    <w:rsid w:val="00FD23E6"/>
    <w:rsid w:val="00FD2E31"/>
    <w:rsid w:val="00FE0B06"/>
    <w:rsid w:val="00FF38AC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58378"/>
  <w15:docId w15:val="{7562B8C6-7546-437E-AFEE-15902C9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MS Mincho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rsid w:val="00FF406B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F406B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customStyle="1" w:styleId="AppendixRef0">
    <w:name w:val="Appendix_Ref"/>
    <w:basedOn w:val="Annexref"/>
    <w:next w:val="Appendixtitle"/>
    <w:rsid w:val="00C02B28"/>
    <w:pPr>
      <w:spacing w:after="0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63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38D8"/>
    <w:rPr>
      <w:rFonts w:ascii="Calibri" w:hAnsi="Calibri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260CB"/>
    <w:pPr>
      <w:ind w:left="720"/>
      <w:contextualSpacing/>
    </w:pPr>
  </w:style>
  <w:style w:type="paragraph" w:styleId="Revision">
    <w:name w:val="Revision"/>
    <w:hidden/>
    <w:semiHidden/>
    <w:rsid w:val="00190C38"/>
    <w:rPr>
      <w:rFonts w:ascii="Calibri" w:hAnsi="Calibri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sg15rgafr@lists.itu.in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tu.int/" TargetMode="External"/><Relationship Id="rId12" Type="http://schemas.openxmlformats.org/officeDocument/2006/relationships/hyperlink" Target="https://www.itu.int/en/ITU-T/regionalgroups/sg15-afr/Pages/default.aspx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en/ITU-T/regionalgroups/sg15-afr/Pages/default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mailto:tsbsg15@itu.in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en/ITU-T/60/Pages/default.aspx" TargetMode="External"/><Relationship Id="rId14" Type="http://schemas.openxmlformats.org/officeDocument/2006/relationships/hyperlink" Target="mailto:tsg15rgafr@lists.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/>
  <dc:description/>
  <cp:lastModifiedBy>Braud, Olivia</cp:lastModifiedBy>
  <cp:revision>7</cp:revision>
  <cp:lastPrinted>2025-11-27T10:00:00Z</cp:lastPrinted>
  <dcterms:created xsi:type="dcterms:W3CDTF">2025-11-27T05:11:00Z</dcterms:created>
  <dcterms:modified xsi:type="dcterms:W3CDTF">2025-11-27T10:00:00Z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0x0101009084DEBE2F564140BF968F7D2BBBC12B</vt:lpwstr>
  </property>
  <property fmtid="{D5CDD505-2E9C-101B-9397-08002B2CF9AE}" pid="6" name="TranslatedWith">
    <vt:lpwstr>Mercury</vt:lpwstr>
  </property>
  <property fmtid="{D5CDD505-2E9C-101B-9397-08002B2CF9AE}" pid="7" name="GeneratedBy">
    <vt:lpwstr>anna.vegera@itu.int</vt:lpwstr>
  </property>
  <property fmtid="{D5CDD505-2E9C-101B-9397-08002B2CF9AE}" pid="8" name="GeneratedDate">
    <vt:lpwstr>11/25/2025 15:48:18</vt:lpwstr>
  </property>
  <property fmtid="{D5CDD505-2E9C-101B-9397-08002B2CF9AE}" pid="9" name="OriginalDocID">
    <vt:lpwstr>8db413ef-f543-4435-90a4-bb851494b15c</vt:lpwstr>
  </property>
</Properties>
</file>