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56"/>
        <w:tblW w:w="9990" w:type="dxa"/>
        <w:tblCellMar>
          <w:left w:w="0" w:type="dxa"/>
          <w:right w:w="0" w:type="dxa"/>
        </w:tblCellMar>
        <w:tblLook w:val="0000" w:firstRow="0" w:lastRow="0" w:firstColumn="0" w:lastColumn="0" w:noHBand="0" w:noVBand="0"/>
      </w:tblPr>
      <w:tblGrid>
        <w:gridCol w:w="1170"/>
        <w:gridCol w:w="3418"/>
        <w:gridCol w:w="5402"/>
      </w:tblGrid>
      <w:tr w:rsidR="008F2C48" w:rsidRPr="00D205EA" w14:paraId="7CEC4131" w14:textId="77777777" w:rsidTr="008F2C48">
        <w:trPr>
          <w:cantSplit/>
        </w:trPr>
        <w:tc>
          <w:tcPr>
            <w:tcW w:w="0" w:type="auto"/>
            <w:vAlign w:val="center"/>
          </w:tcPr>
          <w:p w14:paraId="73597A4B" w14:textId="77777777" w:rsidR="008F2C48" w:rsidRPr="00D205EA" w:rsidRDefault="008F2C48" w:rsidP="008F2C48">
            <w:pPr>
              <w:tabs>
                <w:tab w:val="right" w:pos="8732"/>
              </w:tabs>
              <w:spacing w:before="0"/>
              <w:rPr>
                <w:b/>
                <w:bCs/>
                <w:iCs/>
                <w:color w:val="FFFFFF"/>
                <w:sz w:val="30"/>
                <w:szCs w:val="30"/>
              </w:rPr>
            </w:pPr>
            <w:bookmarkStart w:id="0" w:name="StartTyping_F"/>
            <w:bookmarkEnd w:id="0"/>
            <w:r w:rsidRPr="00D205EA">
              <w:rPr>
                <w:noProof/>
                <w:lang w:eastAsia="zh-CN"/>
              </w:rPr>
              <w:drawing>
                <wp:inline distT="0" distB="0" distL="0" distR="0" wp14:anchorId="5879A0A1" wp14:editId="282350C2">
                  <wp:extent cx="742950" cy="74295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8820" w:type="dxa"/>
            <w:gridSpan w:val="2"/>
            <w:vAlign w:val="center"/>
          </w:tcPr>
          <w:p w14:paraId="4AB57AB1" w14:textId="77777777" w:rsidR="008F2C48" w:rsidRPr="00D205EA" w:rsidRDefault="008F2C48" w:rsidP="008F2C48">
            <w:pPr>
              <w:spacing w:before="0"/>
              <w:rPr>
                <w:rFonts w:cs="Times New Roman Bold"/>
                <w:b/>
                <w:bCs/>
                <w:iCs/>
                <w:smallCaps/>
                <w:sz w:val="34"/>
                <w:szCs w:val="34"/>
              </w:rPr>
            </w:pPr>
            <w:r w:rsidRPr="00D205EA">
              <w:rPr>
                <w:rFonts w:cs="Times New Roman Bold"/>
                <w:b/>
                <w:bCs/>
                <w:iCs/>
                <w:smallCaps/>
                <w:sz w:val="34"/>
                <w:szCs w:val="34"/>
              </w:rPr>
              <w:t>Union internationale des télécommunications</w:t>
            </w:r>
          </w:p>
          <w:p w14:paraId="2F30C46C" w14:textId="77777777" w:rsidR="008F2C48" w:rsidRPr="00D205EA" w:rsidRDefault="008F2C48" w:rsidP="008F2C48">
            <w:pPr>
              <w:spacing w:before="0"/>
              <w:rPr>
                <w:color w:val="FFFFFF"/>
                <w:sz w:val="26"/>
                <w:szCs w:val="26"/>
              </w:rPr>
            </w:pPr>
            <w:r w:rsidRPr="00D205EA">
              <w:rPr>
                <w:rFonts w:cs="Times New Roman Bold"/>
                <w:b/>
                <w:bCs/>
                <w:iCs/>
                <w:smallCaps/>
                <w:sz w:val="28"/>
                <w:szCs w:val="28"/>
              </w:rPr>
              <w:t>B</w:t>
            </w:r>
            <w:r w:rsidRPr="00D205EA">
              <w:rPr>
                <w:b/>
                <w:bCs/>
                <w:iCs/>
                <w:smallCaps/>
                <w:sz w:val="28"/>
                <w:szCs w:val="28"/>
              </w:rPr>
              <w:t>ureau de la Normalisation des Télécommunications</w:t>
            </w:r>
          </w:p>
        </w:tc>
      </w:tr>
      <w:tr w:rsidR="008F2C48" w:rsidRPr="008F2C48" w14:paraId="78797F64" w14:textId="77777777" w:rsidTr="008F2C48">
        <w:trPr>
          <w:cantSplit/>
          <w:trHeight w:val="453"/>
        </w:trPr>
        <w:tc>
          <w:tcPr>
            <w:tcW w:w="0" w:type="auto"/>
          </w:tcPr>
          <w:p w14:paraId="0E8DEC77" w14:textId="77777777" w:rsidR="008F2C48" w:rsidRPr="008F2C48" w:rsidRDefault="008F2C48" w:rsidP="008F2C48">
            <w:pPr>
              <w:tabs>
                <w:tab w:val="left" w:pos="4111"/>
              </w:tabs>
              <w:spacing w:before="10"/>
              <w:ind w:left="57"/>
              <w:rPr>
                <w:rFonts w:cstheme="minorHAnsi"/>
                <w:sz w:val="22"/>
                <w:szCs w:val="22"/>
              </w:rPr>
            </w:pPr>
          </w:p>
        </w:tc>
        <w:tc>
          <w:tcPr>
            <w:tcW w:w="3418" w:type="dxa"/>
          </w:tcPr>
          <w:p w14:paraId="75B547DA" w14:textId="77777777" w:rsidR="008F2C48" w:rsidRPr="008F2C48" w:rsidRDefault="008F2C48" w:rsidP="008F2C48">
            <w:pPr>
              <w:tabs>
                <w:tab w:val="left" w:pos="4111"/>
              </w:tabs>
              <w:spacing w:before="10"/>
              <w:ind w:left="57"/>
              <w:rPr>
                <w:rFonts w:cstheme="minorHAnsi"/>
                <w:b/>
                <w:sz w:val="22"/>
                <w:szCs w:val="22"/>
              </w:rPr>
            </w:pPr>
          </w:p>
        </w:tc>
        <w:tc>
          <w:tcPr>
            <w:tcW w:w="5402" w:type="dxa"/>
          </w:tcPr>
          <w:p w14:paraId="46925FFE" w14:textId="77777777" w:rsidR="008F2C48" w:rsidRPr="008F2C48" w:rsidRDefault="008F2C48" w:rsidP="008F2C48">
            <w:pPr>
              <w:tabs>
                <w:tab w:val="clear" w:pos="794"/>
                <w:tab w:val="clear" w:pos="1191"/>
                <w:tab w:val="clear" w:pos="1588"/>
                <w:tab w:val="clear" w:pos="1985"/>
                <w:tab w:val="left" w:pos="284"/>
              </w:tabs>
              <w:spacing w:before="0" w:after="80"/>
              <w:ind w:left="288" w:hanging="230"/>
              <w:rPr>
                <w:rFonts w:cstheme="minorHAnsi"/>
                <w:sz w:val="22"/>
                <w:szCs w:val="22"/>
              </w:rPr>
            </w:pPr>
            <w:r w:rsidRPr="008F2C48">
              <w:rPr>
                <w:rFonts w:cstheme="minorHAnsi"/>
                <w:sz w:val="22"/>
                <w:szCs w:val="22"/>
              </w:rPr>
              <w:t>Genève, le 25 novembre 2025</w:t>
            </w:r>
          </w:p>
        </w:tc>
      </w:tr>
      <w:tr w:rsidR="008F2C48" w:rsidRPr="008F2C48" w14:paraId="66D3D9FE" w14:textId="77777777" w:rsidTr="008F2C48">
        <w:trPr>
          <w:cantSplit/>
          <w:trHeight w:val="340"/>
        </w:trPr>
        <w:tc>
          <w:tcPr>
            <w:tcW w:w="0" w:type="auto"/>
          </w:tcPr>
          <w:p w14:paraId="681923A6" w14:textId="77777777" w:rsidR="008F2C48" w:rsidRPr="008F2C48" w:rsidRDefault="008F2C48" w:rsidP="008F2C48">
            <w:pPr>
              <w:tabs>
                <w:tab w:val="left" w:pos="4111"/>
              </w:tabs>
              <w:spacing w:before="10"/>
              <w:rPr>
                <w:rFonts w:cstheme="minorHAnsi"/>
                <w:b/>
                <w:bCs/>
                <w:sz w:val="22"/>
                <w:szCs w:val="22"/>
              </w:rPr>
            </w:pPr>
            <w:proofErr w:type="gramStart"/>
            <w:r w:rsidRPr="008F2C48">
              <w:rPr>
                <w:rFonts w:cstheme="minorHAnsi"/>
                <w:b/>
                <w:bCs/>
                <w:sz w:val="22"/>
                <w:szCs w:val="22"/>
              </w:rPr>
              <w:t>Réf.:</w:t>
            </w:r>
            <w:proofErr w:type="gramEnd"/>
          </w:p>
        </w:tc>
        <w:tc>
          <w:tcPr>
            <w:tcW w:w="3418" w:type="dxa"/>
          </w:tcPr>
          <w:p w14:paraId="27798F1E" w14:textId="77777777" w:rsidR="008F2C48" w:rsidRPr="008F2C48" w:rsidRDefault="008F2C48" w:rsidP="008F2C48">
            <w:pPr>
              <w:tabs>
                <w:tab w:val="left" w:pos="4111"/>
              </w:tabs>
              <w:spacing w:before="10"/>
              <w:ind w:left="57"/>
              <w:rPr>
                <w:rFonts w:cstheme="minorHAnsi"/>
                <w:b/>
                <w:sz w:val="22"/>
                <w:szCs w:val="22"/>
              </w:rPr>
            </w:pPr>
            <w:r w:rsidRPr="008F2C48">
              <w:rPr>
                <w:rFonts w:cstheme="minorHAnsi"/>
                <w:b/>
                <w:sz w:val="22"/>
                <w:szCs w:val="22"/>
              </w:rPr>
              <w:t>Circulaire TSB 93</w:t>
            </w:r>
          </w:p>
          <w:p w14:paraId="7D743661" w14:textId="77777777" w:rsidR="008F2C48" w:rsidRPr="008F2C48" w:rsidRDefault="008F2C48" w:rsidP="008F2C48">
            <w:pPr>
              <w:tabs>
                <w:tab w:val="left" w:pos="4111"/>
              </w:tabs>
              <w:spacing w:before="10"/>
              <w:ind w:left="57"/>
              <w:rPr>
                <w:rFonts w:cstheme="minorHAnsi"/>
                <w:sz w:val="22"/>
                <w:szCs w:val="22"/>
              </w:rPr>
            </w:pPr>
            <w:r w:rsidRPr="008F2C48">
              <w:rPr>
                <w:rFonts w:cstheme="minorHAnsi"/>
                <w:sz w:val="22"/>
                <w:szCs w:val="22"/>
              </w:rPr>
              <w:t>CE 15/HO</w:t>
            </w:r>
          </w:p>
        </w:tc>
        <w:tc>
          <w:tcPr>
            <w:tcW w:w="5402" w:type="dxa"/>
            <w:vMerge w:val="restart"/>
          </w:tcPr>
          <w:p w14:paraId="6E572830" w14:textId="77777777" w:rsidR="008F2C48" w:rsidRPr="008F2C48" w:rsidRDefault="008F2C48" w:rsidP="008F2C48">
            <w:pPr>
              <w:tabs>
                <w:tab w:val="left" w:pos="4111"/>
              </w:tabs>
              <w:spacing w:before="0"/>
              <w:ind w:left="426" w:hanging="426"/>
              <w:rPr>
                <w:rFonts w:cstheme="minorHAnsi"/>
                <w:sz w:val="22"/>
                <w:szCs w:val="22"/>
              </w:rPr>
            </w:pPr>
            <w:bookmarkStart w:id="1" w:name="Addressee_F"/>
            <w:bookmarkEnd w:id="1"/>
            <w:r w:rsidRPr="008F2C48">
              <w:rPr>
                <w:rFonts w:cstheme="minorHAnsi"/>
                <w:sz w:val="22"/>
                <w:szCs w:val="22"/>
              </w:rPr>
              <w:t>–</w:t>
            </w:r>
            <w:r w:rsidRPr="008F2C48">
              <w:rPr>
                <w:rFonts w:cstheme="minorHAnsi"/>
                <w:sz w:val="22"/>
                <w:szCs w:val="22"/>
              </w:rPr>
              <w:tab/>
              <w:t xml:space="preserve">Aux Administrations des États Membres de </w:t>
            </w:r>
            <w:proofErr w:type="gramStart"/>
            <w:r w:rsidRPr="008F2C48">
              <w:rPr>
                <w:rFonts w:cstheme="minorHAnsi"/>
                <w:sz w:val="22"/>
                <w:szCs w:val="22"/>
              </w:rPr>
              <w:t>l'Union;</w:t>
            </w:r>
            <w:proofErr w:type="gramEnd"/>
          </w:p>
          <w:p w14:paraId="20ADAA82"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r>
            <w:r w:rsidRPr="008F2C48">
              <w:rPr>
                <w:rFonts w:cstheme="minorHAnsi"/>
                <w:color w:val="000000"/>
                <w:sz w:val="22"/>
                <w:szCs w:val="22"/>
              </w:rPr>
              <w:t>À l'État de Palestine (</w:t>
            </w:r>
            <w:proofErr w:type="spellStart"/>
            <w:r w:rsidRPr="008F2C48">
              <w:rPr>
                <w:rFonts w:cstheme="minorHAnsi"/>
                <w:color w:val="000000"/>
                <w:sz w:val="22"/>
                <w:szCs w:val="22"/>
              </w:rPr>
              <w:t>Rés</w:t>
            </w:r>
            <w:proofErr w:type="spellEnd"/>
            <w:r w:rsidRPr="008F2C48">
              <w:rPr>
                <w:rFonts w:cstheme="minorHAnsi"/>
                <w:color w:val="000000"/>
                <w:sz w:val="22"/>
                <w:szCs w:val="22"/>
              </w:rPr>
              <w:t>. 99 (Rév. Dubaï, 2018)</w:t>
            </w:r>
            <w:proofErr w:type="gramStart"/>
            <w:r w:rsidRPr="008F2C48">
              <w:rPr>
                <w:rFonts w:cstheme="minorHAnsi"/>
                <w:color w:val="000000"/>
                <w:sz w:val="22"/>
                <w:szCs w:val="22"/>
              </w:rPr>
              <w:t>);</w:t>
            </w:r>
            <w:proofErr w:type="gramEnd"/>
          </w:p>
          <w:p w14:paraId="4172F473"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Aux Membres du Secteur de l'UIT-</w:t>
            </w:r>
            <w:proofErr w:type="gramStart"/>
            <w:r w:rsidRPr="008F2C48">
              <w:rPr>
                <w:rFonts w:cstheme="minorHAnsi"/>
                <w:sz w:val="22"/>
                <w:szCs w:val="22"/>
              </w:rPr>
              <w:t>T;</w:t>
            </w:r>
            <w:proofErr w:type="gramEnd"/>
          </w:p>
          <w:p w14:paraId="7218B498"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Aux Associés de l'UIT-</w:t>
            </w:r>
            <w:proofErr w:type="gramStart"/>
            <w:r w:rsidRPr="008F2C48">
              <w:rPr>
                <w:rFonts w:cstheme="minorHAnsi"/>
                <w:sz w:val="22"/>
                <w:szCs w:val="22"/>
              </w:rPr>
              <w:t>T;</w:t>
            </w:r>
            <w:proofErr w:type="gramEnd"/>
          </w:p>
          <w:p w14:paraId="38D51CBC"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Aux Établissements universitaires de la région Afrique participant aux travaux de l'UIT</w:t>
            </w:r>
          </w:p>
          <w:p w14:paraId="62BC3954" w14:textId="77777777" w:rsidR="008F2C48" w:rsidRPr="008F2C48" w:rsidRDefault="008F2C48" w:rsidP="008F2C48">
            <w:pPr>
              <w:pStyle w:val="Tabletext0"/>
              <w:tabs>
                <w:tab w:val="clear" w:pos="794"/>
              </w:tabs>
              <w:spacing w:before="0" w:after="0"/>
              <w:ind w:left="343" w:hanging="343"/>
              <w:rPr>
                <w:rFonts w:asciiTheme="minorHAnsi" w:hAnsiTheme="minorHAnsi" w:cstheme="minorHAnsi"/>
                <w:sz w:val="22"/>
                <w:szCs w:val="22"/>
                <w:lang w:val="fr-FR"/>
              </w:rPr>
            </w:pPr>
            <w:proofErr w:type="gramStart"/>
            <w:r w:rsidRPr="008F2C48">
              <w:rPr>
                <w:rFonts w:asciiTheme="minorHAnsi" w:hAnsiTheme="minorHAnsi" w:cstheme="minorHAnsi"/>
                <w:b/>
                <w:bCs/>
                <w:color w:val="000000"/>
                <w:sz w:val="22"/>
                <w:szCs w:val="22"/>
                <w:lang w:val="fr-FR"/>
              </w:rPr>
              <w:t>Copie:</w:t>
            </w:r>
            <w:proofErr w:type="gramEnd"/>
          </w:p>
          <w:p w14:paraId="69F02DF8"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À l'Union africaine des télécommunications (UAT</w:t>
            </w:r>
            <w:proofErr w:type="gramStart"/>
            <w:r w:rsidRPr="008F2C48">
              <w:rPr>
                <w:rFonts w:cstheme="minorHAnsi"/>
                <w:sz w:val="22"/>
                <w:szCs w:val="22"/>
              </w:rPr>
              <w:t>);</w:t>
            </w:r>
            <w:proofErr w:type="gramEnd"/>
          </w:p>
          <w:p w14:paraId="3E2076DC"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Au Réseau des consommateurs africains des TIC (AICN</w:t>
            </w:r>
            <w:proofErr w:type="gramStart"/>
            <w:r w:rsidRPr="008F2C48">
              <w:rPr>
                <w:rFonts w:cstheme="minorHAnsi"/>
                <w:sz w:val="22"/>
                <w:szCs w:val="22"/>
              </w:rPr>
              <w:t>);</w:t>
            </w:r>
            <w:proofErr w:type="gramEnd"/>
          </w:p>
          <w:p w14:paraId="7E7CA1BF"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À la Communauté économique des États de l'Afrique de l'Ouest (CEDEAO</w:t>
            </w:r>
            <w:proofErr w:type="gramStart"/>
            <w:r w:rsidRPr="008F2C48">
              <w:rPr>
                <w:rFonts w:cstheme="minorHAnsi"/>
                <w:sz w:val="22"/>
                <w:szCs w:val="22"/>
              </w:rPr>
              <w:t>);</w:t>
            </w:r>
            <w:proofErr w:type="gramEnd"/>
          </w:p>
          <w:p w14:paraId="0E5615B3"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À l'Organisation des communications de l'Afrique de l'Est (EACO</w:t>
            </w:r>
            <w:proofErr w:type="gramStart"/>
            <w:r w:rsidRPr="008F2C48">
              <w:rPr>
                <w:rFonts w:cstheme="minorHAnsi"/>
                <w:sz w:val="22"/>
                <w:szCs w:val="22"/>
              </w:rPr>
              <w:t>);</w:t>
            </w:r>
            <w:proofErr w:type="gramEnd"/>
          </w:p>
          <w:p w14:paraId="178B2A81"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 xml:space="preserve">À la Ligue des États </w:t>
            </w:r>
            <w:proofErr w:type="gramStart"/>
            <w:r w:rsidRPr="008F2C48">
              <w:rPr>
                <w:rFonts w:cstheme="minorHAnsi"/>
                <w:sz w:val="22"/>
                <w:szCs w:val="22"/>
              </w:rPr>
              <w:t>arabes;</w:t>
            </w:r>
            <w:proofErr w:type="gramEnd"/>
          </w:p>
          <w:p w14:paraId="50EA4C5D"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À l'Organisation africaine de normalisation (ARSO</w:t>
            </w:r>
            <w:proofErr w:type="gramStart"/>
            <w:r w:rsidRPr="008F2C48">
              <w:rPr>
                <w:rFonts w:cstheme="minorHAnsi"/>
                <w:sz w:val="22"/>
                <w:szCs w:val="22"/>
              </w:rPr>
              <w:t>);</w:t>
            </w:r>
            <w:proofErr w:type="gramEnd"/>
          </w:p>
          <w:p w14:paraId="478059C9"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Au Centre régional de la CEI pour l'Afrique (CEI</w:t>
            </w:r>
            <w:r w:rsidRPr="008F2C48">
              <w:rPr>
                <w:rFonts w:cstheme="minorHAnsi"/>
                <w:sz w:val="22"/>
                <w:szCs w:val="22"/>
              </w:rPr>
              <w:noBreakHyphen/>
              <w:t>AFRC</w:t>
            </w:r>
            <w:proofErr w:type="gramStart"/>
            <w:r w:rsidRPr="008F2C48">
              <w:rPr>
                <w:rFonts w:cstheme="minorHAnsi"/>
                <w:sz w:val="22"/>
                <w:szCs w:val="22"/>
              </w:rPr>
              <w:t>);</w:t>
            </w:r>
            <w:proofErr w:type="gramEnd"/>
          </w:p>
          <w:p w14:paraId="2201513C"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 xml:space="preserve">Au Conseil de l'IEEE pour </w:t>
            </w:r>
            <w:proofErr w:type="gramStart"/>
            <w:r w:rsidRPr="008F2C48">
              <w:rPr>
                <w:rFonts w:cstheme="minorHAnsi"/>
                <w:sz w:val="22"/>
                <w:szCs w:val="22"/>
              </w:rPr>
              <w:t>l'Afrique;</w:t>
            </w:r>
            <w:proofErr w:type="gramEnd"/>
          </w:p>
          <w:p w14:paraId="27961CC7"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 xml:space="preserve">Au Bureau régional de l'UIT pour la région </w:t>
            </w:r>
            <w:proofErr w:type="gramStart"/>
            <w:r w:rsidRPr="008F2C48">
              <w:rPr>
                <w:rFonts w:cstheme="minorHAnsi"/>
                <w:sz w:val="22"/>
                <w:szCs w:val="22"/>
              </w:rPr>
              <w:t>Afrique;</w:t>
            </w:r>
            <w:proofErr w:type="gramEnd"/>
          </w:p>
          <w:p w14:paraId="44DAB7B0"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 xml:space="preserve">Aux bureaux de zone de l'UIT pour </w:t>
            </w:r>
            <w:proofErr w:type="gramStart"/>
            <w:r w:rsidRPr="008F2C48">
              <w:rPr>
                <w:rFonts w:cstheme="minorHAnsi"/>
                <w:sz w:val="22"/>
                <w:szCs w:val="22"/>
              </w:rPr>
              <w:t>l'Afrique;</w:t>
            </w:r>
            <w:proofErr w:type="gramEnd"/>
          </w:p>
          <w:p w14:paraId="15C5BA06"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Au Président et aux Vice-Présidents de la Commission d'études 15 de l'UIT-</w:t>
            </w:r>
            <w:proofErr w:type="gramStart"/>
            <w:r w:rsidRPr="008F2C48">
              <w:rPr>
                <w:rFonts w:cstheme="minorHAnsi"/>
                <w:sz w:val="22"/>
                <w:szCs w:val="22"/>
              </w:rPr>
              <w:t>T;</w:t>
            </w:r>
            <w:proofErr w:type="gramEnd"/>
          </w:p>
          <w:p w14:paraId="5D7E3EE9"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 xml:space="preserve">Au Président du Groupe régional de la Commission d'études 15 pour </w:t>
            </w:r>
            <w:proofErr w:type="gramStart"/>
            <w:r w:rsidRPr="008F2C48">
              <w:rPr>
                <w:rFonts w:cstheme="minorHAnsi"/>
                <w:sz w:val="22"/>
                <w:szCs w:val="22"/>
              </w:rPr>
              <w:t>l'Afrique;</w:t>
            </w:r>
            <w:proofErr w:type="gramEnd"/>
          </w:p>
          <w:p w14:paraId="4F405C77"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 xml:space="preserve">Au Directeur du Bureau de développement des </w:t>
            </w:r>
            <w:proofErr w:type="gramStart"/>
            <w:r w:rsidRPr="008F2C48">
              <w:rPr>
                <w:rFonts w:cstheme="minorHAnsi"/>
                <w:sz w:val="22"/>
                <w:szCs w:val="22"/>
              </w:rPr>
              <w:t>télécommunications;</w:t>
            </w:r>
            <w:proofErr w:type="gramEnd"/>
          </w:p>
          <w:p w14:paraId="732829AD" w14:textId="77777777" w:rsidR="008F2C48" w:rsidRPr="008F2C48" w:rsidRDefault="008F2C48" w:rsidP="008F2C48">
            <w:pPr>
              <w:tabs>
                <w:tab w:val="left" w:pos="4111"/>
              </w:tabs>
              <w:spacing w:before="0"/>
              <w:ind w:left="426" w:hanging="426"/>
              <w:rPr>
                <w:rFonts w:cstheme="minorHAnsi"/>
                <w:sz w:val="22"/>
                <w:szCs w:val="22"/>
              </w:rPr>
            </w:pPr>
            <w:r w:rsidRPr="008F2C48">
              <w:rPr>
                <w:rFonts w:cstheme="minorHAnsi"/>
                <w:sz w:val="22"/>
                <w:szCs w:val="22"/>
              </w:rPr>
              <w:t>–</w:t>
            </w:r>
            <w:r w:rsidRPr="008F2C48">
              <w:rPr>
                <w:rFonts w:cstheme="minorHAnsi"/>
                <w:sz w:val="22"/>
                <w:szCs w:val="22"/>
              </w:rPr>
              <w:tab/>
              <w:t>Au Directeur du Bureau des radiocommunications</w:t>
            </w:r>
          </w:p>
        </w:tc>
      </w:tr>
      <w:tr w:rsidR="008F2C48" w:rsidRPr="008F2C48" w14:paraId="0ECB83A1" w14:textId="77777777" w:rsidTr="008F2C48">
        <w:trPr>
          <w:cantSplit/>
          <w:trHeight w:val="340"/>
        </w:trPr>
        <w:tc>
          <w:tcPr>
            <w:tcW w:w="0" w:type="auto"/>
          </w:tcPr>
          <w:p w14:paraId="685EC0C2" w14:textId="77777777" w:rsidR="008F2C48" w:rsidRPr="008F2C48" w:rsidRDefault="008F2C48" w:rsidP="008F2C48">
            <w:pPr>
              <w:tabs>
                <w:tab w:val="left" w:pos="4111"/>
              </w:tabs>
              <w:spacing w:before="10"/>
              <w:rPr>
                <w:rFonts w:cstheme="minorHAnsi"/>
                <w:sz w:val="22"/>
                <w:szCs w:val="22"/>
              </w:rPr>
            </w:pPr>
            <w:proofErr w:type="gramStart"/>
            <w:r w:rsidRPr="008F2C48">
              <w:rPr>
                <w:rFonts w:cstheme="minorHAnsi"/>
                <w:sz w:val="22"/>
                <w:szCs w:val="22"/>
              </w:rPr>
              <w:t>Contact:</w:t>
            </w:r>
            <w:proofErr w:type="gramEnd"/>
          </w:p>
        </w:tc>
        <w:tc>
          <w:tcPr>
            <w:tcW w:w="3418" w:type="dxa"/>
          </w:tcPr>
          <w:p w14:paraId="1615CA5D" w14:textId="77777777" w:rsidR="008F2C48" w:rsidRPr="008F2C48" w:rsidRDefault="008F2C48" w:rsidP="008F2C48">
            <w:pPr>
              <w:tabs>
                <w:tab w:val="left" w:pos="4111"/>
              </w:tabs>
              <w:spacing w:before="10"/>
              <w:ind w:left="57"/>
              <w:rPr>
                <w:rFonts w:cstheme="minorHAnsi"/>
                <w:b/>
                <w:sz w:val="22"/>
                <w:szCs w:val="22"/>
              </w:rPr>
            </w:pPr>
            <w:r w:rsidRPr="008F2C48">
              <w:rPr>
                <w:rFonts w:cstheme="minorHAnsi"/>
                <w:b/>
                <w:bCs/>
                <w:color w:val="000000"/>
                <w:sz w:val="22"/>
                <w:szCs w:val="22"/>
              </w:rPr>
              <w:t>Hiroshi Ota</w:t>
            </w:r>
          </w:p>
        </w:tc>
        <w:tc>
          <w:tcPr>
            <w:tcW w:w="5402" w:type="dxa"/>
            <w:vMerge/>
          </w:tcPr>
          <w:p w14:paraId="5D011D3D" w14:textId="77777777" w:rsidR="008F2C48" w:rsidRPr="008F2C48" w:rsidRDefault="008F2C48" w:rsidP="008F2C48">
            <w:pPr>
              <w:tabs>
                <w:tab w:val="left" w:pos="4111"/>
              </w:tabs>
              <w:spacing w:before="0"/>
              <w:ind w:left="426" w:hanging="426"/>
              <w:rPr>
                <w:rFonts w:cstheme="minorHAnsi"/>
                <w:sz w:val="22"/>
                <w:szCs w:val="22"/>
              </w:rPr>
            </w:pPr>
          </w:p>
        </w:tc>
      </w:tr>
      <w:tr w:rsidR="008F2C48" w:rsidRPr="008F2C48" w14:paraId="4D88AA18" w14:textId="77777777" w:rsidTr="008F2C48">
        <w:trPr>
          <w:cantSplit/>
        </w:trPr>
        <w:tc>
          <w:tcPr>
            <w:tcW w:w="0" w:type="auto"/>
          </w:tcPr>
          <w:p w14:paraId="3085827E" w14:textId="77777777" w:rsidR="008F2C48" w:rsidRPr="008F2C48" w:rsidRDefault="008F2C48" w:rsidP="008F2C48">
            <w:pPr>
              <w:tabs>
                <w:tab w:val="left" w:pos="4111"/>
              </w:tabs>
              <w:spacing w:before="10"/>
              <w:rPr>
                <w:rFonts w:cstheme="minorHAnsi"/>
                <w:sz w:val="22"/>
                <w:szCs w:val="22"/>
              </w:rPr>
            </w:pPr>
            <w:proofErr w:type="gramStart"/>
            <w:r w:rsidRPr="008F2C48">
              <w:rPr>
                <w:rFonts w:cstheme="minorHAnsi"/>
                <w:sz w:val="22"/>
                <w:szCs w:val="22"/>
              </w:rPr>
              <w:t>Tél.:</w:t>
            </w:r>
            <w:proofErr w:type="gramEnd"/>
          </w:p>
        </w:tc>
        <w:tc>
          <w:tcPr>
            <w:tcW w:w="3418" w:type="dxa"/>
          </w:tcPr>
          <w:p w14:paraId="0CEBEECC" w14:textId="77777777" w:rsidR="008F2C48" w:rsidRPr="008F2C48" w:rsidRDefault="008F2C48" w:rsidP="008F2C48">
            <w:pPr>
              <w:tabs>
                <w:tab w:val="left" w:pos="4111"/>
              </w:tabs>
              <w:spacing w:before="0"/>
              <w:ind w:left="57"/>
              <w:rPr>
                <w:rFonts w:cstheme="minorHAnsi"/>
                <w:sz w:val="22"/>
                <w:szCs w:val="22"/>
              </w:rPr>
            </w:pPr>
            <w:r w:rsidRPr="008F2C48">
              <w:rPr>
                <w:rFonts w:cstheme="minorHAnsi"/>
                <w:sz w:val="22"/>
                <w:szCs w:val="22"/>
              </w:rPr>
              <w:t>+41 22 730 6356</w:t>
            </w:r>
          </w:p>
        </w:tc>
        <w:tc>
          <w:tcPr>
            <w:tcW w:w="5402" w:type="dxa"/>
            <w:vMerge/>
          </w:tcPr>
          <w:p w14:paraId="5234C57A" w14:textId="77777777" w:rsidR="008F2C48" w:rsidRPr="008F2C48" w:rsidRDefault="008F2C48" w:rsidP="008F2C48">
            <w:pPr>
              <w:tabs>
                <w:tab w:val="left" w:pos="4111"/>
              </w:tabs>
              <w:spacing w:before="0"/>
              <w:ind w:left="426" w:hanging="426"/>
              <w:rPr>
                <w:rFonts w:cstheme="minorHAnsi"/>
                <w:b/>
                <w:sz w:val="22"/>
                <w:szCs w:val="22"/>
              </w:rPr>
            </w:pPr>
          </w:p>
        </w:tc>
      </w:tr>
      <w:tr w:rsidR="008F2C48" w:rsidRPr="008F2C48" w14:paraId="1C9E4699" w14:textId="77777777" w:rsidTr="008F2C48">
        <w:trPr>
          <w:cantSplit/>
          <w:trHeight w:val="586"/>
        </w:trPr>
        <w:tc>
          <w:tcPr>
            <w:tcW w:w="0" w:type="auto"/>
          </w:tcPr>
          <w:p w14:paraId="0EF22D38" w14:textId="77777777" w:rsidR="008F2C48" w:rsidRPr="008F2C48" w:rsidRDefault="008F2C48" w:rsidP="008F2C48">
            <w:pPr>
              <w:tabs>
                <w:tab w:val="left" w:pos="4111"/>
              </w:tabs>
              <w:spacing w:before="10"/>
              <w:rPr>
                <w:rFonts w:cstheme="minorHAnsi"/>
                <w:sz w:val="22"/>
                <w:szCs w:val="22"/>
              </w:rPr>
            </w:pPr>
            <w:proofErr w:type="gramStart"/>
            <w:r w:rsidRPr="008F2C48">
              <w:rPr>
                <w:rFonts w:cstheme="minorHAnsi"/>
                <w:sz w:val="22"/>
                <w:szCs w:val="22"/>
              </w:rPr>
              <w:t>Télécopie:</w:t>
            </w:r>
            <w:proofErr w:type="gramEnd"/>
          </w:p>
        </w:tc>
        <w:tc>
          <w:tcPr>
            <w:tcW w:w="3418" w:type="dxa"/>
          </w:tcPr>
          <w:p w14:paraId="7BBD704B" w14:textId="77777777" w:rsidR="008F2C48" w:rsidRPr="008F2C48" w:rsidRDefault="008F2C48" w:rsidP="008F2C48">
            <w:pPr>
              <w:tabs>
                <w:tab w:val="left" w:pos="4111"/>
              </w:tabs>
              <w:spacing w:before="0"/>
              <w:ind w:left="57"/>
              <w:rPr>
                <w:rFonts w:cstheme="minorHAnsi"/>
                <w:sz w:val="22"/>
                <w:szCs w:val="22"/>
              </w:rPr>
            </w:pPr>
            <w:r w:rsidRPr="008F2C48">
              <w:rPr>
                <w:rFonts w:cstheme="minorHAnsi"/>
                <w:sz w:val="22"/>
                <w:szCs w:val="22"/>
              </w:rPr>
              <w:t>+41 22 730 5853</w:t>
            </w:r>
          </w:p>
        </w:tc>
        <w:tc>
          <w:tcPr>
            <w:tcW w:w="5402" w:type="dxa"/>
            <w:vMerge/>
          </w:tcPr>
          <w:p w14:paraId="2D89DADE" w14:textId="77777777" w:rsidR="008F2C48" w:rsidRPr="008F2C48" w:rsidRDefault="008F2C48" w:rsidP="008F2C48">
            <w:pPr>
              <w:tabs>
                <w:tab w:val="left" w:pos="4111"/>
              </w:tabs>
              <w:spacing w:before="0"/>
              <w:ind w:left="426" w:hanging="426"/>
              <w:rPr>
                <w:rFonts w:cstheme="minorHAnsi"/>
                <w:b/>
                <w:sz w:val="22"/>
                <w:szCs w:val="22"/>
              </w:rPr>
            </w:pPr>
          </w:p>
        </w:tc>
      </w:tr>
      <w:tr w:rsidR="008F2C48" w:rsidRPr="008F2C48" w14:paraId="4B2A22E9" w14:textId="77777777" w:rsidTr="008F2C48">
        <w:trPr>
          <w:cantSplit/>
          <w:trHeight w:val="5358"/>
        </w:trPr>
        <w:tc>
          <w:tcPr>
            <w:tcW w:w="0" w:type="auto"/>
          </w:tcPr>
          <w:p w14:paraId="7F072E26" w14:textId="77777777" w:rsidR="008F2C48" w:rsidRPr="008F2C48" w:rsidRDefault="008F2C48" w:rsidP="008F2C48">
            <w:pPr>
              <w:tabs>
                <w:tab w:val="left" w:pos="4111"/>
              </w:tabs>
              <w:spacing w:before="10"/>
              <w:rPr>
                <w:rFonts w:cstheme="minorHAnsi"/>
                <w:sz w:val="22"/>
                <w:szCs w:val="22"/>
              </w:rPr>
            </w:pPr>
            <w:proofErr w:type="gramStart"/>
            <w:r w:rsidRPr="008F2C48">
              <w:rPr>
                <w:rFonts w:cstheme="minorHAnsi"/>
                <w:sz w:val="22"/>
                <w:szCs w:val="22"/>
              </w:rPr>
              <w:t>Courriel:</w:t>
            </w:r>
            <w:proofErr w:type="gramEnd"/>
          </w:p>
        </w:tc>
        <w:tc>
          <w:tcPr>
            <w:tcW w:w="3418" w:type="dxa"/>
          </w:tcPr>
          <w:p w14:paraId="51826E73" w14:textId="77777777" w:rsidR="008F2C48" w:rsidRPr="008F2C48" w:rsidRDefault="008F2C48" w:rsidP="008F2C48">
            <w:pPr>
              <w:tabs>
                <w:tab w:val="left" w:pos="4111"/>
              </w:tabs>
              <w:spacing w:before="0"/>
              <w:ind w:left="57"/>
              <w:rPr>
                <w:rFonts w:cstheme="minorHAnsi"/>
                <w:sz w:val="22"/>
                <w:szCs w:val="22"/>
              </w:rPr>
            </w:pPr>
            <w:hyperlink r:id="rId9" w:history="1">
              <w:r w:rsidRPr="008F2C48">
                <w:rPr>
                  <w:rStyle w:val="Hyperlink"/>
                  <w:rFonts w:cstheme="minorHAnsi"/>
                  <w:sz w:val="22"/>
                  <w:szCs w:val="22"/>
                </w:rPr>
                <w:t>tsbsg15@itu.int</w:t>
              </w:r>
            </w:hyperlink>
          </w:p>
        </w:tc>
        <w:tc>
          <w:tcPr>
            <w:tcW w:w="5402" w:type="dxa"/>
            <w:vMerge/>
          </w:tcPr>
          <w:p w14:paraId="13D41B5B" w14:textId="77777777" w:rsidR="008F2C48" w:rsidRPr="008F2C48" w:rsidRDefault="008F2C48" w:rsidP="008F2C48">
            <w:pPr>
              <w:tabs>
                <w:tab w:val="left" w:pos="4111"/>
              </w:tabs>
              <w:spacing w:before="0"/>
              <w:ind w:left="426" w:hanging="426"/>
              <w:rPr>
                <w:rFonts w:cstheme="minorHAnsi"/>
                <w:sz w:val="22"/>
                <w:szCs w:val="22"/>
              </w:rPr>
            </w:pPr>
          </w:p>
        </w:tc>
      </w:tr>
      <w:tr w:rsidR="008F2C48" w:rsidRPr="008F2C48" w14:paraId="23CF082E" w14:textId="77777777" w:rsidTr="008F2C48">
        <w:trPr>
          <w:cantSplit/>
          <w:trHeight w:val="397"/>
        </w:trPr>
        <w:tc>
          <w:tcPr>
            <w:tcW w:w="0" w:type="auto"/>
          </w:tcPr>
          <w:p w14:paraId="2A8A2EF8" w14:textId="77777777" w:rsidR="008F2C48" w:rsidRPr="008F2C48" w:rsidRDefault="008F2C48" w:rsidP="008F2C48">
            <w:pPr>
              <w:tabs>
                <w:tab w:val="left" w:pos="4111"/>
              </w:tabs>
              <w:spacing w:before="0"/>
              <w:rPr>
                <w:rFonts w:cstheme="minorHAnsi"/>
                <w:b/>
                <w:bCs/>
                <w:sz w:val="22"/>
                <w:szCs w:val="22"/>
              </w:rPr>
            </w:pPr>
            <w:proofErr w:type="gramStart"/>
            <w:r w:rsidRPr="008F2C48">
              <w:rPr>
                <w:rFonts w:cstheme="minorHAnsi"/>
                <w:b/>
                <w:bCs/>
                <w:sz w:val="22"/>
                <w:szCs w:val="22"/>
              </w:rPr>
              <w:t>Objet:</w:t>
            </w:r>
            <w:proofErr w:type="gramEnd"/>
          </w:p>
        </w:tc>
        <w:tc>
          <w:tcPr>
            <w:tcW w:w="8820" w:type="dxa"/>
            <w:gridSpan w:val="2"/>
          </w:tcPr>
          <w:p w14:paraId="1238B045" w14:textId="1CD4DC11" w:rsidR="008F2C48" w:rsidRPr="008F2C48" w:rsidRDefault="008F2C48" w:rsidP="008F2C48">
            <w:pPr>
              <w:tabs>
                <w:tab w:val="left" w:pos="4111"/>
              </w:tabs>
              <w:spacing w:before="0"/>
              <w:ind w:left="57"/>
              <w:rPr>
                <w:rFonts w:cstheme="minorHAnsi"/>
                <w:b/>
                <w:bCs/>
                <w:sz w:val="22"/>
                <w:szCs w:val="22"/>
              </w:rPr>
            </w:pPr>
            <w:bookmarkStart w:id="2" w:name="_Hlk214958010"/>
            <w:r w:rsidRPr="008F2C48">
              <w:rPr>
                <w:rFonts w:cstheme="minorHAnsi"/>
                <w:b/>
                <w:bCs/>
                <w:color w:val="000000"/>
                <w:sz w:val="22"/>
                <w:szCs w:val="22"/>
              </w:rPr>
              <w:t xml:space="preserve">Création du Groupe régional de la Commission d'études 15 de l'UIT-T pour l'Afrique </w:t>
            </w:r>
            <w:r>
              <w:rPr>
                <w:rFonts w:cstheme="minorHAnsi"/>
                <w:b/>
                <w:bCs/>
                <w:color w:val="000000"/>
                <w:sz w:val="22"/>
                <w:szCs w:val="22"/>
              </w:rPr>
              <w:br/>
            </w:r>
            <w:r w:rsidRPr="008F2C48">
              <w:rPr>
                <w:rFonts w:cstheme="minorHAnsi"/>
                <w:b/>
                <w:bCs/>
                <w:color w:val="000000"/>
                <w:sz w:val="22"/>
                <w:szCs w:val="22"/>
              </w:rPr>
              <w:t>(SG15RG-AFR)</w:t>
            </w:r>
            <w:bookmarkEnd w:id="2"/>
          </w:p>
        </w:tc>
      </w:tr>
    </w:tbl>
    <w:p w14:paraId="2D1EC328" w14:textId="77777777" w:rsidR="00517A03" w:rsidRPr="008F2C48" w:rsidRDefault="00517A03" w:rsidP="008F2C48">
      <w:pPr>
        <w:spacing w:before="60"/>
        <w:rPr>
          <w:rFonts w:cstheme="minorHAnsi"/>
          <w:sz w:val="22"/>
          <w:szCs w:val="22"/>
        </w:rPr>
      </w:pPr>
      <w:r w:rsidRPr="008F2C48">
        <w:rPr>
          <w:rFonts w:cstheme="minorHAnsi"/>
          <w:sz w:val="22"/>
          <w:szCs w:val="22"/>
        </w:rPr>
        <w:t>Madame, Monsieur,</w:t>
      </w:r>
    </w:p>
    <w:p w14:paraId="1DA400D6" w14:textId="7825B976" w:rsidR="003C09E3" w:rsidRPr="008F2C48" w:rsidRDefault="003C09E3" w:rsidP="006B4F5B">
      <w:pPr>
        <w:rPr>
          <w:rFonts w:cstheme="minorHAnsi"/>
          <w:sz w:val="22"/>
          <w:szCs w:val="22"/>
        </w:rPr>
      </w:pPr>
      <w:r w:rsidRPr="008F2C48">
        <w:rPr>
          <w:rFonts w:cstheme="minorHAnsi"/>
          <w:sz w:val="22"/>
          <w:szCs w:val="22"/>
        </w:rPr>
        <w:t>1</w:t>
      </w:r>
      <w:r w:rsidRPr="008F2C48">
        <w:rPr>
          <w:rFonts w:cstheme="minorHAnsi"/>
          <w:sz w:val="22"/>
          <w:szCs w:val="22"/>
        </w:rPr>
        <w:tab/>
        <w:t>J</w:t>
      </w:r>
      <w:r w:rsidR="00CB20A9" w:rsidRPr="008F2C48">
        <w:rPr>
          <w:rFonts w:cstheme="minorHAnsi"/>
          <w:sz w:val="22"/>
          <w:szCs w:val="22"/>
        </w:rPr>
        <w:t>'</w:t>
      </w:r>
      <w:r w:rsidRPr="008F2C48">
        <w:rPr>
          <w:rFonts w:cstheme="minorHAnsi"/>
          <w:sz w:val="22"/>
          <w:szCs w:val="22"/>
        </w:rPr>
        <w:t>ai l</w:t>
      </w:r>
      <w:r w:rsidR="00CB20A9" w:rsidRPr="008F2C48">
        <w:rPr>
          <w:rFonts w:cstheme="minorHAnsi"/>
          <w:sz w:val="22"/>
          <w:szCs w:val="22"/>
        </w:rPr>
        <w:t>'</w:t>
      </w:r>
      <w:r w:rsidRPr="008F2C48">
        <w:rPr>
          <w:rFonts w:cstheme="minorHAnsi"/>
          <w:sz w:val="22"/>
          <w:szCs w:val="22"/>
        </w:rPr>
        <w:t>honneur de vous informer qu</w:t>
      </w:r>
      <w:r w:rsidR="00CB20A9" w:rsidRPr="008F2C48">
        <w:rPr>
          <w:rFonts w:cstheme="minorHAnsi"/>
          <w:sz w:val="22"/>
          <w:szCs w:val="22"/>
        </w:rPr>
        <w:t>'</w:t>
      </w:r>
      <w:r w:rsidRPr="008F2C48">
        <w:rPr>
          <w:rFonts w:cstheme="minorHAnsi"/>
          <w:sz w:val="22"/>
          <w:szCs w:val="22"/>
        </w:rPr>
        <w:t>à sa séance plénière de clôture (Genève, 24</w:t>
      </w:r>
      <w:r w:rsidR="006F28ED" w:rsidRPr="008F2C48">
        <w:rPr>
          <w:rFonts w:cstheme="minorHAnsi"/>
          <w:sz w:val="22"/>
          <w:szCs w:val="22"/>
        </w:rPr>
        <w:t> </w:t>
      </w:r>
      <w:r w:rsidRPr="008F2C48">
        <w:rPr>
          <w:rFonts w:cstheme="minorHAnsi"/>
          <w:sz w:val="22"/>
          <w:szCs w:val="22"/>
        </w:rPr>
        <w:t>octobre</w:t>
      </w:r>
      <w:r w:rsidR="006F28ED" w:rsidRPr="008F2C48">
        <w:rPr>
          <w:rFonts w:cstheme="minorHAnsi"/>
          <w:sz w:val="22"/>
          <w:szCs w:val="22"/>
        </w:rPr>
        <w:t> </w:t>
      </w:r>
      <w:r w:rsidRPr="008F2C48">
        <w:rPr>
          <w:rFonts w:cstheme="minorHAnsi"/>
          <w:sz w:val="22"/>
          <w:szCs w:val="22"/>
        </w:rPr>
        <w:t>2025), la Commission d</w:t>
      </w:r>
      <w:r w:rsidR="00CB20A9" w:rsidRPr="008F2C48">
        <w:rPr>
          <w:rFonts w:cstheme="minorHAnsi"/>
          <w:sz w:val="22"/>
          <w:szCs w:val="22"/>
        </w:rPr>
        <w:t>'</w:t>
      </w:r>
      <w:r w:rsidRPr="008F2C48">
        <w:rPr>
          <w:rFonts w:cstheme="minorHAnsi"/>
          <w:sz w:val="22"/>
          <w:szCs w:val="22"/>
        </w:rPr>
        <w:t>études 15 de l</w:t>
      </w:r>
      <w:r w:rsidR="00CB20A9" w:rsidRPr="008F2C48">
        <w:rPr>
          <w:rFonts w:cstheme="minorHAnsi"/>
          <w:sz w:val="22"/>
          <w:szCs w:val="22"/>
        </w:rPr>
        <w:t>'</w:t>
      </w:r>
      <w:r w:rsidRPr="008F2C48">
        <w:rPr>
          <w:rFonts w:cstheme="minorHAnsi"/>
          <w:sz w:val="22"/>
          <w:szCs w:val="22"/>
        </w:rPr>
        <w:t>UIT-T (</w:t>
      </w:r>
      <w:r w:rsidRPr="008F2C48">
        <w:rPr>
          <w:rFonts w:cstheme="minorHAnsi"/>
          <w:i/>
          <w:iCs/>
          <w:sz w:val="22"/>
          <w:szCs w:val="22"/>
        </w:rPr>
        <w:t>Réseaux, technologies et infrastructures destinés au transport, à l</w:t>
      </w:r>
      <w:r w:rsidR="00CB20A9" w:rsidRPr="008F2C48">
        <w:rPr>
          <w:rFonts w:cstheme="minorHAnsi"/>
          <w:i/>
          <w:iCs/>
          <w:sz w:val="22"/>
          <w:szCs w:val="22"/>
        </w:rPr>
        <w:t>'</w:t>
      </w:r>
      <w:r w:rsidRPr="008F2C48">
        <w:rPr>
          <w:rFonts w:cstheme="minorHAnsi"/>
          <w:i/>
          <w:iCs/>
          <w:sz w:val="22"/>
          <w:szCs w:val="22"/>
        </w:rPr>
        <w:t>accès et aux installations domestiques</w:t>
      </w:r>
      <w:r w:rsidRPr="008F2C48">
        <w:rPr>
          <w:rFonts w:cstheme="minorHAnsi"/>
          <w:sz w:val="22"/>
          <w:szCs w:val="22"/>
        </w:rPr>
        <w:t>) a décidé de créer le Groupe régional de la Commission d</w:t>
      </w:r>
      <w:r w:rsidR="00CB20A9" w:rsidRPr="008F2C48">
        <w:rPr>
          <w:rFonts w:cstheme="minorHAnsi"/>
          <w:sz w:val="22"/>
          <w:szCs w:val="22"/>
        </w:rPr>
        <w:t>'</w:t>
      </w:r>
      <w:r w:rsidRPr="008F2C48">
        <w:rPr>
          <w:rFonts w:cstheme="minorHAnsi"/>
          <w:sz w:val="22"/>
          <w:szCs w:val="22"/>
        </w:rPr>
        <w:t>études 15 de l</w:t>
      </w:r>
      <w:r w:rsidR="00CB20A9" w:rsidRPr="008F2C48">
        <w:rPr>
          <w:rFonts w:cstheme="minorHAnsi"/>
          <w:sz w:val="22"/>
          <w:szCs w:val="22"/>
        </w:rPr>
        <w:t>'</w:t>
      </w:r>
      <w:r w:rsidRPr="008F2C48">
        <w:rPr>
          <w:rFonts w:cstheme="minorHAnsi"/>
          <w:sz w:val="22"/>
          <w:szCs w:val="22"/>
        </w:rPr>
        <w:t>UIT-T pour l</w:t>
      </w:r>
      <w:r w:rsidR="00CB20A9" w:rsidRPr="008F2C48">
        <w:rPr>
          <w:rFonts w:cstheme="minorHAnsi"/>
          <w:sz w:val="22"/>
          <w:szCs w:val="22"/>
        </w:rPr>
        <w:t>'</w:t>
      </w:r>
      <w:r w:rsidRPr="008F2C48">
        <w:rPr>
          <w:rFonts w:cstheme="minorHAnsi"/>
          <w:sz w:val="22"/>
          <w:szCs w:val="22"/>
        </w:rPr>
        <w:t>Afrique (SG15RG-AFR), ainsi qu'il ressort de la Résolution 54 (Rév. New Delhi, 2024) de l</w:t>
      </w:r>
      <w:r w:rsidR="00CB20A9" w:rsidRPr="008F2C48">
        <w:rPr>
          <w:rFonts w:cstheme="minorHAnsi"/>
          <w:sz w:val="22"/>
          <w:szCs w:val="22"/>
        </w:rPr>
        <w:t>'</w:t>
      </w:r>
      <w:r w:rsidRPr="008F2C48">
        <w:rPr>
          <w:rFonts w:cstheme="minorHAnsi"/>
          <w:sz w:val="22"/>
          <w:szCs w:val="22"/>
        </w:rPr>
        <w:t>AMNT.</w:t>
      </w:r>
    </w:p>
    <w:p w14:paraId="37C0C5AB" w14:textId="4D4E9806" w:rsidR="003C09E3" w:rsidRPr="008F2C48" w:rsidRDefault="003C09E3" w:rsidP="006B4F5B">
      <w:pPr>
        <w:rPr>
          <w:rFonts w:cstheme="minorHAnsi"/>
          <w:sz w:val="22"/>
          <w:szCs w:val="22"/>
        </w:rPr>
      </w:pPr>
      <w:r w:rsidRPr="008F2C48">
        <w:rPr>
          <w:rFonts w:cstheme="minorHAnsi"/>
          <w:sz w:val="22"/>
          <w:szCs w:val="22"/>
        </w:rPr>
        <w:t>2</w:t>
      </w:r>
      <w:r w:rsidRPr="008F2C48">
        <w:rPr>
          <w:rFonts w:cstheme="minorHAnsi"/>
          <w:sz w:val="22"/>
          <w:szCs w:val="22"/>
        </w:rPr>
        <w:tab/>
        <w:t>Le mandat et les méthodes de travail du Groupe régional de la Commission d'études 15 de l'UIT-T pour l'Afrique (SG</w:t>
      </w:r>
      <w:r w:rsidR="006B4F5B" w:rsidRPr="008F2C48">
        <w:rPr>
          <w:rFonts w:cstheme="minorHAnsi"/>
          <w:sz w:val="22"/>
          <w:szCs w:val="22"/>
        </w:rPr>
        <w:t>15</w:t>
      </w:r>
      <w:r w:rsidRPr="008F2C48">
        <w:rPr>
          <w:rFonts w:cstheme="minorHAnsi"/>
          <w:sz w:val="22"/>
          <w:szCs w:val="22"/>
        </w:rPr>
        <w:t>RG-AFR) approuvés par ladite Commission sont exposés dans l'</w:t>
      </w:r>
      <w:r w:rsidRPr="008F2C48">
        <w:rPr>
          <w:rFonts w:cstheme="minorHAnsi"/>
          <w:b/>
          <w:bCs/>
          <w:sz w:val="22"/>
          <w:szCs w:val="22"/>
        </w:rPr>
        <w:t>Annexe</w:t>
      </w:r>
      <w:r w:rsidR="00D56C8C" w:rsidRPr="008F2C48">
        <w:rPr>
          <w:rFonts w:cstheme="minorHAnsi"/>
          <w:b/>
          <w:bCs/>
          <w:sz w:val="22"/>
          <w:szCs w:val="22"/>
        </w:rPr>
        <w:t> </w:t>
      </w:r>
      <w:r w:rsidRPr="008F2C48">
        <w:rPr>
          <w:rFonts w:cstheme="minorHAnsi"/>
          <w:b/>
          <w:bCs/>
          <w:sz w:val="22"/>
          <w:szCs w:val="22"/>
        </w:rPr>
        <w:t>1</w:t>
      </w:r>
      <w:r w:rsidRPr="008F2C48">
        <w:rPr>
          <w:rFonts w:cstheme="minorHAnsi"/>
          <w:sz w:val="22"/>
          <w:szCs w:val="22"/>
        </w:rPr>
        <w:t>.</w:t>
      </w:r>
    </w:p>
    <w:p w14:paraId="796C063D" w14:textId="77777777" w:rsidR="003C09E3" w:rsidRPr="008F2C48" w:rsidRDefault="003C09E3" w:rsidP="006B4F5B">
      <w:pPr>
        <w:rPr>
          <w:rFonts w:eastAsia="Yu Mincho" w:cstheme="minorHAnsi"/>
          <w:sz w:val="22"/>
          <w:szCs w:val="22"/>
        </w:rPr>
      </w:pPr>
      <w:r w:rsidRPr="008F2C48">
        <w:rPr>
          <w:rFonts w:cstheme="minorHAnsi"/>
          <w:sz w:val="22"/>
          <w:szCs w:val="22"/>
        </w:rPr>
        <w:t>3</w:t>
      </w:r>
      <w:r w:rsidRPr="008F2C48">
        <w:rPr>
          <w:rFonts w:cstheme="minorHAnsi"/>
          <w:sz w:val="22"/>
          <w:szCs w:val="22"/>
        </w:rPr>
        <w:tab/>
        <w:t>Le Président de la CE 15 a nommé M. Mohamed Amine BENZIANE (Algérie Télécom SPA, Algérie) Président du Groupe SG15RG-AFR.</w:t>
      </w:r>
    </w:p>
    <w:p w14:paraId="40383930" w14:textId="399AC130" w:rsidR="003C09E3" w:rsidRPr="008F2C48" w:rsidRDefault="003C09E3" w:rsidP="006B4F5B">
      <w:pPr>
        <w:rPr>
          <w:rFonts w:cstheme="minorHAnsi"/>
          <w:sz w:val="22"/>
          <w:szCs w:val="22"/>
        </w:rPr>
      </w:pPr>
      <w:r w:rsidRPr="008F2C48">
        <w:rPr>
          <w:rFonts w:cstheme="minorHAnsi"/>
          <w:sz w:val="22"/>
          <w:szCs w:val="22"/>
        </w:rPr>
        <w:t>4</w:t>
      </w:r>
      <w:r w:rsidRPr="008F2C48">
        <w:rPr>
          <w:rFonts w:cstheme="minorHAnsi"/>
          <w:sz w:val="22"/>
          <w:szCs w:val="22"/>
        </w:rPr>
        <w:tab/>
        <w:t>Une page web pour le Groupe SG15RG-AFR est désormais disponible à l</w:t>
      </w:r>
      <w:r w:rsidR="00CB20A9" w:rsidRPr="008F2C48">
        <w:rPr>
          <w:rFonts w:cstheme="minorHAnsi"/>
          <w:sz w:val="22"/>
          <w:szCs w:val="22"/>
        </w:rPr>
        <w:t>'</w:t>
      </w:r>
      <w:r w:rsidRPr="008F2C48">
        <w:rPr>
          <w:rFonts w:cstheme="minorHAnsi"/>
          <w:sz w:val="22"/>
          <w:szCs w:val="22"/>
        </w:rPr>
        <w:t xml:space="preserve">adresse </w:t>
      </w:r>
      <w:hyperlink r:id="rId10" w:history="1">
        <w:r w:rsidR="00D56C8C" w:rsidRPr="008F2C48">
          <w:rPr>
            <w:rStyle w:val="Hyperlink"/>
            <w:rFonts w:cstheme="minorHAnsi"/>
            <w:sz w:val="22"/>
            <w:szCs w:val="22"/>
          </w:rPr>
          <w:t>https://www.itu.int/en/ITU-T/regionalgroups/sg15-afr/Pages/default.aspx</w:t>
        </w:r>
      </w:hyperlink>
      <w:r w:rsidRPr="008F2C48">
        <w:rPr>
          <w:rFonts w:cstheme="minorHAnsi"/>
          <w:sz w:val="22"/>
          <w:szCs w:val="22"/>
        </w:rPr>
        <w:t>.</w:t>
      </w:r>
      <w:hyperlink r:id="rId11" w:history="1"/>
    </w:p>
    <w:p w14:paraId="46F2C3C2" w14:textId="7BD41288" w:rsidR="00307FB4" w:rsidRPr="008F2C48" w:rsidRDefault="003C09E3" w:rsidP="006B4F5B">
      <w:pPr>
        <w:rPr>
          <w:rFonts w:cstheme="minorHAnsi"/>
          <w:bCs/>
          <w:sz w:val="22"/>
          <w:szCs w:val="22"/>
        </w:rPr>
      </w:pPr>
      <w:r w:rsidRPr="008F2C48">
        <w:rPr>
          <w:rFonts w:cstheme="minorHAnsi"/>
          <w:sz w:val="22"/>
          <w:szCs w:val="22"/>
        </w:rPr>
        <w:t>5</w:t>
      </w:r>
      <w:r w:rsidRPr="008F2C48">
        <w:rPr>
          <w:rFonts w:cstheme="minorHAnsi"/>
          <w:sz w:val="22"/>
          <w:szCs w:val="22"/>
        </w:rPr>
        <w:tab/>
        <w:t xml:space="preserve">La liste de diffusion </w:t>
      </w:r>
      <w:hyperlink r:id="rId12" w:history="1">
        <w:r w:rsidRPr="008F2C48">
          <w:rPr>
            <w:rStyle w:val="Hyperlink"/>
            <w:rFonts w:cstheme="minorHAnsi"/>
            <w:sz w:val="22"/>
            <w:szCs w:val="22"/>
          </w:rPr>
          <w:t>tsg15rgafr@lists.itu.int</w:t>
        </w:r>
      </w:hyperlink>
      <w:r w:rsidRPr="008F2C48">
        <w:rPr>
          <w:rFonts w:cstheme="minorHAnsi"/>
          <w:sz w:val="22"/>
          <w:szCs w:val="22"/>
        </w:rPr>
        <w:t xml:space="preserve"> a été créée à l</w:t>
      </w:r>
      <w:r w:rsidR="00CB20A9" w:rsidRPr="008F2C48">
        <w:rPr>
          <w:rFonts w:cstheme="minorHAnsi"/>
          <w:sz w:val="22"/>
          <w:szCs w:val="22"/>
        </w:rPr>
        <w:t>'</w:t>
      </w:r>
      <w:r w:rsidRPr="008F2C48">
        <w:rPr>
          <w:rFonts w:cstheme="minorHAnsi"/>
          <w:sz w:val="22"/>
          <w:szCs w:val="22"/>
        </w:rPr>
        <w:t>intention du Groupe</w:t>
      </w:r>
      <w:r w:rsidR="006B4F5B" w:rsidRPr="008F2C48">
        <w:rPr>
          <w:rFonts w:cstheme="minorHAnsi"/>
          <w:sz w:val="22"/>
          <w:szCs w:val="22"/>
        </w:rPr>
        <w:t> </w:t>
      </w:r>
      <w:r w:rsidRPr="008F2C48">
        <w:rPr>
          <w:rFonts w:cstheme="minorHAnsi"/>
          <w:sz w:val="22"/>
          <w:szCs w:val="22"/>
        </w:rPr>
        <w:t>SG15RG</w:t>
      </w:r>
      <w:r w:rsidR="006B4F5B" w:rsidRPr="008F2C48">
        <w:rPr>
          <w:rFonts w:cstheme="minorHAnsi"/>
          <w:sz w:val="22"/>
          <w:szCs w:val="22"/>
        </w:rPr>
        <w:noBreakHyphen/>
      </w:r>
      <w:r w:rsidRPr="008F2C48">
        <w:rPr>
          <w:rFonts w:cstheme="minorHAnsi"/>
          <w:sz w:val="22"/>
          <w:szCs w:val="22"/>
        </w:rPr>
        <w:t>AFR.</w:t>
      </w:r>
    </w:p>
    <w:p w14:paraId="7882DC30" w14:textId="081C86DB" w:rsidR="008F2C48" w:rsidRDefault="00307FB4" w:rsidP="008F2C48">
      <w:pPr>
        <w:rPr>
          <w:rFonts w:cstheme="minorHAnsi"/>
          <w:bCs/>
          <w:sz w:val="22"/>
          <w:szCs w:val="22"/>
        </w:rPr>
      </w:pPr>
      <w:r w:rsidRPr="008F2C48">
        <w:rPr>
          <w:rFonts w:cstheme="minorHAnsi"/>
          <w:bCs/>
          <w:sz w:val="22"/>
          <w:szCs w:val="22"/>
        </w:rPr>
        <w:t>Veuillez agréer, Madame, Monsieur, l'assurance de ma considération distinguée.</w:t>
      </w:r>
    </w:p>
    <w:p w14:paraId="558FB742" w14:textId="27C36900" w:rsidR="002937DB" w:rsidRPr="008F2C48" w:rsidRDefault="004062CA" w:rsidP="008F2C48">
      <w:pPr>
        <w:spacing w:before="640"/>
        <w:rPr>
          <w:rFonts w:cstheme="minorHAnsi"/>
          <w:bCs/>
          <w:sz w:val="22"/>
          <w:szCs w:val="22"/>
        </w:rPr>
      </w:pPr>
      <w:r>
        <w:rPr>
          <w:rFonts w:cstheme="minorHAnsi"/>
          <w:bCs/>
          <w:noProof/>
          <w:sz w:val="22"/>
          <w:szCs w:val="22"/>
        </w:rPr>
        <w:drawing>
          <wp:anchor distT="0" distB="0" distL="114300" distR="114300" simplePos="0" relativeHeight="251658240" behindDoc="1" locked="0" layoutInCell="1" allowOverlap="1" wp14:anchorId="659F2739" wp14:editId="0E9FEBBC">
            <wp:simplePos x="0" y="0"/>
            <wp:positionH relativeFrom="margin">
              <wp:align>left</wp:align>
            </wp:positionH>
            <wp:positionV relativeFrom="paragraph">
              <wp:posOffset>34290</wp:posOffset>
            </wp:positionV>
            <wp:extent cx="692150" cy="330200"/>
            <wp:effectExtent l="0" t="0" r="0" b="0"/>
            <wp:wrapNone/>
            <wp:docPr id="172780435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04354" name="Picture 1" descr="A black text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307FB4" w:rsidRPr="008F2C48">
        <w:rPr>
          <w:rFonts w:cstheme="minorHAnsi"/>
          <w:bCs/>
          <w:sz w:val="22"/>
          <w:szCs w:val="22"/>
        </w:rPr>
        <w:t>Seizo Onoe</w:t>
      </w:r>
      <w:r w:rsidR="00B60868" w:rsidRPr="008F2C48">
        <w:rPr>
          <w:rFonts w:cstheme="minorHAnsi"/>
          <w:bCs/>
          <w:sz w:val="22"/>
          <w:szCs w:val="22"/>
        </w:rPr>
        <w:br/>
      </w:r>
      <w:r w:rsidR="00307FB4" w:rsidRPr="008F2C48">
        <w:rPr>
          <w:rFonts w:cstheme="minorHAnsi"/>
          <w:bCs/>
          <w:sz w:val="22"/>
          <w:szCs w:val="22"/>
        </w:rPr>
        <w:t>Directeur du Bureau de la normalisation</w:t>
      </w:r>
      <w:r w:rsidR="00B60868" w:rsidRPr="008F2C48">
        <w:rPr>
          <w:rFonts w:cstheme="minorHAnsi"/>
          <w:bCs/>
          <w:sz w:val="22"/>
          <w:szCs w:val="22"/>
        </w:rPr>
        <w:br/>
      </w:r>
      <w:r w:rsidR="00307FB4" w:rsidRPr="008F2C48">
        <w:rPr>
          <w:rFonts w:cstheme="minorHAnsi"/>
          <w:bCs/>
          <w:sz w:val="22"/>
          <w:szCs w:val="22"/>
        </w:rPr>
        <w:t>des télécommunications</w:t>
      </w:r>
    </w:p>
    <w:p w14:paraId="469B87E8" w14:textId="0D6C19C5" w:rsidR="003C09E3" w:rsidRPr="008F2C48" w:rsidRDefault="003C09E3" w:rsidP="006B4F5B">
      <w:pPr>
        <w:rPr>
          <w:rFonts w:cstheme="minorHAnsi"/>
          <w:bCs/>
          <w:sz w:val="22"/>
          <w:szCs w:val="22"/>
        </w:rPr>
      </w:pPr>
      <w:proofErr w:type="gramStart"/>
      <w:r w:rsidRPr="008F2C48">
        <w:rPr>
          <w:rFonts w:cstheme="minorHAnsi"/>
          <w:b/>
          <w:bCs/>
          <w:sz w:val="22"/>
          <w:szCs w:val="22"/>
        </w:rPr>
        <w:t>Annexe:</w:t>
      </w:r>
      <w:proofErr w:type="gramEnd"/>
      <w:r w:rsidRPr="008F2C48">
        <w:rPr>
          <w:rFonts w:cstheme="minorHAnsi"/>
          <w:sz w:val="22"/>
          <w:szCs w:val="22"/>
        </w:rPr>
        <w:tab/>
        <w:t>1</w:t>
      </w:r>
    </w:p>
    <w:p w14:paraId="6C868E77" w14:textId="77777777" w:rsidR="00CB20A9" w:rsidRPr="00D205EA" w:rsidRDefault="00CB20A9" w:rsidP="006B4F5B">
      <w:pPr>
        <w:pStyle w:val="Annextitle0"/>
        <w:rPr>
          <w:lang w:val="fr-FR"/>
        </w:rPr>
      </w:pPr>
      <w:r w:rsidRPr="00D205EA">
        <w:rPr>
          <w:bCs/>
          <w:lang w:val="fr-FR"/>
        </w:rPr>
        <w:lastRenderedPageBreak/>
        <w:t>Annexe 1</w:t>
      </w:r>
    </w:p>
    <w:p w14:paraId="01146AFD" w14:textId="0B98C7C2" w:rsidR="00CB20A9" w:rsidRPr="00D205EA" w:rsidRDefault="00CB20A9" w:rsidP="006B4F5B">
      <w:pPr>
        <w:pStyle w:val="Annextitle0"/>
        <w:rPr>
          <w:lang w:val="fr-FR"/>
        </w:rPr>
      </w:pPr>
      <w:r w:rsidRPr="00D205EA">
        <w:rPr>
          <w:bCs/>
          <w:lang w:val="fr-FR"/>
        </w:rPr>
        <w:t xml:space="preserve">Mandat du Groupe régional de la Commission d'études 15 </w:t>
      </w:r>
      <w:r w:rsidR="005E12E7" w:rsidRPr="00D205EA">
        <w:rPr>
          <w:bCs/>
          <w:lang w:val="fr-FR"/>
        </w:rPr>
        <w:br/>
      </w:r>
      <w:r w:rsidRPr="00D205EA">
        <w:rPr>
          <w:bCs/>
          <w:lang w:val="fr-FR"/>
        </w:rPr>
        <w:t>de l'UIT-T pour l'Afrique</w:t>
      </w:r>
    </w:p>
    <w:p w14:paraId="7F5B3E8D" w14:textId="3D1A2D66" w:rsidR="00CB20A9" w:rsidRPr="00D205EA" w:rsidRDefault="00EC0DCD" w:rsidP="006B4F5B">
      <w:pPr>
        <w:pStyle w:val="enumlev1"/>
        <w:rPr>
          <w:sz w:val="22"/>
          <w:szCs w:val="22"/>
        </w:rPr>
      </w:pPr>
      <w:r w:rsidRPr="00D205EA">
        <w:t>a)</w:t>
      </w:r>
      <w:r w:rsidRPr="00D205EA">
        <w:tab/>
      </w:r>
      <w:r w:rsidR="00CB20A9" w:rsidRPr="00D205EA">
        <w:t>Encourager les délégués des pays africains à participer activement aux travaux de la CE 15 de l'UIT-T (y compris aux réunions des groupes du Rapporteur et à d'autres manifestations de la CE 15) et soutenir les candidatures africaines aux postes de direction de la CE 15.</w:t>
      </w:r>
    </w:p>
    <w:p w14:paraId="6A7BA0F1" w14:textId="1B22D237" w:rsidR="00CB20A9" w:rsidRPr="00D205EA" w:rsidRDefault="00EC0DCD" w:rsidP="006B4F5B">
      <w:pPr>
        <w:pStyle w:val="enumlev1"/>
        <w:rPr>
          <w:sz w:val="22"/>
          <w:szCs w:val="22"/>
        </w:rPr>
      </w:pPr>
      <w:r w:rsidRPr="00D205EA">
        <w:t>b)</w:t>
      </w:r>
      <w:r w:rsidRPr="00D205EA">
        <w:tab/>
      </w:r>
      <w:r w:rsidR="00CB20A9" w:rsidRPr="00D205EA">
        <w:t>Détecter et examiner les problèmes de déploiement dans la région associés aux Recommandations de la CE 15 de l'UIT-T.</w:t>
      </w:r>
    </w:p>
    <w:p w14:paraId="23DA2D92" w14:textId="331B2DDD" w:rsidR="00CB20A9" w:rsidRPr="00D205EA" w:rsidRDefault="00EC0DCD" w:rsidP="006B4F5B">
      <w:pPr>
        <w:pStyle w:val="enumlev1"/>
        <w:rPr>
          <w:sz w:val="22"/>
          <w:szCs w:val="22"/>
        </w:rPr>
      </w:pPr>
      <w:r w:rsidRPr="00D205EA">
        <w:t>c)</w:t>
      </w:r>
      <w:r w:rsidRPr="00D205EA">
        <w:tab/>
      </w:r>
      <w:r w:rsidR="00CB20A9" w:rsidRPr="00D205EA">
        <w:t>Aider à répondre aux besoins de formation dans le domaine de la normalisation et des technologies optiques dans la région.</w:t>
      </w:r>
    </w:p>
    <w:p w14:paraId="041302B9" w14:textId="3AA231F2" w:rsidR="00CB20A9" w:rsidRPr="00D205EA" w:rsidRDefault="00EC0DCD" w:rsidP="006B4F5B">
      <w:pPr>
        <w:pStyle w:val="enumlev1"/>
        <w:rPr>
          <w:sz w:val="22"/>
          <w:szCs w:val="22"/>
        </w:rPr>
      </w:pPr>
      <w:r w:rsidRPr="00D205EA">
        <w:t>d)</w:t>
      </w:r>
      <w:r w:rsidRPr="00D205EA">
        <w:tab/>
      </w:r>
      <w:r w:rsidR="00CB20A9" w:rsidRPr="00D205EA">
        <w:t xml:space="preserve">Promouvoir les produits de la CE 15 de l'UIT-T qui correspondent aux priorités régionales africaines pertinentes. </w:t>
      </w:r>
    </w:p>
    <w:p w14:paraId="685C2E06" w14:textId="4FECDBD4" w:rsidR="00CB20A9" w:rsidRPr="00D205EA" w:rsidRDefault="00EC0DCD" w:rsidP="006B4F5B">
      <w:pPr>
        <w:pStyle w:val="enumlev1"/>
        <w:rPr>
          <w:sz w:val="22"/>
          <w:szCs w:val="22"/>
        </w:rPr>
      </w:pPr>
      <w:r w:rsidRPr="00D205EA">
        <w:t>e)</w:t>
      </w:r>
      <w:r w:rsidRPr="00D205EA">
        <w:tab/>
      </w:r>
      <w:r w:rsidR="00CB20A9" w:rsidRPr="00D205EA">
        <w:t>Coopérer étroitement avec les différentes organisations régionales africaines de télécommunication, les organismes de normalisation des pays africains et les bureaux régionaux et de zone de l'UIT en Afrique concernés, afin de créer d'éventuelles synergies et de rendre compte à la CE 15 de l'UIT-T des travaux réalisés dans la région.</w:t>
      </w:r>
    </w:p>
    <w:p w14:paraId="335E8C93" w14:textId="4FF65D63" w:rsidR="00CB20A9" w:rsidRPr="00D205EA" w:rsidRDefault="00EC0DCD" w:rsidP="006B4F5B">
      <w:pPr>
        <w:pStyle w:val="enumlev1"/>
        <w:rPr>
          <w:sz w:val="22"/>
          <w:szCs w:val="22"/>
        </w:rPr>
      </w:pPr>
      <w:r w:rsidRPr="00D205EA">
        <w:t>f)</w:t>
      </w:r>
      <w:r w:rsidRPr="00D205EA">
        <w:tab/>
      </w:r>
      <w:r w:rsidR="00CB20A9" w:rsidRPr="00D205EA">
        <w:t>Créer un espace de discussion dédié, par exemple en organisant des ateliers techniques régionaux, pour mener à bien le présent mandat.</w:t>
      </w:r>
    </w:p>
    <w:p w14:paraId="4D43A890" w14:textId="20690264" w:rsidR="00CB20A9" w:rsidRPr="00D205EA" w:rsidRDefault="00EC0DCD" w:rsidP="006B4F5B">
      <w:pPr>
        <w:pStyle w:val="enumlev1"/>
        <w:rPr>
          <w:sz w:val="22"/>
          <w:szCs w:val="22"/>
        </w:rPr>
      </w:pPr>
      <w:r w:rsidRPr="00D205EA">
        <w:t>g)</w:t>
      </w:r>
      <w:r w:rsidRPr="00D205EA">
        <w:tab/>
      </w:r>
      <w:r w:rsidR="00CB20A9" w:rsidRPr="00D205EA">
        <w:t>Limiter son champ d'application au présent mandat, conformément au mandat de la CE 15 de l'UIT-T, tel qu'il est défini dans la Résolution 2 de l'UIT-T, et ne pas élaborer de normes régionales.</w:t>
      </w:r>
    </w:p>
    <w:p w14:paraId="182BE5DA" w14:textId="62B460B9" w:rsidR="00CB20A9" w:rsidRPr="00D205EA" w:rsidRDefault="00CB20A9" w:rsidP="006B4F5B">
      <w:pPr>
        <w:pStyle w:val="Annextitle0"/>
        <w:rPr>
          <w:lang w:val="fr-FR"/>
        </w:rPr>
      </w:pPr>
      <w:r w:rsidRPr="00D205EA">
        <w:rPr>
          <w:bCs/>
          <w:lang w:val="fr-FR"/>
        </w:rPr>
        <w:t xml:space="preserve">Méthodes de travail du Groupe régional de la Commission d'études 15 </w:t>
      </w:r>
      <w:r w:rsidR="006B4F5B" w:rsidRPr="00D205EA">
        <w:rPr>
          <w:bCs/>
          <w:lang w:val="fr-FR"/>
        </w:rPr>
        <w:br/>
      </w:r>
      <w:r w:rsidRPr="00D205EA">
        <w:rPr>
          <w:bCs/>
          <w:lang w:val="fr-FR"/>
        </w:rPr>
        <w:t>de l'UIT-T pour l'Afrique</w:t>
      </w:r>
    </w:p>
    <w:p w14:paraId="73EF8D39" w14:textId="259D74FE" w:rsidR="00CB20A9" w:rsidRPr="00D205EA" w:rsidRDefault="00EC0DCD" w:rsidP="006B4F5B">
      <w:pPr>
        <w:pStyle w:val="enumlev1"/>
        <w:rPr>
          <w:sz w:val="22"/>
          <w:szCs w:val="22"/>
        </w:rPr>
      </w:pPr>
      <w:r w:rsidRPr="00D205EA">
        <w:t>a)</w:t>
      </w:r>
      <w:r w:rsidRPr="00D205EA">
        <w:tab/>
      </w:r>
      <w:r w:rsidR="00CB20A9" w:rsidRPr="00D205EA">
        <w:t>Le/la Président(e) du Groupe SG15RG-AFR est nommé(e) par le Président de la CE 15 de l'UIT-T parmi l'un(e) des Vice-Président(e)s de ladite Commission pour la région Afrique pour la période d'études.</w:t>
      </w:r>
    </w:p>
    <w:p w14:paraId="4809B8AC" w14:textId="4DBEE8F6" w:rsidR="00CB20A9" w:rsidRPr="00D205EA" w:rsidRDefault="00EC0DCD" w:rsidP="006B4F5B">
      <w:pPr>
        <w:pStyle w:val="enumlev1"/>
        <w:rPr>
          <w:sz w:val="22"/>
          <w:szCs w:val="22"/>
        </w:rPr>
      </w:pPr>
      <w:r w:rsidRPr="00D205EA">
        <w:t>b)</w:t>
      </w:r>
      <w:r w:rsidRPr="00D205EA">
        <w:tab/>
      </w:r>
      <w:r w:rsidR="00CB20A9" w:rsidRPr="00D205EA">
        <w:t>Jusqu'à quatre Vice-Président(e)s du Groupe SG15RG-AFR sont désigné(e)s parmi les membres physiquement présents à la première réunion du Groupe régional de la période d'études, par la CE 15 lors de sa séance plénière suivante, compte tenu des compétences et de l'exigence d'une répartition géographique équitable.</w:t>
      </w:r>
    </w:p>
    <w:p w14:paraId="37FE66CA" w14:textId="0B4CA116" w:rsidR="00CB20A9" w:rsidRPr="00D205EA" w:rsidRDefault="00EC0DCD" w:rsidP="006B4F5B">
      <w:pPr>
        <w:pStyle w:val="enumlev1"/>
        <w:rPr>
          <w:sz w:val="22"/>
          <w:szCs w:val="22"/>
        </w:rPr>
      </w:pPr>
      <w:r w:rsidRPr="00D205EA">
        <w:t>c)</w:t>
      </w:r>
      <w:r w:rsidRPr="00D205EA">
        <w:tab/>
      </w:r>
      <w:r w:rsidR="00CB20A9" w:rsidRPr="00D205EA">
        <w:t>Le mandat du/de la Président(e) et des Vice-Président(e)s du Groupe SG15RG-AFR équivaut à une seule période d'études et se limite à deux périodes d'études.</w:t>
      </w:r>
    </w:p>
    <w:p w14:paraId="35BA3816" w14:textId="0D60FC76" w:rsidR="00CB20A9" w:rsidRPr="00D205EA" w:rsidRDefault="00EC0DCD" w:rsidP="006B4F5B">
      <w:pPr>
        <w:pStyle w:val="enumlev1"/>
        <w:rPr>
          <w:sz w:val="22"/>
          <w:szCs w:val="22"/>
        </w:rPr>
      </w:pPr>
      <w:r w:rsidRPr="00D205EA">
        <w:t>d)</w:t>
      </w:r>
      <w:r w:rsidRPr="00D205EA">
        <w:tab/>
      </w:r>
      <w:r w:rsidR="00CB20A9" w:rsidRPr="00D205EA">
        <w:t>Il n'y a pas de sous-groupes du groupe régional, sauf approbation par la plénière de la CE</w:t>
      </w:r>
      <w:r w:rsidR="005E12E7" w:rsidRPr="00D205EA">
        <w:t> </w:t>
      </w:r>
      <w:r w:rsidR="00CB20A9" w:rsidRPr="00D205EA">
        <w:t>15 de l'UIT-T.</w:t>
      </w:r>
    </w:p>
    <w:p w14:paraId="440682A0" w14:textId="15F00282" w:rsidR="00CB20A9" w:rsidRPr="00D205EA" w:rsidRDefault="00EC0DCD" w:rsidP="006B4F5B">
      <w:pPr>
        <w:pStyle w:val="enumlev1"/>
        <w:rPr>
          <w:sz w:val="22"/>
          <w:szCs w:val="22"/>
        </w:rPr>
      </w:pPr>
      <w:r w:rsidRPr="00D205EA">
        <w:t>e)</w:t>
      </w:r>
      <w:r w:rsidRPr="00D205EA">
        <w:tab/>
      </w:r>
      <w:r w:rsidR="00CB20A9" w:rsidRPr="00D205EA">
        <w:t>Les résultats obtenus par le groupe régional doivent être évalués par la plénière de la CE</w:t>
      </w:r>
      <w:r w:rsidR="005E12E7" w:rsidRPr="00D205EA">
        <w:t> </w:t>
      </w:r>
      <w:r w:rsidR="00CB20A9" w:rsidRPr="00D205EA">
        <w:t>15, et le groupe régional doit faire l'objet d'un examen aux fins de sa confirmation au début de chaque période d'études.</w:t>
      </w:r>
    </w:p>
    <w:p w14:paraId="48CE1DC6" w14:textId="3E8A0C18" w:rsidR="00CB20A9" w:rsidRPr="00D205EA" w:rsidRDefault="00EC0DCD" w:rsidP="006B4F5B">
      <w:pPr>
        <w:pStyle w:val="enumlev1"/>
        <w:rPr>
          <w:sz w:val="22"/>
          <w:szCs w:val="22"/>
        </w:rPr>
      </w:pPr>
      <w:r w:rsidRPr="00D205EA">
        <w:t>f)</w:t>
      </w:r>
      <w:r w:rsidRPr="00D205EA">
        <w:tab/>
      </w:r>
      <w:r w:rsidR="00CB20A9" w:rsidRPr="00D205EA">
        <w:t>Le groupe régional présente un rapport au moins douze jours calendaires avant chaque séance plénière de la CE 15 de l'UIT-T, afin de mettre en évidence les résultats obtenus à l'appui de son mandat.</w:t>
      </w:r>
    </w:p>
    <w:p w14:paraId="2659131E" w14:textId="05CEE444" w:rsidR="00CB20A9" w:rsidRPr="00D205EA" w:rsidRDefault="00EC0DCD" w:rsidP="006B4F5B">
      <w:pPr>
        <w:pStyle w:val="enumlev1"/>
        <w:rPr>
          <w:sz w:val="22"/>
          <w:szCs w:val="22"/>
        </w:rPr>
      </w:pPr>
      <w:r w:rsidRPr="00D205EA">
        <w:t>g)</w:t>
      </w:r>
      <w:r w:rsidRPr="00D205EA">
        <w:tab/>
      </w:r>
      <w:r w:rsidR="00CB20A9" w:rsidRPr="00D205EA">
        <w:t>Chaque réunion du groupe régional devrait être annoncée au moins deux mois à l'avance et avoir lieu au moins deux mois avant chaque séance plénière de la CE 15 de l'UIT-T. D'autres réunions du groupe régional pourront également être programmées.</w:t>
      </w:r>
    </w:p>
    <w:p w14:paraId="7A7750CA" w14:textId="64BDF0A2" w:rsidR="00D56C8C" w:rsidRPr="00D205EA" w:rsidRDefault="00EC0DCD" w:rsidP="006B4F5B">
      <w:pPr>
        <w:pStyle w:val="enumlev1"/>
        <w:rPr>
          <w:sz w:val="22"/>
          <w:szCs w:val="22"/>
        </w:rPr>
      </w:pPr>
      <w:r w:rsidRPr="00D205EA">
        <w:lastRenderedPageBreak/>
        <w:t>h)</w:t>
      </w:r>
      <w:r w:rsidRPr="00D205EA">
        <w:tab/>
      </w:r>
      <w:r w:rsidR="00CB20A9" w:rsidRPr="00D205EA">
        <w:t xml:space="preserve">Les pays hôtes sont encouragés à favoriser la tenue des réunions du groupe régional et des ateliers techniques régionaux en présentiel, afin d'optimiser les possibilités de dialogue et de consultation. </w:t>
      </w:r>
      <w:r w:rsidR="00D56C8C" w:rsidRPr="00D205EA">
        <w:t>À</w:t>
      </w:r>
      <w:r w:rsidR="00CB20A9" w:rsidRPr="00D205EA">
        <w:t xml:space="preserve"> défaut, des réunions en ligne du groupe régional pourront être organisées.</w:t>
      </w:r>
    </w:p>
    <w:p w14:paraId="288B137C" w14:textId="509872B0" w:rsidR="00D56C8C" w:rsidRPr="00D205EA" w:rsidRDefault="00D56C8C" w:rsidP="006B4F5B">
      <w:pPr>
        <w:jc w:val="center"/>
      </w:pPr>
      <w:r w:rsidRPr="00D205EA">
        <w:t>______________</w:t>
      </w:r>
    </w:p>
    <w:sectPr w:rsidR="00D56C8C" w:rsidRPr="00D205EA" w:rsidSect="008F2C48">
      <w:headerReference w:type="default" r:id="rId14"/>
      <w:footerReference w:type="first" r:id="rId15"/>
      <w:pgSz w:w="11907" w:h="16840" w:code="9"/>
      <w:pgMar w:top="1134" w:right="1089" w:bottom="810" w:left="1089" w:header="567" w:footer="345"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139A" w14:textId="77777777" w:rsidR="005E7487" w:rsidRDefault="005E7487">
      <w:r>
        <w:separator/>
      </w:r>
    </w:p>
  </w:endnote>
  <w:endnote w:type="continuationSeparator" w:id="0">
    <w:p w14:paraId="42547A62" w14:textId="77777777" w:rsidR="005E7487" w:rsidRDefault="005E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default"/>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3113" w14:textId="77777777" w:rsidR="005E7487" w:rsidRDefault="005E7487">
      <w:r>
        <w:t>____________________</w:t>
      </w:r>
    </w:p>
  </w:footnote>
  <w:footnote w:type="continuationSeparator" w:id="0">
    <w:p w14:paraId="497B7C2E" w14:textId="77777777" w:rsidR="005E7487" w:rsidRDefault="005E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46C1261F" w:rsidR="00697BC1" w:rsidRPr="00697BC1" w:rsidRDefault="004062CA"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D56C8C">
      <w:rPr>
        <w:noProof/>
        <w:sz w:val="18"/>
        <w:szCs w:val="16"/>
      </w:rPr>
      <w:t>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0E3E0476"/>
    <w:multiLevelType w:val="hybridMultilevel"/>
    <w:tmpl w:val="F13C422A"/>
    <w:lvl w:ilvl="0" w:tplc="5272375A">
      <w:start w:val="2"/>
      <w:numFmt w:val="bullet"/>
      <w:lvlText w:val="-"/>
      <w:lvlJc w:val="left"/>
      <w:pPr>
        <w:ind w:left="720" w:hanging="360"/>
      </w:pPr>
      <w:rPr>
        <w:rFonts w:ascii="Calibri" w:eastAsia="MS Mincho" w:hAnsi="Calibri" w:cs="Calibri"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4C9B23B7"/>
    <w:multiLevelType w:val="hybridMultilevel"/>
    <w:tmpl w:val="DE76F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A5E48"/>
    <w:multiLevelType w:val="hybridMultilevel"/>
    <w:tmpl w:val="717616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7436352">
    <w:abstractNumId w:val="1"/>
  </w:num>
  <w:num w:numId="2" w16cid:durableId="331950789">
    <w:abstractNumId w:val="6"/>
  </w:num>
  <w:num w:numId="3" w16cid:durableId="1138768789">
    <w:abstractNumId w:val="3"/>
  </w:num>
  <w:num w:numId="4" w16cid:durableId="1196237958">
    <w:abstractNumId w:val="0"/>
  </w:num>
  <w:num w:numId="5" w16cid:durableId="63795573">
    <w:abstractNumId w:val="2"/>
  </w:num>
  <w:num w:numId="6" w16cid:durableId="103699864">
    <w:abstractNumId w:val="5"/>
  </w:num>
  <w:num w:numId="7" w16cid:durableId="1924025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06DA5"/>
    <w:rsid w:val="002152A3"/>
    <w:rsid w:val="0023667A"/>
    <w:rsid w:val="002937DB"/>
    <w:rsid w:val="002E395D"/>
    <w:rsid w:val="00307FB4"/>
    <w:rsid w:val="003131F0"/>
    <w:rsid w:val="00333A80"/>
    <w:rsid w:val="00341117"/>
    <w:rsid w:val="00364E95"/>
    <w:rsid w:val="00372875"/>
    <w:rsid w:val="003742F8"/>
    <w:rsid w:val="0037571A"/>
    <w:rsid w:val="003B1E80"/>
    <w:rsid w:val="003B66E8"/>
    <w:rsid w:val="003C09E3"/>
    <w:rsid w:val="003E66AD"/>
    <w:rsid w:val="004033F1"/>
    <w:rsid w:val="004062CA"/>
    <w:rsid w:val="00414B0C"/>
    <w:rsid w:val="00423C21"/>
    <w:rsid w:val="004257AC"/>
    <w:rsid w:val="0043711B"/>
    <w:rsid w:val="004419E9"/>
    <w:rsid w:val="00445B68"/>
    <w:rsid w:val="00472317"/>
    <w:rsid w:val="0048088B"/>
    <w:rsid w:val="004977C9"/>
    <w:rsid w:val="004B732E"/>
    <w:rsid w:val="004D51F4"/>
    <w:rsid w:val="004D64E0"/>
    <w:rsid w:val="00502FA5"/>
    <w:rsid w:val="005120A2"/>
    <w:rsid w:val="0051210D"/>
    <w:rsid w:val="005136D2"/>
    <w:rsid w:val="00517A03"/>
    <w:rsid w:val="005A3DD9"/>
    <w:rsid w:val="005B1DFC"/>
    <w:rsid w:val="005E12E7"/>
    <w:rsid w:val="005E7487"/>
    <w:rsid w:val="00601682"/>
    <w:rsid w:val="00603470"/>
    <w:rsid w:val="00621D40"/>
    <w:rsid w:val="00625E79"/>
    <w:rsid w:val="006333F7"/>
    <w:rsid w:val="006427A1"/>
    <w:rsid w:val="00644741"/>
    <w:rsid w:val="00697BC1"/>
    <w:rsid w:val="006A6FFE"/>
    <w:rsid w:val="006B4F5B"/>
    <w:rsid w:val="006C5A91"/>
    <w:rsid w:val="006F28ED"/>
    <w:rsid w:val="006F52F7"/>
    <w:rsid w:val="00716BBC"/>
    <w:rsid w:val="007321BC"/>
    <w:rsid w:val="00760063"/>
    <w:rsid w:val="0077497D"/>
    <w:rsid w:val="00775E4B"/>
    <w:rsid w:val="0079553B"/>
    <w:rsid w:val="00795679"/>
    <w:rsid w:val="007A40FE"/>
    <w:rsid w:val="00810105"/>
    <w:rsid w:val="008157E0"/>
    <w:rsid w:val="00850477"/>
    <w:rsid w:val="008510F8"/>
    <w:rsid w:val="00854E1D"/>
    <w:rsid w:val="00887FA6"/>
    <w:rsid w:val="008C4397"/>
    <w:rsid w:val="008C465A"/>
    <w:rsid w:val="008F2C48"/>
    <w:rsid w:val="008F2C9B"/>
    <w:rsid w:val="00923CD6"/>
    <w:rsid w:val="00935AA8"/>
    <w:rsid w:val="00971C9A"/>
    <w:rsid w:val="009D51FA"/>
    <w:rsid w:val="009F1E23"/>
    <w:rsid w:val="00A078A4"/>
    <w:rsid w:val="00A15179"/>
    <w:rsid w:val="00A51537"/>
    <w:rsid w:val="00A5280F"/>
    <w:rsid w:val="00A5645A"/>
    <w:rsid w:val="00A60FC1"/>
    <w:rsid w:val="00A97C37"/>
    <w:rsid w:val="00AA131B"/>
    <w:rsid w:val="00AC37B5"/>
    <w:rsid w:val="00AD752F"/>
    <w:rsid w:val="00AF08A4"/>
    <w:rsid w:val="00AF0D7D"/>
    <w:rsid w:val="00AF23BD"/>
    <w:rsid w:val="00B27B41"/>
    <w:rsid w:val="00B42659"/>
    <w:rsid w:val="00B46F2D"/>
    <w:rsid w:val="00B535DC"/>
    <w:rsid w:val="00B60868"/>
    <w:rsid w:val="00B8573E"/>
    <w:rsid w:val="00BB24C0"/>
    <w:rsid w:val="00BC1470"/>
    <w:rsid w:val="00BD6ECF"/>
    <w:rsid w:val="00C26F2E"/>
    <w:rsid w:val="00C302E3"/>
    <w:rsid w:val="00C41B89"/>
    <w:rsid w:val="00C45376"/>
    <w:rsid w:val="00C9028F"/>
    <w:rsid w:val="00CA0416"/>
    <w:rsid w:val="00CB1125"/>
    <w:rsid w:val="00CB20A9"/>
    <w:rsid w:val="00CB4E80"/>
    <w:rsid w:val="00CD042E"/>
    <w:rsid w:val="00CF22F2"/>
    <w:rsid w:val="00CF2560"/>
    <w:rsid w:val="00CF5B46"/>
    <w:rsid w:val="00D205EA"/>
    <w:rsid w:val="00D46B68"/>
    <w:rsid w:val="00D542A5"/>
    <w:rsid w:val="00D56C8C"/>
    <w:rsid w:val="00DC3D47"/>
    <w:rsid w:val="00DD77DA"/>
    <w:rsid w:val="00E06C61"/>
    <w:rsid w:val="00E13DB3"/>
    <w:rsid w:val="00E2408B"/>
    <w:rsid w:val="00E35DE8"/>
    <w:rsid w:val="00E62CEA"/>
    <w:rsid w:val="00E72AE1"/>
    <w:rsid w:val="00EC0DCD"/>
    <w:rsid w:val="00ED6A7A"/>
    <w:rsid w:val="00EE4C36"/>
    <w:rsid w:val="00EF6A23"/>
    <w:rsid w:val="00F0695B"/>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Tabletext0">
    <w:name w:val="Table_text"/>
    <w:basedOn w:val="Normal"/>
    <w:rsid w:val="003C09E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Calibri" w:eastAsia="MS Mincho" w:hAnsi="Calibri"/>
      <w:lang w:val="en-GB"/>
    </w:rPr>
  </w:style>
  <w:style w:type="paragraph" w:customStyle="1" w:styleId="Annextitle0">
    <w:name w:val="Annex_title"/>
    <w:basedOn w:val="Normal"/>
    <w:next w:val="Normal"/>
    <w:rsid w:val="00CB20A9"/>
    <w:pPr>
      <w:keepNext/>
      <w:keepLines/>
      <w:spacing w:before="240" w:after="280"/>
      <w:jc w:val="center"/>
    </w:pPr>
    <w:rPr>
      <w:rFonts w:ascii="Calibri" w:eastAsia="MS Mincho" w:hAnsi="Calibri"/>
      <w:b/>
      <w:sz w:val="28"/>
      <w:lang w:val="en-GB"/>
    </w:rPr>
  </w:style>
  <w:style w:type="paragraph" w:styleId="ListParagraph">
    <w:name w:val="List Paragraph"/>
    <w:basedOn w:val="Normal"/>
    <w:uiPriority w:val="34"/>
    <w:qFormat/>
    <w:rsid w:val="00CB20A9"/>
    <w:pPr>
      <w:ind w:left="720"/>
      <w:contextualSpacing/>
    </w:pPr>
    <w:rPr>
      <w:rFonts w:ascii="Calibri" w:eastAsia="MS Mincho" w:hAnsi="Calibri"/>
      <w:lang w:val="en-GB"/>
    </w:rPr>
  </w:style>
  <w:style w:type="character" w:styleId="CommentReference">
    <w:name w:val="annotation reference"/>
    <w:basedOn w:val="DefaultParagraphFont"/>
    <w:semiHidden/>
    <w:unhideWhenUsed/>
    <w:rsid w:val="00D56C8C"/>
    <w:rPr>
      <w:sz w:val="16"/>
      <w:szCs w:val="16"/>
    </w:rPr>
  </w:style>
  <w:style w:type="paragraph" w:styleId="CommentText">
    <w:name w:val="annotation text"/>
    <w:basedOn w:val="Normal"/>
    <w:link w:val="CommentTextChar"/>
    <w:semiHidden/>
    <w:unhideWhenUsed/>
    <w:rsid w:val="00D56C8C"/>
    <w:rPr>
      <w:sz w:val="20"/>
    </w:rPr>
  </w:style>
  <w:style w:type="character" w:customStyle="1" w:styleId="CommentTextChar">
    <w:name w:val="Comment Text Char"/>
    <w:basedOn w:val="DefaultParagraphFont"/>
    <w:link w:val="CommentText"/>
    <w:semiHidden/>
    <w:rsid w:val="00D56C8C"/>
    <w:rPr>
      <w:rFonts w:asciiTheme="minorHAnsi" w:hAnsiTheme="minorHAnsi"/>
      <w:lang w:val="fr-FR" w:eastAsia="en-US"/>
    </w:rPr>
  </w:style>
  <w:style w:type="paragraph" w:styleId="CommentSubject">
    <w:name w:val="annotation subject"/>
    <w:basedOn w:val="CommentText"/>
    <w:next w:val="CommentText"/>
    <w:link w:val="CommentSubjectChar"/>
    <w:semiHidden/>
    <w:unhideWhenUsed/>
    <w:rsid w:val="00D56C8C"/>
    <w:rPr>
      <w:b/>
      <w:bCs/>
    </w:rPr>
  </w:style>
  <w:style w:type="character" w:customStyle="1" w:styleId="CommentSubjectChar">
    <w:name w:val="Comment Subject Char"/>
    <w:basedOn w:val="CommentTextChar"/>
    <w:link w:val="CommentSubject"/>
    <w:semiHidden/>
    <w:rsid w:val="00D56C8C"/>
    <w:rPr>
      <w:rFonts w:asciiTheme="minorHAnsi" w:hAnsiTheme="minorHAnsi"/>
      <w:b/>
      <w:bCs/>
      <w:lang w:val="fr-FR" w:eastAsia="en-US"/>
    </w:rPr>
  </w:style>
  <w:style w:type="paragraph" w:styleId="Revision">
    <w:name w:val="Revision"/>
    <w:hidden/>
    <w:uiPriority w:val="99"/>
    <w:semiHidden/>
    <w:rsid w:val="00D56C8C"/>
    <w:rPr>
      <w:rFonts w:asciiTheme="minorHAnsi" w:hAnsiTheme="minorHAnsi"/>
      <w:sz w:val="24"/>
      <w:lang w:val="fr-FR" w:eastAsia="en-US"/>
    </w:rPr>
  </w:style>
  <w:style w:type="paragraph" w:customStyle="1" w:styleId="Reasons">
    <w:name w:val="Reasons"/>
    <w:basedOn w:val="Normal"/>
    <w:qFormat/>
    <w:rsid w:val="00D56C8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g15rgafr@lists.itu.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regionalgroups/sg15-afr/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ITU-T/regionalgroups/sg15-afr/Pages/default.aspx" TargetMode="External"/><Relationship Id="rId4" Type="http://schemas.openxmlformats.org/officeDocument/2006/relationships/settings" Target="settings.xml"/><Relationship Id="rId9" Type="http://schemas.openxmlformats.org/officeDocument/2006/relationships/hyperlink" Target="mailto:tsbsg15@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12</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6103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5</cp:revision>
  <cp:lastPrinted>2025-11-27T10:04:00Z</cp:lastPrinted>
  <dcterms:created xsi:type="dcterms:W3CDTF">2025-11-26T12:38:00Z</dcterms:created>
  <dcterms:modified xsi:type="dcterms:W3CDTF">2025-11-27T10:05:00Z</dcterms:modified>
</cp:coreProperties>
</file>