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585"/>
        <w:tblW w:w="9781" w:type="dxa"/>
        <w:tblLayout w:type="fixed"/>
        <w:tblLook w:val="0000" w:firstRow="0" w:lastRow="0" w:firstColumn="0" w:lastColumn="0" w:noHBand="0" w:noVBand="0"/>
      </w:tblPr>
      <w:tblGrid>
        <w:gridCol w:w="1276"/>
        <w:gridCol w:w="3402"/>
        <w:gridCol w:w="3119"/>
        <w:gridCol w:w="1984"/>
      </w:tblGrid>
      <w:tr w:rsidR="004933E6" w14:paraId="050044E6" w14:textId="77777777" w:rsidTr="004933E6">
        <w:trPr>
          <w:trHeight w:val="1260"/>
        </w:trPr>
        <w:tc>
          <w:tcPr>
            <w:tcW w:w="1276" w:type="dxa"/>
            <w:tcMar>
              <w:left w:w="0" w:type="dxa"/>
              <w:right w:w="0" w:type="dxa"/>
            </w:tcMar>
            <w:vAlign w:val="center"/>
          </w:tcPr>
          <w:p w14:paraId="2DCA39F8" w14:textId="77777777" w:rsidR="004933E6" w:rsidRDefault="004933E6" w:rsidP="004933E6">
            <w:pPr>
              <w:pStyle w:val="Tabletext"/>
              <w:jc w:val="center"/>
            </w:pPr>
            <w:r w:rsidRPr="00B219A0">
              <w:rPr>
                <w:noProof/>
                <w:lang w:eastAsia="en-GB"/>
              </w:rPr>
              <w:drawing>
                <wp:inline distT="0" distB="0" distL="0" distR="0" wp14:anchorId="6F403195" wp14:editId="5DD66107">
                  <wp:extent cx="733331" cy="733331"/>
                  <wp:effectExtent l="0" t="0" r="0" b="0"/>
                  <wp:docPr id="4" name="Picture 2" descr="The International Teleocmmunication Union - Connecting the World." title="ITU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392" cy="734392"/>
                          </a:xfrm>
                          <a:prstGeom prst="rect">
                            <a:avLst/>
                          </a:prstGeom>
                          <a:noFill/>
                          <a:ln>
                            <a:noFill/>
                          </a:ln>
                        </pic:spPr>
                      </pic:pic>
                    </a:graphicData>
                  </a:graphic>
                </wp:inline>
              </w:drawing>
            </w:r>
          </w:p>
        </w:tc>
        <w:tc>
          <w:tcPr>
            <w:tcW w:w="6521" w:type="dxa"/>
            <w:gridSpan w:val="2"/>
            <w:tcMar>
              <w:left w:w="142" w:type="dxa"/>
            </w:tcMar>
            <w:vAlign w:val="center"/>
          </w:tcPr>
          <w:p w14:paraId="421EAED1" w14:textId="77777777" w:rsidR="004933E6" w:rsidRDefault="004933E6" w:rsidP="004933E6">
            <w:pPr>
              <w:spacing w:before="0"/>
              <w:rPr>
                <w:rFonts w:cs="Times New Roman Bold"/>
                <w:b/>
                <w:bCs/>
                <w:smallCaps/>
                <w:sz w:val="26"/>
                <w:szCs w:val="26"/>
              </w:rPr>
            </w:pPr>
            <w:r>
              <w:rPr>
                <w:rFonts w:cs="Times New Roman Bold"/>
                <w:b/>
                <w:bCs/>
                <w:smallCaps/>
                <w:sz w:val="36"/>
                <w:szCs w:val="36"/>
              </w:rPr>
              <w:t>International telecommunication union</w:t>
            </w:r>
          </w:p>
          <w:p w14:paraId="2E256BF5" w14:textId="77777777" w:rsidR="004933E6" w:rsidRDefault="004933E6" w:rsidP="004933E6">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1984" w:type="dxa"/>
            <w:vAlign w:val="center"/>
          </w:tcPr>
          <w:p w14:paraId="6CAB5C49" w14:textId="77777777" w:rsidR="004933E6" w:rsidRDefault="004933E6" w:rsidP="004933E6">
            <w:pPr>
              <w:spacing w:before="0"/>
              <w:jc w:val="right"/>
              <w:rPr>
                <w:rFonts w:ascii="Verdana" w:hAnsi="Verdana"/>
                <w:color w:val="FFFFFF"/>
                <w:sz w:val="26"/>
                <w:szCs w:val="26"/>
              </w:rPr>
            </w:pPr>
            <w:hyperlink r:id="rId9" w:history="1"/>
          </w:p>
        </w:tc>
      </w:tr>
      <w:tr w:rsidR="004933E6" w:rsidRPr="004933E6" w14:paraId="25955CA0" w14:textId="77777777" w:rsidTr="004933E6">
        <w:trPr>
          <w:cantSplit/>
          <w:trHeight w:val="446"/>
        </w:trPr>
        <w:tc>
          <w:tcPr>
            <w:tcW w:w="4678" w:type="dxa"/>
            <w:gridSpan w:val="2"/>
            <w:vAlign w:val="center"/>
          </w:tcPr>
          <w:p w14:paraId="765FE014" w14:textId="77777777" w:rsidR="004933E6" w:rsidRPr="004933E6" w:rsidRDefault="004933E6" w:rsidP="004933E6">
            <w:pPr>
              <w:pStyle w:val="Tabletext"/>
              <w:spacing w:before="0" w:after="0"/>
              <w:jc w:val="right"/>
              <w:rPr>
                <w:rFonts w:asciiTheme="minorHAnsi" w:hAnsiTheme="minorHAnsi" w:cstheme="minorHAnsi"/>
                <w:sz w:val="22"/>
                <w:szCs w:val="22"/>
              </w:rPr>
            </w:pPr>
          </w:p>
        </w:tc>
        <w:tc>
          <w:tcPr>
            <w:tcW w:w="5103" w:type="dxa"/>
            <w:gridSpan w:val="2"/>
            <w:vAlign w:val="center"/>
          </w:tcPr>
          <w:p w14:paraId="572445C4" w14:textId="2D739333" w:rsidR="004933E6" w:rsidRPr="004933E6" w:rsidRDefault="004933E6" w:rsidP="004933E6">
            <w:pPr>
              <w:pStyle w:val="Tabletext"/>
              <w:spacing w:before="0" w:after="0"/>
              <w:rPr>
                <w:rFonts w:asciiTheme="minorHAnsi" w:hAnsiTheme="minorHAnsi" w:cstheme="minorHAnsi"/>
                <w:sz w:val="22"/>
                <w:szCs w:val="22"/>
              </w:rPr>
            </w:pPr>
            <w:r w:rsidRPr="004933E6">
              <w:rPr>
                <w:rFonts w:asciiTheme="minorHAnsi" w:hAnsiTheme="minorHAnsi" w:cstheme="minorHAnsi"/>
                <w:sz w:val="22"/>
                <w:szCs w:val="22"/>
              </w:rPr>
              <w:t xml:space="preserve">Geneva, </w:t>
            </w:r>
            <w:r>
              <w:rPr>
                <w:rFonts w:asciiTheme="minorHAnsi" w:hAnsiTheme="minorHAnsi" w:cstheme="minorHAnsi"/>
                <w:sz w:val="22"/>
                <w:szCs w:val="22"/>
              </w:rPr>
              <w:t>2</w:t>
            </w:r>
            <w:r w:rsidR="00714436">
              <w:rPr>
                <w:rFonts w:asciiTheme="minorHAnsi" w:hAnsiTheme="minorHAnsi" w:cstheme="minorHAnsi"/>
                <w:sz w:val="22"/>
                <w:szCs w:val="22"/>
              </w:rPr>
              <w:t>5</w:t>
            </w:r>
            <w:r w:rsidRPr="004933E6">
              <w:rPr>
                <w:rFonts w:asciiTheme="minorHAnsi" w:hAnsiTheme="minorHAnsi" w:cstheme="minorHAnsi"/>
                <w:sz w:val="22"/>
                <w:szCs w:val="22"/>
              </w:rPr>
              <w:t xml:space="preserve"> November 2025</w:t>
            </w:r>
          </w:p>
        </w:tc>
      </w:tr>
      <w:tr w:rsidR="004933E6" w:rsidRPr="004933E6" w14:paraId="4D63185C" w14:textId="77777777" w:rsidTr="004933E6">
        <w:trPr>
          <w:cantSplit/>
          <w:trHeight w:val="746"/>
        </w:trPr>
        <w:tc>
          <w:tcPr>
            <w:tcW w:w="1276" w:type="dxa"/>
          </w:tcPr>
          <w:p w14:paraId="6E0F3998" w14:textId="77777777" w:rsidR="004933E6" w:rsidRPr="004933E6" w:rsidRDefault="004933E6" w:rsidP="004933E6">
            <w:pPr>
              <w:pStyle w:val="Tabletext"/>
              <w:ind w:left="-114"/>
              <w:rPr>
                <w:rFonts w:asciiTheme="minorHAnsi" w:hAnsiTheme="minorHAnsi" w:cstheme="minorHAnsi"/>
                <w:bCs/>
                <w:sz w:val="22"/>
                <w:szCs w:val="22"/>
              </w:rPr>
            </w:pPr>
            <w:r w:rsidRPr="004933E6">
              <w:rPr>
                <w:rFonts w:asciiTheme="minorHAnsi" w:hAnsiTheme="minorHAnsi" w:cstheme="minorHAnsi"/>
                <w:b/>
                <w:sz w:val="22"/>
                <w:szCs w:val="22"/>
              </w:rPr>
              <w:t>Ref</w:t>
            </w:r>
            <w:r w:rsidRPr="004933E6">
              <w:rPr>
                <w:rFonts w:asciiTheme="minorHAnsi" w:hAnsiTheme="minorHAnsi" w:cstheme="minorHAnsi"/>
                <w:bCs/>
                <w:sz w:val="22"/>
                <w:szCs w:val="22"/>
              </w:rPr>
              <w:t>:</w:t>
            </w:r>
          </w:p>
        </w:tc>
        <w:tc>
          <w:tcPr>
            <w:tcW w:w="3402" w:type="dxa"/>
          </w:tcPr>
          <w:p w14:paraId="59216365" w14:textId="77777777" w:rsidR="004933E6" w:rsidRPr="004933E6" w:rsidRDefault="004933E6" w:rsidP="004933E6">
            <w:pPr>
              <w:pStyle w:val="Tabletext"/>
              <w:rPr>
                <w:rFonts w:asciiTheme="minorHAnsi" w:hAnsiTheme="minorHAnsi" w:cstheme="minorHAnsi"/>
                <w:b/>
                <w:bCs/>
                <w:sz w:val="22"/>
                <w:szCs w:val="22"/>
              </w:rPr>
            </w:pPr>
            <w:r w:rsidRPr="004933E6">
              <w:rPr>
                <w:rFonts w:asciiTheme="minorHAnsi" w:hAnsiTheme="minorHAnsi" w:cstheme="minorHAnsi"/>
                <w:b/>
                <w:bCs/>
                <w:sz w:val="22"/>
                <w:szCs w:val="22"/>
              </w:rPr>
              <w:t>TSB Circular 93</w:t>
            </w:r>
          </w:p>
          <w:p w14:paraId="70EEF82C" w14:textId="77777777" w:rsidR="004933E6" w:rsidRPr="004933E6" w:rsidRDefault="004933E6" w:rsidP="004933E6">
            <w:pPr>
              <w:pStyle w:val="Tabletext"/>
              <w:rPr>
                <w:rFonts w:asciiTheme="minorHAnsi" w:hAnsiTheme="minorHAnsi" w:cstheme="minorHAnsi"/>
                <w:sz w:val="22"/>
                <w:szCs w:val="22"/>
              </w:rPr>
            </w:pPr>
            <w:r w:rsidRPr="004933E6">
              <w:rPr>
                <w:rFonts w:asciiTheme="minorHAnsi" w:hAnsiTheme="minorHAnsi" w:cstheme="minorHAnsi"/>
                <w:sz w:val="22"/>
                <w:szCs w:val="22"/>
              </w:rPr>
              <w:t>SG15/HO</w:t>
            </w:r>
          </w:p>
        </w:tc>
        <w:tc>
          <w:tcPr>
            <w:tcW w:w="5103" w:type="dxa"/>
            <w:gridSpan w:val="2"/>
            <w:vMerge w:val="restart"/>
          </w:tcPr>
          <w:p w14:paraId="1AB3B210" w14:textId="77777777" w:rsidR="004933E6" w:rsidRPr="004933E6" w:rsidRDefault="004933E6" w:rsidP="004933E6">
            <w:pPr>
              <w:pStyle w:val="Tabletext"/>
              <w:spacing w:before="20" w:after="20"/>
              <w:rPr>
                <w:rFonts w:asciiTheme="minorHAnsi" w:hAnsiTheme="minorHAnsi" w:cstheme="minorHAnsi"/>
                <w:sz w:val="22"/>
                <w:szCs w:val="22"/>
              </w:rPr>
            </w:pPr>
            <w:r w:rsidRPr="004933E6">
              <w:rPr>
                <w:rFonts w:asciiTheme="minorHAnsi" w:hAnsiTheme="minorHAnsi" w:cstheme="minorHAnsi"/>
                <w:b/>
                <w:sz w:val="22"/>
                <w:szCs w:val="22"/>
              </w:rPr>
              <w:t>To:</w:t>
            </w:r>
          </w:p>
          <w:p w14:paraId="7AC2CFDF"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 xml:space="preserve">Administrations of Member States of the </w:t>
            </w:r>
            <w:proofErr w:type="gramStart"/>
            <w:r w:rsidRPr="004933E6">
              <w:rPr>
                <w:rFonts w:asciiTheme="minorHAnsi" w:hAnsiTheme="minorHAnsi" w:cstheme="minorHAnsi"/>
                <w:sz w:val="22"/>
                <w:szCs w:val="22"/>
              </w:rPr>
              <w:t>Union;</w:t>
            </w:r>
            <w:proofErr w:type="gramEnd"/>
          </w:p>
          <w:p w14:paraId="1EADA9D5"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The State of Palestine (Res. 99 (Rev. Dubai, 2018)</w:t>
            </w:r>
            <w:proofErr w:type="gramStart"/>
            <w:r w:rsidRPr="004933E6">
              <w:rPr>
                <w:rFonts w:asciiTheme="minorHAnsi" w:hAnsiTheme="minorHAnsi" w:cstheme="minorHAnsi"/>
                <w:sz w:val="22"/>
                <w:szCs w:val="22"/>
              </w:rPr>
              <w:t>);</w:t>
            </w:r>
            <w:proofErr w:type="gramEnd"/>
          </w:p>
          <w:p w14:paraId="075901C3" w14:textId="77777777" w:rsidR="004933E6" w:rsidRPr="004933E6" w:rsidRDefault="004933E6" w:rsidP="004933E6">
            <w:pPr>
              <w:pStyle w:val="Tabletext"/>
              <w:spacing w:before="20" w:after="20"/>
              <w:ind w:left="283" w:hanging="283"/>
              <w:rPr>
                <w:rFonts w:asciiTheme="minorHAnsi" w:hAnsiTheme="minorHAnsi" w:cstheme="minorHAnsi"/>
                <w:sz w:val="22"/>
                <w:szCs w:val="22"/>
                <w:lang w:val="fr-FR"/>
              </w:rPr>
            </w:pPr>
            <w:r w:rsidRPr="004933E6">
              <w:rPr>
                <w:rFonts w:asciiTheme="minorHAnsi" w:hAnsiTheme="minorHAnsi" w:cstheme="minorHAnsi"/>
                <w:sz w:val="22"/>
                <w:szCs w:val="22"/>
                <w:lang w:val="fr-FR"/>
              </w:rPr>
              <w:t>-</w:t>
            </w:r>
            <w:r w:rsidRPr="004933E6">
              <w:rPr>
                <w:rFonts w:asciiTheme="minorHAnsi" w:hAnsiTheme="minorHAnsi" w:cstheme="minorHAnsi"/>
                <w:sz w:val="22"/>
                <w:szCs w:val="22"/>
                <w:lang w:val="fr-FR"/>
              </w:rPr>
              <w:tab/>
              <w:t xml:space="preserve">ITU-T </w:t>
            </w:r>
            <w:proofErr w:type="spellStart"/>
            <w:r w:rsidRPr="004933E6">
              <w:rPr>
                <w:rFonts w:asciiTheme="minorHAnsi" w:hAnsiTheme="minorHAnsi" w:cstheme="minorHAnsi"/>
                <w:sz w:val="22"/>
                <w:szCs w:val="22"/>
                <w:lang w:val="fr-FR"/>
              </w:rPr>
              <w:t>Sector</w:t>
            </w:r>
            <w:proofErr w:type="spellEnd"/>
            <w:r w:rsidRPr="004933E6">
              <w:rPr>
                <w:rFonts w:asciiTheme="minorHAnsi" w:hAnsiTheme="minorHAnsi" w:cstheme="minorHAnsi"/>
                <w:sz w:val="22"/>
                <w:szCs w:val="22"/>
                <w:lang w:val="fr-FR"/>
              </w:rPr>
              <w:t xml:space="preserve"> </w:t>
            </w:r>
            <w:proofErr w:type="gramStart"/>
            <w:r w:rsidRPr="004933E6">
              <w:rPr>
                <w:rFonts w:asciiTheme="minorHAnsi" w:hAnsiTheme="minorHAnsi" w:cstheme="minorHAnsi"/>
                <w:sz w:val="22"/>
                <w:szCs w:val="22"/>
                <w:lang w:val="fr-FR"/>
              </w:rPr>
              <w:t>Members</w:t>
            </w:r>
            <w:r>
              <w:rPr>
                <w:rFonts w:asciiTheme="minorHAnsi" w:hAnsiTheme="minorHAnsi" w:cstheme="minorHAnsi"/>
                <w:sz w:val="22"/>
                <w:szCs w:val="22"/>
                <w:lang w:val="fr-FR"/>
              </w:rPr>
              <w:t>;</w:t>
            </w:r>
            <w:proofErr w:type="gramEnd"/>
          </w:p>
          <w:p w14:paraId="7CA53DD9" w14:textId="77777777" w:rsidR="004933E6" w:rsidRPr="004933E6" w:rsidRDefault="004933E6" w:rsidP="004933E6">
            <w:pPr>
              <w:pStyle w:val="Tabletext"/>
              <w:spacing w:before="20" w:after="20"/>
              <w:ind w:left="283" w:hanging="283"/>
              <w:rPr>
                <w:rFonts w:asciiTheme="minorHAnsi" w:hAnsiTheme="minorHAnsi" w:cstheme="minorHAnsi"/>
                <w:sz w:val="22"/>
                <w:szCs w:val="22"/>
                <w:lang w:val="fr-FR"/>
              </w:rPr>
            </w:pPr>
            <w:r w:rsidRPr="004933E6">
              <w:rPr>
                <w:rFonts w:asciiTheme="minorHAnsi" w:hAnsiTheme="minorHAnsi" w:cstheme="minorHAnsi"/>
                <w:sz w:val="22"/>
                <w:szCs w:val="22"/>
                <w:lang w:val="fr-FR"/>
              </w:rPr>
              <w:t>-</w:t>
            </w:r>
            <w:r w:rsidRPr="004933E6">
              <w:rPr>
                <w:rFonts w:asciiTheme="minorHAnsi" w:hAnsiTheme="minorHAnsi" w:cstheme="minorHAnsi"/>
                <w:sz w:val="22"/>
                <w:szCs w:val="22"/>
                <w:lang w:val="fr-FR"/>
              </w:rPr>
              <w:tab/>
              <w:t xml:space="preserve">ITU-T </w:t>
            </w:r>
            <w:proofErr w:type="gramStart"/>
            <w:r w:rsidRPr="004933E6">
              <w:rPr>
                <w:rFonts w:asciiTheme="minorHAnsi" w:hAnsiTheme="minorHAnsi" w:cstheme="minorHAnsi"/>
                <w:sz w:val="22"/>
                <w:szCs w:val="22"/>
                <w:lang w:val="fr-FR"/>
              </w:rPr>
              <w:t>Associates;</w:t>
            </w:r>
            <w:proofErr w:type="gramEnd"/>
          </w:p>
          <w:p w14:paraId="6A42ADE2"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ITU Academia from the Africa Region</w:t>
            </w:r>
          </w:p>
          <w:p w14:paraId="1B15A147" w14:textId="77777777" w:rsidR="004933E6" w:rsidRPr="004933E6" w:rsidRDefault="004933E6" w:rsidP="004933E6">
            <w:pPr>
              <w:pStyle w:val="Tabletext"/>
              <w:spacing w:before="20" w:after="20"/>
              <w:rPr>
                <w:rFonts w:asciiTheme="minorHAnsi" w:hAnsiTheme="minorHAnsi" w:cstheme="minorHAnsi"/>
                <w:sz w:val="22"/>
                <w:szCs w:val="22"/>
              </w:rPr>
            </w:pPr>
            <w:r w:rsidRPr="004933E6">
              <w:rPr>
                <w:rFonts w:asciiTheme="minorHAnsi" w:hAnsiTheme="minorHAnsi" w:cstheme="minorHAnsi"/>
                <w:b/>
                <w:sz w:val="22"/>
                <w:szCs w:val="22"/>
              </w:rPr>
              <w:t>Copy to:</w:t>
            </w:r>
          </w:p>
          <w:p w14:paraId="27D8E308"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African Telecommunication Union (ATU</w:t>
            </w:r>
            <w:proofErr w:type="gramStart"/>
            <w:r w:rsidRPr="004933E6">
              <w:rPr>
                <w:rFonts w:asciiTheme="minorHAnsi" w:hAnsiTheme="minorHAnsi" w:cstheme="minorHAnsi"/>
                <w:sz w:val="22"/>
                <w:szCs w:val="22"/>
              </w:rPr>
              <w:t>);</w:t>
            </w:r>
            <w:proofErr w:type="gramEnd"/>
          </w:p>
          <w:p w14:paraId="468A7343"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African ICT Consumers Network (AICN</w:t>
            </w:r>
            <w:proofErr w:type="gramStart"/>
            <w:r w:rsidRPr="004933E6">
              <w:rPr>
                <w:rFonts w:asciiTheme="minorHAnsi" w:hAnsiTheme="minorHAnsi" w:cstheme="minorHAnsi"/>
                <w:sz w:val="22"/>
                <w:szCs w:val="22"/>
              </w:rPr>
              <w:t>);</w:t>
            </w:r>
            <w:proofErr w:type="gramEnd"/>
            <w:r w:rsidRPr="004933E6">
              <w:rPr>
                <w:rFonts w:asciiTheme="minorHAnsi" w:hAnsiTheme="minorHAnsi" w:cstheme="minorHAnsi"/>
                <w:sz w:val="22"/>
                <w:szCs w:val="22"/>
              </w:rPr>
              <w:t xml:space="preserve"> </w:t>
            </w:r>
          </w:p>
          <w:p w14:paraId="4874A483"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Economic Community of West African States (ECOWAS</w:t>
            </w:r>
            <w:proofErr w:type="gramStart"/>
            <w:r w:rsidRPr="004933E6">
              <w:rPr>
                <w:rFonts w:asciiTheme="minorHAnsi" w:hAnsiTheme="minorHAnsi" w:cstheme="minorHAnsi"/>
                <w:sz w:val="22"/>
                <w:szCs w:val="22"/>
              </w:rPr>
              <w:t>);</w:t>
            </w:r>
            <w:proofErr w:type="gramEnd"/>
          </w:p>
          <w:p w14:paraId="3DD800E5"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East African Communication Organisation (EACO</w:t>
            </w:r>
            <w:proofErr w:type="gramStart"/>
            <w:r w:rsidRPr="004933E6">
              <w:rPr>
                <w:rFonts w:asciiTheme="minorHAnsi" w:hAnsiTheme="minorHAnsi" w:cstheme="minorHAnsi"/>
                <w:sz w:val="22"/>
                <w:szCs w:val="22"/>
              </w:rPr>
              <w:t>);</w:t>
            </w:r>
            <w:proofErr w:type="gramEnd"/>
          </w:p>
          <w:p w14:paraId="22A719B9"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 xml:space="preserve">The League of Arab </w:t>
            </w:r>
            <w:proofErr w:type="gramStart"/>
            <w:r w:rsidRPr="004933E6">
              <w:rPr>
                <w:rFonts w:asciiTheme="minorHAnsi" w:hAnsiTheme="minorHAnsi" w:cstheme="minorHAnsi"/>
                <w:sz w:val="22"/>
                <w:szCs w:val="22"/>
              </w:rPr>
              <w:t>States;</w:t>
            </w:r>
            <w:proofErr w:type="gramEnd"/>
          </w:p>
          <w:p w14:paraId="7F92A173"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African Organization for Standardization (ARSO</w:t>
            </w:r>
            <w:proofErr w:type="gramStart"/>
            <w:r w:rsidRPr="004933E6">
              <w:rPr>
                <w:rFonts w:asciiTheme="minorHAnsi" w:hAnsiTheme="minorHAnsi" w:cstheme="minorHAnsi"/>
                <w:sz w:val="22"/>
                <w:szCs w:val="22"/>
              </w:rPr>
              <w:t>);</w:t>
            </w:r>
            <w:proofErr w:type="gramEnd"/>
          </w:p>
          <w:p w14:paraId="3748B16A" w14:textId="77777777" w:rsidR="004933E6" w:rsidRPr="00F3699A" w:rsidRDefault="004933E6" w:rsidP="004933E6">
            <w:pPr>
              <w:pStyle w:val="Tabletext"/>
              <w:spacing w:before="20" w:after="20"/>
              <w:ind w:left="283" w:hanging="283"/>
              <w:rPr>
                <w:rFonts w:asciiTheme="minorHAnsi" w:hAnsiTheme="minorHAnsi" w:cstheme="minorHAnsi"/>
                <w:sz w:val="22"/>
                <w:szCs w:val="22"/>
                <w:lang w:val="it-IT"/>
              </w:rPr>
            </w:pPr>
            <w:r w:rsidRPr="00F3699A">
              <w:rPr>
                <w:rFonts w:asciiTheme="minorHAnsi" w:hAnsiTheme="minorHAnsi" w:cstheme="minorHAnsi"/>
                <w:sz w:val="22"/>
                <w:szCs w:val="22"/>
                <w:lang w:val="it-IT"/>
              </w:rPr>
              <w:t>-</w:t>
            </w:r>
            <w:r w:rsidRPr="00F3699A">
              <w:rPr>
                <w:rFonts w:asciiTheme="minorHAnsi" w:hAnsiTheme="minorHAnsi" w:cstheme="minorHAnsi"/>
                <w:sz w:val="22"/>
                <w:szCs w:val="22"/>
                <w:lang w:val="it-IT"/>
              </w:rPr>
              <w:tab/>
              <w:t>IEC Africa Regional Centre (IEC-AFRC);</w:t>
            </w:r>
          </w:p>
          <w:p w14:paraId="7ACAF410"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 xml:space="preserve">IEEE Africa </w:t>
            </w:r>
            <w:proofErr w:type="gramStart"/>
            <w:r w:rsidRPr="004933E6">
              <w:rPr>
                <w:rFonts w:asciiTheme="minorHAnsi" w:hAnsiTheme="minorHAnsi" w:cstheme="minorHAnsi"/>
                <w:sz w:val="22"/>
                <w:szCs w:val="22"/>
              </w:rPr>
              <w:t>Council;</w:t>
            </w:r>
            <w:proofErr w:type="gramEnd"/>
          </w:p>
          <w:p w14:paraId="570211BB"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 xml:space="preserve">The ITU Regional Office for Africa </w:t>
            </w:r>
            <w:proofErr w:type="gramStart"/>
            <w:r w:rsidRPr="004933E6">
              <w:rPr>
                <w:rFonts w:asciiTheme="minorHAnsi" w:hAnsiTheme="minorHAnsi" w:cstheme="minorHAnsi"/>
                <w:sz w:val="22"/>
                <w:szCs w:val="22"/>
              </w:rPr>
              <w:t>Region;</w:t>
            </w:r>
            <w:proofErr w:type="gramEnd"/>
          </w:p>
          <w:p w14:paraId="056F1FF5"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 xml:space="preserve">The ITU Area offices for </w:t>
            </w:r>
            <w:proofErr w:type="gramStart"/>
            <w:r w:rsidRPr="004933E6">
              <w:rPr>
                <w:rFonts w:asciiTheme="minorHAnsi" w:hAnsiTheme="minorHAnsi" w:cstheme="minorHAnsi"/>
                <w:sz w:val="22"/>
                <w:szCs w:val="22"/>
              </w:rPr>
              <w:t>Africa;</w:t>
            </w:r>
            <w:proofErr w:type="gramEnd"/>
          </w:p>
          <w:p w14:paraId="1329B87F"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 xml:space="preserve">The Chair and Vice-Chairs of ITU-T Study Group </w:t>
            </w:r>
            <w:proofErr w:type="gramStart"/>
            <w:r w:rsidRPr="004933E6">
              <w:rPr>
                <w:rFonts w:asciiTheme="minorHAnsi" w:hAnsiTheme="minorHAnsi" w:cstheme="minorHAnsi"/>
                <w:sz w:val="22"/>
                <w:szCs w:val="22"/>
              </w:rPr>
              <w:t>15;</w:t>
            </w:r>
            <w:proofErr w:type="gramEnd"/>
          </w:p>
          <w:p w14:paraId="4297A658"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 xml:space="preserve">The Chair of Study Group 15 Regional Group for </w:t>
            </w:r>
            <w:proofErr w:type="gramStart"/>
            <w:r w:rsidRPr="004933E6">
              <w:rPr>
                <w:rFonts w:asciiTheme="minorHAnsi" w:hAnsiTheme="minorHAnsi" w:cstheme="minorHAnsi"/>
                <w:sz w:val="22"/>
                <w:szCs w:val="22"/>
              </w:rPr>
              <w:t>Africa;</w:t>
            </w:r>
            <w:proofErr w:type="gramEnd"/>
          </w:p>
          <w:p w14:paraId="4ED55F60"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 xml:space="preserve">The Director of the Telecommunication Development </w:t>
            </w:r>
            <w:proofErr w:type="gramStart"/>
            <w:r w:rsidRPr="004933E6">
              <w:rPr>
                <w:rFonts w:asciiTheme="minorHAnsi" w:hAnsiTheme="minorHAnsi" w:cstheme="minorHAnsi"/>
                <w:sz w:val="22"/>
                <w:szCs w:val="22"/>
              </w:rPr>
              <w:t>Bureau;</w:t>
            </w:r>
            <w:proofErr w:type="gramEnd"/>
          </w:p>
          <w:p w14:paraId="6AB8C4CF" w14:textId="77777777" w:rsidR="004933E6" w:rsidRPr="004933E6" w:rsidRDefault="004933E6" w:rsidP="004933E6">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The Director of the Radiocommunication Bureau</w:t>
            </w:r>
          </w:p>
        </w:tc>
      </w:tr>
      <w:tr w:rsidR="004933E6" w:rsidRPr="004933E6" w14:paraId="57BB9B0F" w14:textId="77777777" w:rsidTr="004933E6">
        <w:trPr>
          <w:cantSplit/>
          <w:trHeight w:val="221"/>
        </w:trPr>
        <w:tc>
          <w:tcPr>
            <w:tcW w:w="1276" w:type="dxa"/>
          </w:tcPr>
          <w:p w14:paraId="6DAA4F1F" w14:textId="77777777" w:rsidR="004933E6" w:rsidRPr="004933E6" w:rsidRDefault="004933E6" w:rsidP="004933E6">
            <w:pPr>
              <w:pStyle w:val="Tabletext"/>
              <w:ind w:left="-114"/>
              <w:rPr>
                <w:rFonts w:asciiTheme="minorHAnsi" w:hAnsiTheme="minorHAnsi" w:cstheme="minorHAnsi"/>
                <w:bCs/>
                <w:sz w:val="22"/>
                <w:szCs w:val="22"/>
              </w:rPr>
            </w:pPr>
            <w:r w:rsidRPr="004933E6">
              <w:rPr>
                <w:rFonts w:asciiTheme="minorHAnsi" w:hAnsiTheme="minorHAnsi" w:cstheme="minorHAnsi"/>
                <w:bCs/>
                <w:sz w:val="22"/>
                <w:szCs w:val="22"/>
              </w:rPr>
              <w:t>Contact:</w:t>
            </w:r>
          </w:p>
        </w:tc>
        <w:tc>
          <w:tcPr>
            <w:tcW w:w="3402" w:type="dxa"/>
          </w:tcPr>
          <w:p w14:paraId="39AA3FF7" w14:textId="77777777" w:rsidR="004933E6" w:rsidRPr="004933E6" w:rsidRDefault="004933E6" w:rsidP="004933E6">
            <w:pPr>
              <w:pStyle w:val="Tabletext"/>
              <w:rPr>
                <w:rFonts w:asciiTheme="minorHAnsi" w:hAnsiTheme="minorHAnsi" w:cstheme="minorHAnsi"/>
                <w:b/>
                <w:sz w:val="22"/>
                <w:szCs w:val="22"/>
              </w:rPr>
            </w:pPr>
            <w:r w:rsidRPr="004933E6">
              <w:rPr>
                <w:rFonts w:asciiTheme="minorHAnsi" w:hAnsiTheme="minorHAnsi" w:cstheme="minorHAnsi"/>
                <w:b/>
                <w:iCs/>
                <w:sz w:val="22"/>
                <w:szCs w:val="22"/>
              </w:rPr>
              <w:t>Hiroshi Ota</w:t>
            </w:r>
          </w:p>
        </w:tc>
        <w:tc>
          <w:tcPr>
            <w:tcW w:w="5103" w:type="dxa"/>
            <w:gridSpan w:val="2"/>
            <w:vMerge/>
          </w:tcPr>
          <w:p w14:paraId="5364A931" w14:textId="77777777" w:rsidR="004933E6" w:rsidRPr="004933E6" w:rsidRDefault="004933E6" w:rsidP="004933E6">
            <w:pPr>
              <w:pStyle w:val="Tabletext"/>
              <w:ind w:left="142" w:hanging="142"/>
              <w:rPr>
                <w:rFonts w:asciiTheme="minorHAnsi" w:hAnsiTheme="minorHAnsi" w:cstheme="minorHAnsi"/>
                <w:sz w:val="22"/>
                <w:szCs w:val="22"/>
              </w:rPr>
            </w:pPr>
          </w:p>
        </w:tc>
      </w:tr>
      <w:tr w:rsidR="004933E6" w:rsidRPr="004933E6" w14:paraId="47A7E95C" w14:textId="77777777" w:rsidTr="004933E6">
        <w:trPr>
          <w:cantSplit/>
          <w:trHeight w:val="252"/>
        </w:trPr>
        <w:tc>
          <w:tcPr>
            <w:tcW w:w="1276" w:type="dxa"/>
          </w:tcPr>
          <w:p w14:paraId="53387B9E" w14:textId="77777777" w:rsidR="004933E6" w:rsidRPr="004933E6" w:rsidRDefault="004933E6" w:rsidP="004933E6">
            <w:pPr>
              <w:pStyle w:val="Tabletext"/>
              <w:ind w:left="-114"/>
              <w:rPr>
                <w:rFonts w:asciiTheme="minorHAnsi" w:hAnsiTheme="minorHAnsi" w:cstheme="minorHAnsi"/>
                <w:bCs/>
                <w:sz w:val="22"/>
                <w:szCs w:val="22"/>
              </w:rPr>
            </w:pPr>
            <w:r w:rsidRPr="004933E6">
              <w:rPr>
                <w:rFonts w:asciiTheme="minorHAnsi" w:hAnsiTheme="minorHAnsi" w:cstheme="minorHAnsi"/>
                <w:bCs/>
                <w:sz w:val="22"/>
                <w:szCs w:val="22"/>
              </w:rPr>
              <w:t>Tel:</w:t>
            </w:r>
          </w:p>
        </w:tc>
        <w:tc>
          <w:tcPr>
            <w:tcW w:w="3402" w:type="dxa"/>
          </w:tcPr>
          <w:p w14:paraId="38EB4F30" w14:textId="77777777" w:rsidR="004933E6" w:rsidRPr="004933E6" w:rsidRDefault="004933E6" w:rsidP="004933E6">
            <w:pPr>
              <w:pStyle w:val="Tabletext"/>
              <w:rPr>
                <w:rFonts w:asciiTheme="minorHAnsi" w:hAnsiTheme="minorHAnsi" w:cstheme="minorHAnsi"/>
                <w:b/>
                <w:sz w:val="22"/>
                <w:szCs w:val="22"/>
              </w:rPr>
            </w:pPr>
            <w:r w:rsidRPr="004933E6">
              <w:rPr>
                <w:rFonts w:asciiTheme="minorHAnsi" w:hAnsiTheme="minorHAnsi" w:cstheme="minorHAnsi"/>
                <w:sz w:val="22"/>
                <w:szCs w:val="22"/>
              </w:rPr>
              <w:t>+41 22 730 6356</w:t>
            </w:r>
          </w:p>
        </w:tc>
        <w:tc>
          <w:tcPr>
            <w:tcW w:w="5103" w:type="dxa"/>
            <w:gridSpan w:val="2"/>
            <w:vMerge/>
          </w:tcPr>
          <w:p w14:paraId="3649C8C4" w14:textId="77777777" w:rsidR="004933E6" w:rsidRPr="004933E6" w:rsidRDefault="004933E6" w:rsidP="004933E6">
            <w:pPr>
              <w:pStyle w:val="Tabletext"/>
              <w:ind w:left="142" w:hanging="142"/>
              <w:rPr>
                <w:rFonts w:asciiTheme="minorHAnsi" w:hAnsiTheme="minorHAnsi" w:cstheme="minorHAnsi"/>
                <w:sz w:val="22"/>
                <w:szCs w:val="22"/>
              </w:rPr>
            </w:pPr>
          </w:p>
        </w:tc>
      </w:tr>
      <w:tr w:rsidR="004933E6" w:rsidRPr="004933E6" w14:paraId="3A8BD7B6" w14:textId="77777777" w:rsidTr="004933E6">
        <w:trPr>
          <w:cantSplit/>
          <w:trHeight w:val="399"/>
        </w:trPr>
        <w:tc>
          <w:tcPr>
            <w:tcW w:w="1276" w:type="dxa"/>
          </w:tcPr>
          <w:p w14:paraId="0FB04651" w14:textId="77777777" w:rsidR="004933E6" w:rsidRPr="004933E6" w:rsidRDefault="004933E6" w:rsidP="004933E6">
            <w:pPr>
              <w:pStyle w:val="Tabletext"/>
              <w:ind w:left="-114"/>
              <w:rPr>
                <w:rFonts w:asciiTheme="minorHAnsi" w:hAnsiTheme="minorHAnsi" w:cstheme="minorHAnsi"/>
                <w:bCs/>
                <w:sz w:val="22"/>
                <w:szCs w:val="22"/>
              </w:rPr>
            </w:pPr>
            <w:r w:rsidRPr="004933E6">
              <w:rPr>
                <w:rFonts w:asciiTheme="minorHAnsi" w:hAnsiTheme="minorHAnsi" w:cstheme="minorHAnsi"/>
                <w:bCs/>
                <w:sz w:val="22"/>
                <w:szCs w:val="22"/>
              </w:rPr>
              <w:t>Fax:</w:t>
            </w:r>
          </w:p>
        </w:tc>
        <w:tc>
          <w:tcPr>
            <w:tcW w:w="3402" w:type="dxa"/>
          </w:tcPr>
          <w:p w14:paraId="7886475F" w14:textId="77777777" w:rsidR="004933E6" w:rsidRPr="004933E6" w:rsidRDefault="004933E6" w:rsidP="004933E6">
            <w:pPr>
              <w:pStyle w:val="Tabletext"/>
              <w:rPr>
                <w:rFonts w:asciiTheme="minorHAnsi" w:hAnsiTheme="minorHAnsi" w:cstheme="minorHAnsi"/>
                <w:sz w:val="22"/>
                <w:szCs w:val="22"/>
              </w:rPr>
            </w:pPr>
            <w:r w:rsidRPr="004933E6">
              <w:rPr>
                <w:rFonts w:asciiTheme="minorHAnsi" w:hAnsiTheme="minorHAnsi" w:cstheme="minorHAnsi"/>
                <w:sz w:val="22"/>
                <w:szCs w:val="22"/>
              </w:rPr>
              <w:t>+41 22 730 5853</w:t>
            </w:r>
          </w:p>
        </w:tc>
        <w:tc>
          <w:tcPr>
            <w:tcW w:w="5103" w:type="dxa"/>
            <w:gridSpan w:val="2"/>
            <w:vMerge/>
          </w:tcPr>
          <w:p w14:paraId="526CFF52" w14:textId="77777777" w:rsidR="004933E6" w:rsidRPr="004933E6" w:rsidRDefault="004933E6" w:rsidP="004933E6">
            <w:pPr>
              <w:pStyle w:val="Tabletext"/>
              <w:ind w:left="142" w:hanging="142"/>
              <w:rPr>
                <w:rFonts w:asciiTheme="minorHAnsi" w:hAnsiTheme="minorHAnsi" w:cstheme="minorHAnsi"/>
                <w:sz w:val="22"/>
                <w:szCs w:val="22"/>
              </w:rPr>
            </w:pPr>
          </w:p>
        </w:tc>
      </w:tr>
      <w:tr w:rsidR="004933E6" w:rsidRPr="004933E6" w14:paraId="4D3C0F45" w14:textId="77777777" w:rsidTr="004933E6">
        <w:trPr>
          <w:cantSplit/>
          <w:trHeight w:val="5094"/>
        </w:trPr>
        <w:tc>
          <w:tcPr>
            <w:tcW w:w="1276" w:type="dxa"/>
          </w:tcPr>
          <w:p w14:paraId="21DF42AD" w14:textId="77777777" w:rsidR="004933E6" w:rsidRPr="004933E6" w:rsidRDefault="004933E6" w:rsidP="004933E6">
            <w:pPr>
              <w:pStyle w:val="Tabletext"/>
              <w:ind w:left="-114"/>
              <w:rPr>
                <w:rFonts w:asciiTheme="minorHAnsi" w:hAnsiTheme="minorHAnsi" w:cstheme="minorHAnsi"/>
                <w:bCs/>
                <w:sz w:val="22"/>
                <w:szCs w:val="22"/>
              </w:rPr>
            </w:pPr>
            <w:r w:rsidRPr="004933E6">
              <w:rPr>
                <w:rFonts w:asciiTheme="minorHAnsi" w:hAnsiTheme="minorHAnsi" w:cstheme="minorHAnsi"/>
                <w:bCs/>
                <w:sz w:val="22"/>
                <w:szCs w:val="22"/>
              </w:rPr>
              <w:t>E-mail:</w:t>
            </w:r>
          </w:p>
        </w:tc>
        <w:tc>
          <w:tcPr>
            <w:tcW w:w="3402" w:type="dxa"/>
          </w:tcPr>
          <w:p w14:paraId="0D0DAD5C" w14:textId="77777777" w:rsidR="004933E6" w:rsidRPr="004933E6" w:rsidRDefault="004933E6" w:rsidP="004933E6">
            <w:pPr>
              <w:pStyle w:val="Tabletext"/>
              <w:rPr>
                <w:rFonts w:asciiTheme="minorHAnsi" w:hAnsiTheme="minorHAnsi" w:cstheme="minorHAnsi"/>
                <w:sz w:val="22"/>
                <w:szCs w:val="22"/>
              </w:rPr>
            </w:pPr>
            <w:hyperlink r:id="rId10" w:history="1">
              <w:r w:rsidRPr="004933E6">
                <w:rPr>
                  <w:rStyle w:val="Hyperlink"/>
                  <w:rFonts w:asciiTheme="minorHAnsi" w:hAnsiTheme="minorHAnsi" w:cstheme="minorHAnsi"/>
                  <w:sz w:val="22"/>
                  <w:szCs w:val="22"/>
                </w:rPr>
                <w:t>tsbsg15@itu.int</w:t>
              </w:r>
            </w:hyperlink>
          </w:p>
        </w:tc>
        <w:tc>
          <w:tcPr>
            <w:tcW w:w="5103" w:type="dxa"/>
            <w:gridSpan w:val="2"/>
            <w:vMerge/>
          </w:tcPr>
          <w:p w14:paraId="60C052F9" w14:textId="77777777" w:rsidR="004933E6" w:rsidRPr="004933E6" w:rsidRDefault="004933E6" w:rsidP="004933E6">
            <w:pPr>
              <w:pStyle w:val="Tabletext"/>
              <w:ind w:left="142" w:hanging="142"/>
              <w:rPr>
                <w:rFonts w:asciiTheme="minorHAnsi" w:hAnsiTheme="minorHAnsi" w:cstheme="minorHAnsi"/>
                <w:sz w:val="22"/>
                <w:szCs w:val="22"/>
              </w:rPr>
            </w:pPr>
          </w:p>
        </w:tc>
      </w:tr>
      <w:tr w:rsidR="004933E6" w:rsidRPr="004933E6" w14:paraId="3D292A15" w14:textId="77777777" w:rsidTr="004933E6">
        <w:trPr>
          <w:cantSplit/>
          <w:trHeight w:val="450"/>
        </w:trPr>
        <w:tc>
          <w:tcPr>
            <w:tcW w:w="1276" w:type="dxa"/>
          </w:tcPr>
          <w:p w14:paraId="1422AABA" w14:textId="77777777" w:rsidR="004933E6" w:rsidRPr="004933E6" w:rsidRDefault="004933E6" w:rsidP="004933E6">
            <w:pPr>
              <w:pStyle w:val="Tabletext"/>
              <w:ind w:left="-110"/>
              <w:rPr>
                <w:rFonts w:asciiTheme="minorHAnsi" w:hAnsiTheme="minorHAnsi" w:cstheme="minorHAnsi"/>
                <w:sz w:val="22"/>
                <w:szCs w:val="22"/>
              </w:rPr>
            </w:pPr>
            <w:r w:rsidRPr="004933E6">
              <w:rPr>
                <w:rFonts w:asciiTheme="minorHAnsi" w:hAnsiTheme="minorHAnsi" w:cstheme="minorHAnsi"/>
                <w:b/>
                <w:sz w:val="22"/>
                <w:szCs w:val="22"/>
              </w:rPr>
              <w:t>Subject:</w:t>
            </w:r>
          </w:p>
        </w:tc>
        <w:tc>
          <w:tcPr>
            <w:tcW w:w="8505" w:type="dxa"/>
            <w:gridSpan w:val="3"/>
          </w:tcPr>
          <w:p w14:paraId="10FC6130" w14:textId="77777777" w:rsidR="004933E6" w:rsidRPr="004933E6" w:rsidRDefault="004933E6" w:rsidP="004933E6">
            <w:pPr>
              <w:pStyle w:val="Tabletext"/>
              <w:rPr>
                <w:rFonts w:asciiTheme="minorHAnsi" w:hAnsiTheme="minorHAnsi" w:cstheme="minorHAnsi"/>
                <w:b/>
                <w:sz w:val="22"/>
                <w:szCs w:val="22"/>
              </w:rPr>
            </w:pPr>
            <w:bookmarkStart w:id="0" w:name="_Hlk214958010"/>
            <w:r w:rsidRPr="004933E6">
              <w:rPr>
                <w:rFonts w:asciiTheme="minorHAnsi" w:hAnsiTheme="minorHAnsi" w:cstheme="minorHAnsi"/>
                <w:b/>
                <w:bCs/>
                <w:sz w:val="22"/>
                <w:szCs w:val="22"/>
              </w:rPr>
              <w:t>Creation of ITU-T Study Group 15 Regional Group for Africa (SG15RG-AFR)</w:t>
            </w:r>
            <w:bookmarkEnd w:id="0"/>
          </w:p>
        </w:tc>
      </w:tr>
    </w:tbl>
    <w:p w14:paraId="7C4DCE4B" w14:textId="09D5C0D1" w:rsidR="006D775C" w:rsidRPr="004933E6" w:rsidRDefault="00D40F22" w:rsidP="004933E6">
      <w:pPr>
        <w:spacing w:before="0" w:after="120"/>
        <w:rPr>
          <w:rFonts w:asciiTheme="minorHAnsi" w:hAnsiTheme="minorHAnsi" w:cstheme="minorHAnsi"/>
          <w:sz w:val="22"/>
          <w:szCs w:val="22"/>
        </w:rPr>
      </w:pPr>
      <w:r w:rsidRPr="004933E6">
        <w:rPr>
          <w:rFonts w:asciiTheme="minorHAnsi" w:hAnsiTheme="minorHAnsi" w:cstheme="minorHAnsi"/>
          <w:sz w:val="22"/>
          <w:szCs w:val="22"/>
        </w:rPr>
        <w:t>Dear Sir/Madam,</w:t>
      </w:r>
    </w:p>
    <w:p w14:paraId="6263F22F" w14:textId="6F29CEBF" w:rsidR="00E21F01" w:rsidRPr="004933E6" w:rsidRDefault="00B05A2C" w:rsidP="004933E6">
      <w:pPr>
        <w:spacing w:before="0" w:after="120"/>
        <w:rPr>
          <w:rFonts w:asciiTheme="minorHAnsi" w:hAnsiTheme="minorHAnsi" w:cstheme="minorHAnsi"/>
          <w:sz w:val="22"/>
          <w:szCs w:val="22"/>
        </w:rPr>
      </w:pPr>
      <w:r w:rsidRPr="004933E6">
        <w:rPr>
          <w:rFonts w:asciiTheme="minorHAnsi" w:hAnsiTheme="minorHAnsi" w:cstheme="minorHAnsi"/>
          <w:bCs/>
          <w:sz w:val="22"/>
          <w:szCs w:val="22"/>
        </w:rPr>
        <w:t>1</w:t>
      </w:r>
      <w:r w:rsidRPr="004933E6">
        <w:rPr>
          <w:rFonts w:asciiTheme="minorHAnsi" w:hAnsiTheme="minorHAnsi" w:cstheme="minorHAnsi"/>
          <w:sz w:val="22"/>
          <w:szCs w:val="22"/>
        </w:rPr>
        <w:tab/>
      </w:r>
      <w:r w:rsidR="00E21F01" w:rsidRPr="004933E6">
        <w:rPr>
          <w:rFonts w:asciiTheme="minorHAnsi" w:hAnsiTheme="minorHAnsi" w:cstheme="minorHAnsi"/>
          <w:sz w:val="22"/>
          <w:szCs w:val="22"/>
        </w:rPr>
        <w:t xml:space="preserve">It is my pleasure to inform you that ITU-T Study Group </w:t>
      </w:r>
      <w:r w:rsidR="004B1A0E" w:rsidRPr="004933E6">
        <w:rPr>
          <w:rFonts w:asciiTheme="minorHAnsi" w:hAnsiTheme="minorHAnsi" w:cstheme="minorHAnsi"/>
          <w:sz w:val="22"/>
          <w:szCs w:val="22"/>
        </w:rPr>
        <w:t>15</w:t>
      </w:r>
      <w:r w:rsidR="00E21F01" w:rsidRPr="004933E6">
        <w:rPr>
          <w:rFonts w:asciiTheme="minorHAnsi" w:hAnsiTheme="minorHAnsi" w:cstheme="minorHAnsi"/>
          <w:sz w:val="22"/>
          <w:szCs w:val="22"/>
        </w:rPr>
        <w:t xml:space="preserve">, </w:t>
      </w:r>
      <w:r w:rsidR="004B1A0E" w:rsidRPr="004933E6">
        <w:rPr>
          <w:rFonts w:asciiTheme="minorHAnsi" w:hAnsiTheme="minorHAnsi" w:cstheme="minorHAnsi"/>
          <w:i/>
          <w:iCs/>
          <w:sz w:val="22"/>
          <w:szCs w:val="22"/>
        </w:rPr>
        <w:t>Networks, technologies and infrastructures for transport, access and home</w:t>
      </w:r>
      <w:r w:rsidR="00E21F01" w:rsidRPr="004933E6">
        <w:rPr>
          <w:rFonts w:asciiTheme="minorHAnsi" w:hAnsiTheme="minorHAnsi" w:cstheme="minorHAnsi"/>
          <w:sz w:val="22"/>
          <w:szCs w:val="22"/>
        </w:rPr>
        <w:t xml:space="preserve">, at its closing plenary </w:t>
      </w:r>
      <w:r w:rsidR="008052FC" w:rsidRPr="004933E6">
        <w:rPr>
          <w:rFonts w:asciiTheme="minorHAnsi" w:hAnsiTheme="minorHAnsi" w:cstheme="minorHAnsi"/>
          <w:sz w:val="22"/>
          <w:szCs w:val="22"/>
        </w:rPr>
        <w:t>session (Geneva, 24 October 2025)</w:t>
      </w:r>
      <w:r w:rsidR="00E21F01" w:rsidRPr="004933E6">
        <w:rPr>
          <w:rFonts w:asciiTheme="minorHAnsi" w:hAnsiTheme="minorHAnsi" w:cstheme="minorHAnsi"/>
          <w:sz w:val="22"/>
          <w:szCs w:val="22"/>
        </w:rPr>
        <w:t xml:space="preserve"> decided to create ITU-T Study Group </w:t>
      </w:r>
      <w:r w:rsidR="0065629B" w:rsidRPr="004933E6">
        <w:rPr>
          <w:rFonts w:asciiTheme="minorHAnsi" w:hAnsiTheme="minorHAnsi" w:cstheme="minorHAnsi"/>
          <w:sz w:val="22"/>
          <w:szCs w:val="22"/>
        </w:rPr>
        <w:t>15</w:t>
      </w:r>
      <w:r w:rsidR="00E21F01" w:rsidRPr="004933E6">
        <w:rPr>
          <w:rFonts w:asciiTheme="minorHAnsi" w:hAnsiTheme="minorHAnsi" w:cstheme="minorHAnsi"/>
          <w:sz w:val="22"/>
          <w:szCs w:val="22"/>
        </w:rPr>
        <w:t xml:space="preserve"> Regional Group for Africa (SG</w:t>
      </w:r>
      <w:r w:rsidR="0065629B" w:rsidRPr="004933E6">
        <w:rPr>
          <w:rFonts w:asciiTheme="minorHAnsi" w:hAnsiTheme="minorHAnsi" w:cstheme="minorHAnsi"/>
          <w:sz w:val="22"/>
          <w:szCs w:val="22"/>
        </w:rPr>
        <w:t>15</w:t>
      </w:r>
      <w:r w:rsidR="00E21F01" w:rsidRPr="004933E6">
        <w:rPr>
          <w:rFonts w:asciiTheme="minorHAnsi" w:hAnsiTheme="minorHAnsi" w:cstheme="minorHAnsi"/>
          <w:sz w:val="22"/>
          <w:szCs w:val="22"/>
        </w:rPr>
        <w:t>RG-AFR) as defined in WTSA</w:t>
      </w:r>
      <w:r w:rsidR="004933E6">
        <w:rPr>
          <w:rFonts w:asciiTheme="minorHAnsi" w:hAnsiTheme="minorHAnsi" w:cstheme="minorHAnsi"/>
          <w:sz w:val="22"/>
          <w:szCs w:val="22"/>
        </w:rPr>
        <w:t> </w:t>
      </w:r>
      <w:r w:rsidR="00E21F01" w:rsidRPr="004933E6">
        <w:rPr>
          <w:rFonts w:asciiTheme="minorHAnsi" w:hAnsiTheme="minorHAnsi" w:cstheme="minorHAnsi"/>
          <w:sz w:val="22"/>
          <w:szCs w:val="22"/>
        </w:rPr>
        <w:t>Resolution 54</w:t>
      </w:r>
      <w:r w:rsidR="00A208A1" w:rsidRPr="004933E6">
        <w:rPr>
          <w:rFonts w:asciiTheme="minorHAnsi" w:hAnsiTheme="minorHAnsi" w:cstheme="minorHAnsi"/>
          <w:sz w:val="22"/>
          <w:szCs w:val="22"/>
        </w:rPr>
        <w:t xml:space="preserve"> (</w:t>
      </w:r>
      <w:r w:rsidR="003256CC" w:rsidRPr="004933E6">
        <w:rPr>
          <w:rFonts w:asciiTheme="minorHAnsi" w:hAnsiTheme="minorHAnsi" w:cstheme="minorHAnsi"/>
          <w:sz w:val="22"/>
          <w:szCs w:val="22"/>
        </w:rPr>
        <w:t>Rev. New Delhi, 2024).</w:t>
      </w:r>
    </w:p>
    <w:p w14:paraId="5FC7B013" w14:textId="4D72B51B" w:rsidR="008E0B07" w:rsidRPr="004933E6" w:rsidRDefault="008E0B07" w:rsidP="004933E6">
      <w:pPr>
        <w:spacing w:before="0" w:after="120"/>
        <w:rPr>
          <w:rFonts w:asciiTheme="minorHAnsi" w:hAnsiTheme="minorHAnsi" w:cstheme="minorHAnsi"/>
          <w:sz w:val="22"/>
          <w:szCs w:val="22"/>
        </w:rPr>
      </w:pPr>
      <w:r w:rsidRPr="004933E6">
        <w:rPr>
          <w:rFonts w:asciiTheme="minorHAnsi" w:hAnsiTheme="minorHAnsi" w:cstheme="minorHAnsi"/>
          <w:bCs/>
          <w:sz w:val="22"/>
          <w:szCs w:val="22"/>
        </w:rPr>
        <w:t>2</w:t>
      </w:r>
      <w:r w:rsidRPr="004933E6">
        <w:rPr>
          <w:rFonts w:asciiTheme="minorHAnsi" w:hAnsiTheme="minorHAnsi" w:cstheme="minorHAnsi"/>
          <w:sz w:val="22"/>
          <w:szCs w:val="22"/>
        </w:rPr>
        <w:tab/>
        <w:t xml:space="preserve">The terms of reference and working methods for the ITU-T Study Group 15 Regional Group for Africa (SG15RG-AFR) approved by Study Group 15 are set out in </w:t>
      </w:r>
      <w:r w:rsidRPr="004933E6">
        <w:rPr>
          <w:rFonts w:asciiTheme="minorHAnsi" w:hAnsiTheme="minorHAnsi" w:cstheme="minorHAnsi"/>
          <w:b/>
          <w:sz w:val="22"/>
          <w:szCs w:val="22"/>
        </w:rPr>
        <w:t>Annex</w:t>
      </w:r>
      <w:r w:rsidR="00F3699A">
        <w:rPr>
          <w:rFonts w:asciiTheme="minorHAnsi" w:hAnsiTheme="minorHAnsi" w:cstheme="minorHAnsi"/>
          <w:b/>
          <w:sz w:val="22"/>
          <w:szCs w:val="22"/>
        </w:rPr>
        <w:t xml:space="preserve"> </w:t>
      </w:r>
      <w:r w:rsidRPr="004933E6">
        <w:rPr>
          <w:rFonts w:asciiTheme="minorHAnsi" w:hAnsiTheme="minorHAnsi" w:cstheme="minorHAnsi"/>
          <w:b/>
          <w:sz w:val="22"/>
          <w:szCs w:val="22"/>
        </w:rPr>
        <w:t>1.</w:t>
      </w:r>
    </w:p>
    <w:p w14:paraId="152058A9" w14:textId="63723CF4" w:rsidR="00B05A2C" w:rsidRPr="004933E6" w:rsidRDefault="00680FBF" w:rsidP="004933E6">
      <w:pPr>
        <w:spacing w:before="0" w:after="120"/>
        <w:rPr>
          <w:rFonts w:asciiTheme="minorHAnsi" w:eastAsia="Yu Mincho" w:hAnsiTheme="minorHAnsi" w:cstheme="minorHAnsi"/>
          <w:sz w:val="22"/>
          <w:szCs w:val="22"/>
          <w:lang w:eastAsia="ja-JP"/>
        </w:rPr>
      </w:pPr>
      <w:r w:rsidRPr="004933E6">
        <w:rPr>
          <w:rFonts w:asciiTheme="minorHAnsi" w:hAnsiTheme="minorHAnsi" w:cstheme="minorHAnsi"/>
          <w:sz w:val="22"/>
          <w:szCs w:val="22"/>
        </w:rPr>
        <w:t>3</w:t>
      </w:r>
      <w:r w:rsidR="00B05A2C" w:rsidRPr="004933E6">
        <w:rPr>
          <w:rFonts w:asciiTheme="minorHAnsi" w:hAnsiTheme="minorHAnsi" w:cstheme="minorHAnsi"/>
          <w:sz w:val="22"/>
          <w:szCs w:val="22"/>
        </w:rPr>
        <w:tab/>
      </w:r>
      <w:r w:rsidR="00394026" w:rsidRPr="004933E6">
        <w:rPr>
          <w:rFonts w:asciiTheme="minorHAnsi" w:eastAsia="Yu Mincho" w:hAnsiTheme="minorHAnsi" w:cstheme="minorHAnsi"/>
          <w:sz w:val="22"/>
          <w:szCs w:val="22"/>
          <w:lang w:eastAsia="ja-JP"/>
        </w:rPr>
        <w:t>The SG15 Chair appointed Mr Mohamed</w:t>
      </w:r>
      <w:r w:rsidR="00F4121B" w:rsidRPr="004933E6">
        <w:rPr>
          <w:rFonts w:asciiTheme="minorHAnsi" w:eastAsia="Yu Mincho" w:hAnsiTheme="minorHAnsi" w:cstheme="minorHAnsi"/>
          <w:sz w:val="22"/>
          <w:szCs w:val="22"/>
          <w:lang w:eastAsia="ja-JP"/>
        </w:rPr>
        <w:t xml:space="preserve"> Amine</w:t>
      </w:r>
      <w:r w:rsidR="00394026" w:rsidRPr="004933E6">
        <w:rPr>
          <w:rFonts w:asciiTheme="minorHAnsi" w:eastAsia="Yu Mincho" w:hAnsiTheme="minorHAnsi" w:cstheme="minorHAnsi"/>
          <w:sz w:val="22"/>
          <w:szCs w:val="22"/>
          <w:lang w:eastAsia="ja-JP"/>
        </w:rPr>
        <w:t xml:space="preserve"> </w:t>
      </w:r>
      <w:r w:rsidR="00F4121B" w:rsidRPr="004933E6">
        <w:rPr>
          <w:rFonts w:asciiTheme="minorHAnsi" w:eastAsia="Yu Mincho" w:hAnsiTheme="minorHAnsi" w:cstheme="minorHAnsi"/>
          <w:sz w:val="22"/>
          <w:szCs w:val="22"/>
          <w:lang w:eastAsia="ja-JP"/>
        </w:rPr>
        <w:t>BENZIANE (</w:t>
      </w:r>
      <w:proofErr w:type="spellStart"/>
      <w:r w:rsidR="00F4121B" w:rsidRPr="004933E6">
        <w:rPr>
          <w:rFonts w:asciiTheme="minorHAnsi" w:eastAsia="Yu Mincho" w:hAnsiTheme="minorHAnsi" w:cstheme="minorHAnsi"/>
          <w:sz w:val="22"/>
          <w:szCs w:val="22"/>
          <w:lang w:eastAsia="ja-JP"/>
        </w:rPr>
        <w:t>Alg</w:t>
      </w:r>
      <w:r w:rsidR="00F4121B" w:rsidRPr="004933E6">
        <w:rPr>
          <w:rFonts w:asciiTheme="minorHAnsi" w:eastAsia="Yu Mincho" w:hAnsiTheme="minorHAnsi" w:cstheme="minorHAnsi"/>
          <w:sz w:val="22"/>
          <w:szCs w:val="22"/>
          <w:lang w:val="en-US" w:eastAsia="ja-JP"/>
        </w:rPr>
        <w:t>érie</w:t>
      </w:r>
      <w:proofErr w:type="spellEnd"/>
      <w:r w:rsidR="00F4121B" w:rsidRPr="004933E6">
        <w:rPr>
          <w:rFonts w:asciiTheme="minorHAnsi" w:eastAsia="Yu Mincho" w:hAnsiTheme="minorHAnsi" w:cstheme="minorHAnsi"/>
          <w:sz w:val="22"/>
          <w:szCs w:val="22"/>
          <w:lang w:val="en-US" w:eastAsia="ja-JP"/>
        </w:rPr>
        <w:t xml:space="preserve"> </w:t>
      </w:r>
      <w:proofErr w:type="spellStart"/>
      <w:r w:rsidR="00F4121B" w:rsidRPr="004933E6">
        <w:rPr>
          <w:rFonts w:asciiTheme="minorHAnsi" w:eastAsia="Yu Mincho" w:hAnsiTheme="minorHAnsi" w:cstheme="minorHAnsi"/>
          <w:sz w:val="22"/>
          <w:szCs w:val="22"/>
          <w:lang w:val="en-US" w:eastAsia="ja-JP"/>
        </w:rPr>
        <w:t>Télécom</w:t>
      </w:r>
      <w:proofErr w:type="spellEnd"/>
      <w:r w:rsidR="00F4121B" w:rsidRPr="004933E6">
        <w:rPr>
          <w:rFonts w:asciiTheme="minorHAnsi" w:eastAsia="Yu Mincho" w:hAnsiTheme="minorHAnsi" w:cstheme="minorHAnsi"/>
          <w:sz w:val="22"/>
          <w:szCs w:val="22"/>
          <w:lang w:val="en-US" w:eastAsia="ja-JP"/>
        </w:rPr>
        <w:t xml:space="preserve"> SPA, Algeria)</w:t>
      </w:r>
      <w:r w:rsidR="00394026" w:rsidRPr="004933E6">
        <w:rPr>
          <w:rFonts w:asciiTheme="minorHAnsi" w:eastAsia="Yu Mincho" w:hAnsiTheme="minorHAnsi" w:cstheme="minorHAnsi"/>
          <w:sz w:val="22"/>
          <w:szCs w:val="22"/>
          <w:lang w:eastAsia="ja-JP"/>
        </w:rPr>
        <w:t xml:space="preserve"> as the Chair of </w:t>
      </w:r>
      <w:r w:rsidR="002647B1" w:rsidRPr="004933E6">
        <w:rPr>
          <w:rFonts w:asciiTheme="minorHAnsi" w:eastAsia="Yu Mincho" w:hAnsiTheme="minorHAnsi" w:cstheme="minorHAnsi"/>
          <w:sz w:val="22"/>
          <w:szCs w:val="22"/>
          <w:lang w:eastAsia="ja-JP"/>
        </w:rPr>
        <w:t>SG15RG-AFR.</w:t>
      </w:r>
    </w:p>
    <w:p w14:paraId="332251D6" w14:textId="1B06561D" w:rsidR="00B05A2C" w:rsidRPr="004933E6" w:rsidRDefault="00B05A2C" w:rsidP="004933E6">
      <w:pPr>
        <w:spacing w:before="0" w:after="120"/>
        <w:rPr>
          <w:rFonts w:asciiTheme="minorHAnsi" w:hAnsiTheme="minorHAnsi" w:cstheme="minorHAnsi"/>
          <w:sz w:val="22"/>
          <w:szCs w:val="22"/>
        </w:rPr>
      </w:pPr>
      <w:r w:rsidRPr="004933E6">
        <w:rPr>
          <w:rFonts w:asciiTheme="minorHAnsi" w:hAnsiTheme="minorHAnsi" w:cstheme="minorHAnsi"/>
          <w:sz w:val="22"/>
          <w:szCs w:val="22"/>
        </w:rPr>
        <w:t>4</w:t>
      </w:r>
      <w:r w:rsidRPr="004933E6">
        <w:rPr>
          <w:rFonts w:asciiTheme="minorHAnsi" w:hAnsiTheme="minorHAnsi" w:cstheme="minorHAnsi"/>
          <w:sz w:val="22"/>
          <w:szCs w:val="22"/>
        </w:rPr>
        <w:tab/>
      </w:r>
      <w:r w:rsidR="00F3699A">
        <w:rPr>
          <w:rFonts w:asciiTheme="minorHAnsi" w:hAnsiTheme="minorHAnsi" w:cstheme="minorHAnsi"/>
          <w:sz w:val="22"/>
          <w:szCs w:val="22"/>
        </w:rPr>
        <w:t>A</w:t>
      </w:r>
      <w:r w:rsidR="00680FBF" w:rsidRPr="004933E6">
        <w:rPr>
          <w:rFonts w:asciiTheme="minorHAnsi" w:hAnsiTheme="minorHAnsi" w:cstheme="minorHAnsi"/>
          <w:sz w:val="22"/>
          <w:szCs w:val="22"/>
        </w:rPr>
        <w:t xml:space="preserve"> </w:t>
      </w:r>
      <w:r w:rsidR="00D249F9" w:rsidRPr="004933E6">
        <w:rPr>
          <w:rFonts w:asciiTheme="minorHAnsi" w:hAnsiTheme="minorHAnsi" w:cstheme="minorHAnsi"/>
          <w:sz w:val="22"/>
          <w:szCs w:val="22"/>
        </w:rPr>
        <w:t xml:space="preserve">web page for SG15RG-AFR </w:t>
      </w:r>
      <w:r w:rsidR="00F3699A">
        <w:rPr>
          <w:rFonts w:asciiTheme="minorHAnsi" w:hAnsiTheme="minorHAnsi" w:cstheme="minorHAnsi"/>
          <w:sz w:val="22"/>
          <w:szCs w:val="22"/>
        </w:rPr>
        <w:t>is now available</w:t>
      </w:r>
      <w:r w:rsidR="00A330FA" w:rsidRPr="004933E6">
        <w:rPr>
          <w:rFonts w:asciiTheme="minorHAnsi" w:hAnsiTheme="minorHAnsi" w:cstheme="minorHAnsi"/>
          <w:sz w:val="22"/>
          <w:szCs w:val="22"/>
        </w:rPr>
        <w:t xml:space="preserve"> </w:t>
      </w:r>
      <w:r w:rsidR="00D249F9" w:rsidRPr="004933E6">
        <w:rPr>
          <w:rFonts w:asciiTheme="minorHAnsi" w:hAnsiTheme="minorHAnsi" w:cstheme="minorHAnsi"/>
          <w:sz w:val="22"/>
          <w:szCs w:val="22"/>
        </w:rPr>
        <w:t xml:space="preserve">at </w:t>
      </w:r>
      <w:hyperlink r:id="rId11" w:history="1">
        <w:r w:rsidR="005E239D" w:rsidRPr="004933E6">
          <w:rPr>
            <w:rStyle w:val="Hyperlink"/>
            <w:rFonts w:asciiTheme="minorHAnsi" w:hAnsiTheme="minorHAnsi" w:cstheme="minorHAnsi"/>
            <w:sz w:val="22"/>
            <w:szCs w:val="22"/>
          </w:rPr>
          <w:t>https://www.itu.int/en/ITU-T/regionalgroups/sg15-afr/Pages/default.aspx</w:t>
        </w:r>
      </w:hyperlink>
      <w:r w:rsidR="005E239D" w:rsidRPr="004933E6">
        <w:rPr>
          <w:rFonts w:asciiTheme="minorHAnsi" w:hAnsiTheme="minorHAnsi" w:cstheme="minorHAnsi"/>
          <w:sz w:val="22"/>
          <w:szCs w:val="22"/>
        </w:rPr>
        <w:t xml:space="preserve"> </w:t>
      </w:r>
      <w:r w:rsidR="00A330FA" w:rsidRPr="004933E6">
        <w:rPr>
          <w:rFonts w:asciiTheme="minorHAnsi" w:hAnsiTheme="minorHAnsi" w:cstheme="minorHAnsi"/>
          <w:sz w:val="22"/>
          <w:szCs w:val="22"/>
        </w:rPr>
        <w:t>.</w:t>
      </w:r>
    </w:p>
    <w:p w14:paraId="6ED3B250" w14:textId="29BD6752" w:rsidR="00CF2CF8" w:rsidRPr="004933E6" w:rsidRDefault="00D249F9" w:rsidP="004933E6">
      <w:pPr>
        <w:spacing w:before="0" w:after="120"/>
        <w:rPr>
          <w:rFonts w:asciiTheme="minorHAnsi" w:hAnsiTheme="minorHAnsi" w:cstheme="minorHAnsi"/>
          <w:sz w:val="22"/>
          <w:szCs w:val="22"/>
        </w:rPr>
      </w:pPr>
      <w:r w:rsidRPr="004933E6">
        <w:rPr>
          <w:rFonts w:asciiTheme="minorHAnsi" w:hAnsiTheme="minorHAnsi" w:cstheme="minorHAnsi"/>
          <w:sz w:val="22"/>
          <w:szCs w:val="22"/>
        </w:rPr>
        <w:t>5</w:t>
      </w:r>
      <w:r w:rsidRPr="004933E6">
        <w:rPr>
          <w:rFonts w:asciiTheme="minorHAnsi" w:hAnsiTheme="minorHAnsi" w:cstheme="minorHAnsi"/>
          <w:sz w:val="22"/>
          <w:szCs w:val="22"/>
        </w:rPr>
        <w:tab/>
        <w:t xml:space="preserve">The mailing list </w:t>
      </w:r>
      <w:hyperlink r:id="rId12" w:history="1">
        <w:r w:rsidR="005022C1" w:rsidRPr="004933E6">
          <w:rPr>
            <w:rStyle w:val="Hyperlink"/>
            <w:rFonts w:asciiTheme="minorHAnsi" w:hAnsiTheme="minorHAnsi" w:cstheme="minorHAnsi"/>
            <w:sz w:val="22"/>
            <w:szCs w:val="22"/>
          </w:rPr>
          <w:t>tsg15rgafr@lists.itu.int</w:t>
        </w:r>
      </w:hyperlink>
      <w:r w:rsidR="005022C1" w:rsidRPr="004933E6">
        <w:rPr>
          <w:rFonts w:asciiTheme="minorHAnsi" w:hAnsiTheme="minorHAnsi" w:cstheme="minorHAnsi"/>
          <w:sz w:val="22"/>
          <w:szCs w:val="22"/>
        </w:rPr>
        <w:t xml:space="preserve"> </w:t>
      </w:r>
      <w:r w:rsidR="00B728BF" w:rsidRPr="004933E6">
        <w:rPr>
          <w:rFonts w:asciiTheme="minorHAnsi" w:hAnsiTheme="minorHAnsi" w:cstheme="minorHAnsi"/>
          <w:sz w:val="22"/>
          <w:szCs w:val="22"/>
        </w:rPr>
        <w:t>has been</w:t>
      </w:r>
      <w:r w:rsidR="007C4535" w:rsidRPr="004933E6">
        <w:rPr>
          <w:rFonts w:asciiTheme="minorHAnsi" w:hAnsiTheme="minorHAnsi" w:cstheme="minorHAnsi"/>
          <w:sz w:val="22"/>
          <w:szCs w:val="22"/>
        </w:rPr>
        <w:t xml:space="preserve"> </w:t>
      </w:r>
      <w:r w:rsidR="00F3699A">
        <w:rPr>
          <w:rFonts w:asciiTheme="minorHAnsi" w:hAnsiTheme="minorHAnsi" w:cstheme="minorHAnsi"/>
          <w:sz w:val="22"/>
          <w:szCs w:val="22"/>
        </w:rPr>
        <w:t>created</w:t>
      </w:r>
      <w:r w:rsidR="007C4535" w:rsidRPr="004933E6">
        <w:rPr>
          <w:rFonts w:asciiTheme="minorHAnsi" w:hAnsiTheme="minorHAnsi" w:cstheme="minorHAnsi"/>
          <w:sz w:val="22"/>
          <w:szCs w:val="22"/>
        </w:rPr>
        <w:t xml:space="preserve"> </w:t>
      </w:r>
      <w:r w:rsidR="00F3699A">
        <w:rPr>
          <w:rFonts w:asciiTheme="minorHAnsi" w:hAnsiTheme="minorHAnsi" w:cstheme="minorHAnsi"/>
          <w:sz w:val="22"/>
          <w:szCs w:val="22"/>
        </w:rPr>
        <w:t xml:space="preserve">for use by </w:t>
      </w:r>
      <w:r w:rsidR="007C4535" w:rsidRPr="004933E6">
        <w:rPr>
          <w:rFonts w:asciiTheme="minorHAnsi" w:hAnsiTheme="minorHAnsi" w:cstheme="minorHAnsi"/>
          <w:sz w:val="22"/>
          <w:szCs w:val="22"/>
        </w:rPr>
        <w:t>SG15RG-AFR.</w:t>
      </w:r>
    </w:p>
    <w:p w14:paraId="547043CA" w14:textId="73041F17" w:rsidR="004F04FA" w:rsidRPr="004933E6" w:rsidRDefault="00E640DF" w:rsidP="00DF6015">
      <w:pPr>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59176FFE" wp14:editId="045B6E12">
            <wp:simplePos x="0" y="0"/>
            <wp:positionH relativeFrom="margin">
              <wp:align>left</wp:align>
            </wp:positionH>
            <wp:positionV relativeFrom="paragraph">
              <wp:posOffset>169545</wp:posOffset>
            </wp:positionV>
            <wp:extent cx="711200" cy="368300"/>
            <wp:effectExtent l="0" t="0" r="0" b="0"/>
            <wp:wrapNone/>
            <wp:docPr id="1092798057"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98057" name="Picture 2" descr="A black text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11200" cy="368300"/>
                    </a:xfrm>
                    <a:prstGeom prst="rect">
                      <a:avLst/>
                    </a:prstGeom>
                  </pic:spPr>
                </pic:pic>
              </a:graphicData>
            </a:graphic>
          </wp:anchor>
        </w:drawing>
      </w:r>
      <w:r w:rsidR="00315F99" w:rsidRPr="004933E6">
        <w:rPr>
          <w:rFonts w:asciiTheme="minorHAnsi" w:hAnsiTheme="minorHAnsi" w:cstheme="minorHAnsi"/>
          <w:sz w:val="22"/>
          <w:szCs w:val="22"/>
        </w:rPr>
        <w:t>Yo</w:t>
      </w:r>
      <w:r w:rsidR="004933E6">
        <w:rPr>
          <w:rFonts w:asciiTheme="minorHAnsi" w:hAnsiTheme="minorHAnsi" w:cstheme="minorHAnsi"/>
          <w:sz w:val="22"/>
          <w:szCs w:val="22"/>
        </w:rPr>
        <w:t>u</w:t>
      </w:r>
      <w:r w:rsidR="00315F99" w:rsidRPr="004933E6">
        <w:rPr>
          <w:rFonts w:asciiTheme="minorHAnsi" w:hAnsiTheme="minorHAnsi" w:cstheme="minorHAnsi"/>
          <w:sz w:val="22"/>
          <w:szCs w:val="22"/>
        </w:rPr>
        <w:t>rs faithfully,</w:t>
      </w:r>
    </w:p>
    <w:p w14:paraId="07A043E0" w14:textId="14AAAEE4" w:rsidR="008C1D23" w:rsidRPr="004933E6" w:rsidRDefault="00FC4CE4" w:rsidP="004933E6">
      <w:pPr>
        <w:spacing w:before="600"/>
        <w:rPr>
          <w:rFonts w:asciiTheme="minorHAnsi" w:hAnsiTheme="minorHAnsi" w:cstheme="minorHAnsi"/>
          <w:sz w:val="22"/>
          <w:szCs w:val="22"/>
        </w:rPr>
      </w:pPr>
      <w:r w:rsidRPr="004933E6">
        <w:rPr>
          <w:rFonts w:asciiTheme="minorHAnsi" w:hAnsiTheme="minorHAnsi" w:cstheme="minorHAnsi"/>
          <w:sz w:val="22"/>
          <w:szCs w:val="22"/>
        </w:rPr>
        <w:t>Seizo Onoe</w:t>
      </w:r>
      <w:r w:rsidR="00315F99" w:rsidRPr="004933E6">
        <w:rPr>
          <w:rFonts w:asciiTheme="minorHAnsi" w:hAnsiTheme="minorHAnsi" w:cstheme="minorHAnsi"/>
          <w:sz w:val="22"/>
          <w:szCs w:val="22"/>
        </w:rPr>
        <w:br/>
        <w:t>Director of the Telecommunication</w:t>
      </w:r>
      <w:r w:rsidR="00315F99" w:rsidRPr="004933E6">
        <w:rPr>
          <w:rFonts w:asciiTheme="minorHAnsi" w:hAnsiTheme="minorHAnsi" w:cstheme="minorHAnsi"/>
          <w:sz w:val="22"/>
          <w:szCs w:val="22"/>
        </w:rPr>
        <w:br/>
        <w:t>Standardization Bureau</w:t>
      </w:r>
    </w:p>
    <w:p w14:paraId="6F1183AF" w14:textId="0F4461F4" w:rsidR="001C0CF7" w:rsidRPr="004933E6" w:rsidRDefault="008C1D23" w:rsidP="004933E6">
      <w:pPr>
        <w:spacing w:before="240"/>
        <w:rPr>
          <w:rFonts w:asciiTheme="minorHAnsi" w:hAnsiTheme="minorHAnsi" w:cstheme="minorHAnsi"/>
          <w:sz w:val="22"/>
          <w:szCs w:val="22"/>
        </w:rPr>
      </w:pPr>
      <w:r w:rsidRPr="004933E6">
        <w:rPr>
          <w:rFonts w:asciiTheme="minorHAnsi" w:hAnsiTheme="minorHAnsi" w:cstheme="minorHAnsi"/>
          <w:b/>
          <w:bCs/>
          <w:sz w:val="22"/>
          <w:szCs w:val="22"/>
        </w:rPr>
        <w:t>Annex:</w:t>
      </w:r>
      <w:r w:rsidR="004933E6">
        <w:rPr>
          <w:rFonts w:asciiTheme="minorHAnsi" w:hAnsiTheme="minorHAnsi" w:cstheme="minorHAnsi"/>
          <w:sz w:val="22"/>
          <w:szCs w:val="22"/>
        </w:rPr>
        <w:tab/>
      </w:r>
      <w:r w:rsidRPr="004933E6">
        <w:rPr>
          <w:rFonts w:asciiTheme="minorHAnsi" w:hAnsiTheme="minorHAnsi" w:cstheme="minorHAnsi"/>
          <w:sz w:val="22"/>
          <w:szCs w:val="22"/>
        </w:rPr>
        <w:t>1</w:t>
      </w:r>
    </w:p>
    <w:p w14:paraId="598A38A3" w14:textId="0C31C5C7" w:rsidR="00D85070" w:rsidRDefault="00D85070" w:rsidP="00FF38AC">
      <w:pPr>
        <w:pStyle w:val="Annextitle"/>
      </w:pPr>
      <w:r>
        <w:lastRenderedPageBreak/>
        <w:t>Annex 1</w:t>
      </w:r>
    </w:p>
    <w:p w14:paraId="2AF21DFD" w14:textId="2F17305B" w:rsidR="008C0872" w:rsidRDefault="008C0872" w:rsidP="00D85070">
      <w:pPr>
        <w:pStyle w:val="Annextitle"/>
      </w:pPr>
      <w:r w:rsidRPr="008C0872">
        <w:t xml:space="preserve">Terms of Reference for the ITU-T Study Group 15 Regional Group </w:t>
      </w:r>
      <w:r w:rsidR="00305A9C">
        <w:t xml:space="preserve">for </w:t>
      </w:r>
      <w:r w:rsidR="00305A9C" w:rsidRPr="008C0872">
        <w:t>Africa</w:t>
      </w:r>
    </w:p>
    <w:p w14:paraId="07403163" w14:textId="77777777" w:rsidR="009D4928" w:rsidRPr="008C0872" w:rsidRDefault="009D4928" w:rsidP="008C0872">
      <w:pPr>
        <w:rPr>
          <w:sz w:val="22"/>
          <w:szCs w:val="22"/>
        </w:rPr>
      </w:pPr>
    </w:p>
    <w:p w14:paraId="25754DF3" w14:textId="77777777" w:rsidR="008C0872" w:rsidRPr="008C0872" w:rsidRDefault="008C0872" w:rsidP="008C0872">
      <w:pPr>
        <w:pStyle w:val="ListParagraph"/>
        <w:numPr>
          <w:ilvl w:val="0"/>
          <w:numId w:val="12"/>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Encouraging the active participation of delegates from African countries in the work of ITU-T SG15 (including rapporteur group meetings and other ITU-T SG15 events) and supporting African candidacies for ITU-T SG15 leadership positions.</w:t>
      </w:r>
    </w:p>
    <w:p w14:paraId="203C315B" w14:textId="0148BC62" w:rsidR="008C0872" w:rsidRPr="008C0872" w:rsidRDefault="008C0872" w:rsidP="008C0872">
      <w:pPr>
        <w:pStyle w:val="ListParagraph"/>
        <w:numPr>
          <w:ilvl w:val="0"/>
          <w:numId w:val="12"/>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Identifying and discussing the deployment challenges in the region associated with ITU-T SG15 Recommendations.</w:t>
      </w:r>
    </w:p>
    <w:p w14:paraId="403E2DE0" w14:textId="77777777" w:rsidR="008C0872" w:rsidRPr="008C0872" w:rsidRDefault="008C0872" w:rsidP="008C0872">
      <w:pPr>
        <w:pStyle w:val="ListParagraph"/>
        <w:numPr>
          <w:ilvl w:val="0"/>
          <w:numId w:val="12"/>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Supporting training needs in standards development and optical technologies for the region.</w:t>
      </w:r>
    </w:p>
    <w:p w14:paraId="2C72BE99" w14:textId="77777777" w:rsidR="008C0872" w:rsidRPr="008C0872" w:rsidRDefault="008C0872" w:rsidP="008C0872">
      <w:pPr>
        <w:pStyle w:val="ListParagraph"/>
        <w:numPr>
          <w:ilvl w:val="0"/>
          <w:numId w:val="12"/>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 xml:space="preserve">Promoting ITU-T SG15 deliverables that align with relevant African regional priorities. </w:t>
      </w:r>
    </w:p>
    <w:p w14:paraId="4906AD5A" w14:textId="04785817" w:rsidR="008C0872" w:rsidRPr="008C0872" w:rsidRDefault="008C0872" w:rsidP="008C0872">
      <w:pPr>
        <w:pStyle w:val="ListParagraph"/>
        <w:numPr>
          <w:ilvl w:val="0"/>
          <w:numId w:val="12"/>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Cooperating closely with the relevant respective African regional telecommunication organizations, standardization bodies of African countries and ITU regional/area offices in Africa, to create possible synergies and to report on the work in the region to ITU-T SG15.</w:t>
      </w:r>
    </w:p>
    <w:p w14:paraId="20353143" w14:textId="77777777" w:rsidR="008C0872" w:rsidRPr="008C0872" w:rsidRDefault="008C0872" w:rsidP="008C0872">
      <w:pPr>
        <w:pStyle w:val="ListParagraph"/>
        <w:numPr>
          <w:ilvl w:val="0"/>
          <w:numId w:val="12"/>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Creating a dedicated discussion space, for example by organizing regional technical workshops, to implement these Terms of Reference.</w:t>
      </w:r>
    </w:p>
    <w:p w14:paraId="33AF8978" w14:textId="77777777" w:rsidR="008C0872" w:rsidRPr="008C0872" w:rsidRDefault="008C0872" w:rsidP="008C0872">
      <w:pPr>
        <w:pStyle w:val="ListParagraph"/>
        <w:numPr>
          <w:ilvl w:val="0"/>
          <w:numId w:val="12"/>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 xml:space="preserve">Limiting its scope to these Terms of Reference in alignment with the mandate of ITU-T SG15 as specified by ITU-T Resolution </w:t>
      </w:r>
      <w:proofErr w:type="gramStart"/>
      <w:r w:rsidRPr="008C0872">
        <w:rPr>
          <w:sz w:val="22"/>
          <w:szCs w:val="22"/>
        </w:rPr>
        <w:t>2, and</w:t>
      </w:r>
      <w:proofErr w:type="gramEnd"/>
      <w:r w:rsidRPr="008C0872">
        <w:rPr>
          <w:sz w:val="22"/>
          <w:szCs w:val="22"/>
        </w:rPr>
        <w:t xml:space="preserve"> not developing regional standards.</w:t>
      </w:r>
    </w:p>
    <w:p w14:paraId="703987EC" w14:textId="77777777" w:rsidR="008C0872" w:rsidRDefault="008C0872" w:rsidP="008C0872">
      <w:pPr>
        <w:rPr>
          <w:sz w:val="22"/>
          <w:szCs w:val="22"/>
        </w:rPr>
      </w:pPr>
    </w:p>
    <w:p w14:paraId="05844F11" w14:textId="77777777" w:rsidR="00D85070" w:rsidRPr="008C0872" w:rsidRDefault="00D85070" w:rsidP="008C0872">
      <w:pPr>
        <w:rPr>
          <w:sz w:val="22"/>
          <w:szCs w:val="22"/>
        </w:rPr>
      </w:pPr>
    </w:p>
    <w:p w14:paraId="6A2065F0" w14:textId="29D6FB7A" w:rsidR="008C0872" w:rsidRDefault="00D85070" w:rsidP="00D85070">
      <w:pPr>
        <w:pStyle w:val="Annextitle"/>
      </w:pPr>
      <w:r>
        <w:t>W</w:t>
      </w:r>
      <w:r w:rsidR="008C0872" w:rsidRPr="008C0872">
        <w:t xml:space="preserve">orking methods for the ITU-T Study Group 15 Regional Group </w:t>
      </w:r>
      <w:r w:rsidR="00305A9C">
        <w:t xml:space="preserve">for </w:t>
      </w:r>
      <w:r w:rsidRPr="008C0872">
        <w:t>Africa</w:t>
      </w:r>
    </w:p>
    <w:p w14:paraId="297978F0" w14:textId="77777777" w:rsidR="00D85070" w:rsidRPr="008C0872" w:rsidRDefault="00D85070" w:rsidP="008C0872">
      <w:pPr>
        <w:rPr>
          <w:sz w:val="22"/>
          <w:szCs w:val="22"/>
        </w:rPr>
      </w:pPr>
    </w:p>
    <w:p w14:paraId="77F3961B" w14:textId="77777777" w:rsidR="008C0872" w:rsidRPr="008C0872" w:rsidRDefault="008C0872" w:rsidP="008C0872">
      <w:pPr>
        <w:pStyle w:val="ListParagraph"/>
        <w:numPr>
          <w:ilvl w:val="0"/>
          <w:numId w:val="11"/>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The SG15 RG-AFR Chair is appointed by the ITU-T SG15 Chair from one of the African region’s ITU-T SG15 Vice Chairs for the Study Period.</w:t>
      </w:r>
    </w:p>
    <w:p w14:paraId="56D2758E" w14:textId="77777777" w:rsidR="008C0872" w:rsidRPr="008C0872" w:rsidRDefault="008C0872" w:rsidP="008C0872">
      <w:pPr>
        <w:pStyle w:val="ListParagraph"/>
        <w:numPr>
          <w:ilvl w:val="0"/>
          <w:numId w:val="11"/>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Up to four SG15 RG-AFR Vice Chairs are chosen among the SG15 RG-AFR regional members in physical attendance at the first regional group meeting of the Study Period, taking account of competence and equitable geographical distribution, and appointed by SG15 at the next SG15 plenary meeting.</w:t>
      </w:r>
    </w:p>
    <w:p w14:paraId="62F4AA37" w14:textId="77777777" w:rsidR="008C0872" w:rsidRPr="008C0872" w:rsidRDefault="008C0872" w:rsidP="008C0872">
      <w:pPr>
        <w:pStyle w:val="ListParagraph"/>
        <w:numPr>
          <w:ilvl w:val="0"/>
          <w:numId w:val="11"/>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The term of the SG15 RG-AFR Chair and SG15 RG-AFR Vice Chairs is for a single study period and is limited to two study periods.</w:t>
      </w:r>
    </w:p>
    <w:p w14:paraId="5F32F3D1" w14:textId="77777777" w:rsidR="008C0872" w:rsidRPr="008C0872" w:rsidRDefault="008C0872" w:rsidP="008C0872">
      <w:pPr>
        <w:pStyle w:val="ListParagraph"/>
        <w:numPr>
          <w:ilvl w:val="0"/>
          <w:numId w:val="11"/>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There are no subgroups of the regional group unless approved by the ITU-T SG15 plenary.</w:t>
      </w:r>
    </w:p>
    <w:p w14:paraId="40C09216" w14:textId="5E6FA616" w:rsidR="008C0872" w:rsidRPr="008C0872" w:rsidRDefault="008C0872" w:rsidP="008C0872">
      <w:pPr>
        <w:pStyle w:val="ListParagraph"/>
        <w:numPr>
          <w:ilvl w:val="0"/>
          <w:numId w:val="11"/>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The regional group achievements must be evaluated by the SG15 plenary, and the regional group must be considered for reaffirmation, at the start of each study period.</w:t>
      </w:r>
    </w:p>
    <w:p w14:paraId="36B124D1" w14:textId="77777777" w:rsidR="008C0872" w:rsidRPr="008C0872" w:rsidRDefault="008C0872" w:rsidP="008C0872">
      <w:pPr>
        <w:pStyle w:val="ListParagraph"/>
        <w:numPr>
          <w:ilvl w:val="0"/>
          <w:numId w:val="11"/>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The regional group provides a report at least twelve calendar days before every ITU-T SG15 plenary meeting to highlight achievements in support of the Terms of Reference.</w:t>
      </w:r>
    </w:p>
    <w:p w14:paraId="44DE4310" w14:textId="77777777" w:rsidR="008C0872" w:rsidRPr="008C0872" w:rsidRDefault="008C0872" w:rsidP="008C0872">
      <w:pPr>
        <w:pStyle w:val="ListParagraph"/>
        <w:numPr>
          <w:ilvl w:val="0"/>
          <w:numId w:val="11"/>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Each regional group meeting should be announced at least two months in advance and held at least two months before each ITU-T SG15 plenary meeting. Additional regional group meetings may also be scheduled.</w:t>
      </w:r>
    </w:p>
    <w:p w14:paraId="1DBF8E30" w14:textId="77777777" w:rsidR="008C0872" w:rsidRPr="008C0872" w:rsidRDefault="008C0872" w:rsidP="008C0872">
      <w:pPr>
        <w:pStyle w:val="ListParagraph"/>
        <w:numPr>
          <w:ilvl w:val="0"/>
          <w:numId w:val="11"/>
        </w:numPr>
        <w:tabs>
          <w:tab w:val="clear" w:pos="794"/>
          <w:tab w:val="clear" w:pos="1191"/>
          <w:tab w:val="clear" w:pos="1588"/>
          <w:tab w:val="clear" w:pos="1985"/>
        </w:tabs>
        <w:overflowPunct/>
        <w:autoSpaceDE/>
        <w:autoSpaceDN/>
        <w:adjustRightInd/>
        <w:spacing w:before="0"/>
        <w:textAlignment w:val="auto"/>
        <w:rPr>
          <w:sz w:val="22"/>
          <w:szCs w:val="22"/>
        </w:rPr>
      </w:pPr>
      <w:r w:rsidRPr="008C0872">
        <w:rPr>
          <w:sz w:val="22"/>
          <w:szCs w:val="22"/>
        </w:rPr>
        <w:t>Hosts are encouraged to support regional group meetings and regional technical workshops in-person to maximize opportunities for dialogue and consultation. In lieu of host support, online regional group meetings may be held.</w:t>
      </w:r>
    </w:p>
    <w:p w14:paraId="360937FC" w14:textId="77777777" w:rsidR="008C1D23" w:rsidRDefault="008C1D23" w:rsidP="004F04FA">
      <w:pPr>
        <w:rPr>
          <w:sz w:val="22"/>
          <w:szCs w:val="22"/>
        </w:rPr>
      </w:pPr>
    </w:p>
    <w:p w14:paraId="7C6C031E" w14:textId="77777777" w:rsidR="004933E6" w:rsidRDefault="004933E6" w:rsidP="004F04FA">
      <w:pPr>
        <w:rPr>
          <w:sz w:val="22"/>
          <w:szCs w:val="22"/>
        </w:rPr>
      </w:pPr>
    </w:p>
    <w:p w14:paraId="35A45142" w14:textId="464C9EE4" w:rsidR="004933E6" w:rsidRPr="008C0872" w:rsidRDefault="004933E6" w:rsidP="004933E6">
      <w:pPr>
        <w:jc w:val="center"/>
        <w:rPr>
          <w:sz w:val="22"/>
          <w:szCs w:val="22"/>
        </w:rPr>
      </w:pPr>
      <w:r>
        <w:rPr>
          <w:sz w:val="22"/>
          <w:szCs w:val="22"/>
        </w:rPr>
        <w:t>_____________________</w:t>
      </w:r>
    </w:p>
    <w:sectPr w:rsidR="004933E6" w:rsidRPr="008C0872" w:rsidSect="004933E6">
      <w:headerReference w:type="default" r:id="rId14"/>
      <w:footerReference w:type="default" r:id="rId15"/>
      <w:footerReference w:type="first" r:id="rId16"/>
      <w:type w:val="oddPage"/>
      <w:pgSz w:w="11907" w:h="16834" w:code="9"/>
      <w:pgMar w:top="567" w:right="1089" w:bottom="567" w:left="1089" w:header="567" w:footer="4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A3D8" w14:textId="77777777" w:rsidR="00C521FD" w:rsidRDefault="00C521FD">
      <w:r>
        <w:separator/>
      </w:r>
    </w:p>
  </w:endnote>
  <w:endnote w:type="continuationSeparator" w:id="0">
    <w:p w14:paraId="43D7CFC0" w14:textId="77777777" w:rsidR="00C521FD" w:rsidRDefault="00C5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95B6" w14:textId="77777777" w:rsidR="00A009BE" w:rsidRDefault="00A009BE" w:rsidP="00CC752A">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379C" w14:textId="77777777" w:rsidR="00A009BE" w:rsidRPr="00BA1F70" w:rsidRDefault="00A009BE">
    <w:pPr>
      <w:pStyle w:val="FirstFooter"/>
      <w:ind w:left="-397" w:right="-397"/>
      <w:jc w:val="center"/>
      <w:rPr>
        <w:color w:val="0070C0"/>
      </w:rPr>
    </w:pPr>
    <w:r w:rsidRPr="00BA1F70">
      <w:rPr>
        <w:color w:val="0070C0"/>
        <w:sz w:val="18"/>
        <w:szCs w:val="18"/>
      </w:rPr>
      <w:t>International Telecommunication Union • Place des Nations • CH-1211 Geneva 20 • Switzerland</w:t>
    </w:r>
    <w:r w:rsidRPr="00BA1F70">
      <w:rPr>
        <w:color w:val="0070C0"/>
        <w:sz w:val="18"/>
        <w:szCs w:val="18"/>
      </w:rPr>
      <w:br/>
      <w:t xml:space="preserve">Tel: +41 22 730 5111 • Fax: +41 22 733 7256 • E-mail: </w:t>
    </w:r>
    <w:hyperlink r:id="rId1" w:history="1">
      <w:r w:rsidRPr="00BA1F70">
        <w:rPr>
          <w:rStyle w:val="Hyperlink"/>
          <w:color w:val="0070C0"/>
          <w:sz w:val="18"/>
          <w:szCs w:val="18"/>
        </w:rPr>
        <w:t>itumail@itu.int</w:t>
      </w:r>
    </w:hyperlink>
    <w:r w:rsidRPr="00BA1F70">
      <w:rPr>
        <w:color w:val="0070C0"/>
        <w:sz w:val="18"/>
        <w:szCs w:val="18"/>
      </w:rPr>
      <w:t xml:space="preserve"> • </w:t>
    </w:r>
    <w:hyperlink r:id="rId2" w:history="1">
      <w:r w:rsidRPr="00BA1F70">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9432" w14:textId="77777777" w:rsidR="00C521FD" w:rsidRDefault="00C521FD">
      <w:r>
        <w:t>____________________</w:t>
      </w:r>
    </w:p>
  </w:footnote>
  <w:footnote w:type="continuationSeparator" w:id="0">
    <w:p w14:paraId="1B0255C1" w14:textId="77777777" w:rsidR="00C521FD" w:rsidRDefault="00C5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0CB5" w14:textId="1E93D18B" w:rsidR="00A009BE" w:rsidRDefault="00A009BE" w:rsidP="00F6564F">
    <w:pPr>
      <w:spacing w:before="0"/>
      <w:jc w:val="center"/>
      <w:rPr>
        <w:sz w:val="18"/>
      </w:rPr>
    </w:pPr>
    <w:r w:rsidRPr="00D8656F">
      <w:rPr>
        <w:sz w:val="18"/>
      </w:rPr>
      <w:t xml:space="preserve">- </w:t>
    </w:r>
    <w:r w:rsidRPr="00D8656F">
      <w:rPr>
        <w:sz w:val="18"/>
      </w:rPr>
      <w:fldChar w:fldCharType="begin"/>
    </w:r>
    <w:r w:rsidRPr="00D8656F">
      <w:rPr>
        <w:sz w:val="18"/>
      </w:rPr>
      <w:instrText xml:space="preserve"> PAGE   \* MERGEFORMAT </w:instrText>
    </w:r>
    <w:r w:rsidRPr="00D8656F">
      <w:rPr>
        <w:sz w:val="18"/>
      </w:rPr>
      <w:fldChar w:fldCharType="separate"/>
    </w:r>
    <w:r w:rsidR="00006DE0">
      <w:rPr>
        <w:noProof/>
        <w:sz w:val="18"/>
      </w:rPr>
      <w:t>2</w:t>
    </w:r>
    <w:r w:rsidRPr="00D8656F">
      <w:rPr>
        <w:noProof/>
        <w:sz w:val="18"/>
      </w:rPr>
      <w:fldChar w:fldCharType="end"/>
    </w:r>
    <w:r w:rsidRPr="00D8656F">
      <w:rPr>
        <w:noProof/>
        <w:sz w:val="18"/>
      </w:rPr>
      <w:t xml:space="preserve"> -</w:t>
    </w:r>
    <w:r w:rsidRPr="00D8656F">
      <w:rPr>
        <w:noProof/>
        <w:sz w:val="18"/>
      </w:rPr>
      <w:br/>
    </w:r>
    <w:r w:rsidRPr="00D8656F">
      <w:rPr>
        <w:sz w:val="18"/>
      </w:rPr>
      <w:t xml:space="preserve">TSB Circular </w:t>
    </w:r>
    <w:r w:rsidR="00D43D9A">
      <w:rPr>
        <w:sz w:val="18"/>
      </w:rPr>
      <w:t>93</w:t>
    </w:r>
  </w:p>
  <w:p w14:paraId="0FD195A5" w14:textId="77777777" w:rsidR="004933E6" w:rsidRPr="00F6564F" w:rsidRDefault="004933E6" w:rsidP="00F6564F">
    <w:pPr>
      <w:spacing w:before="0"/>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ï‚·"/>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ï‚·"/>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ï‚·"/>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ï‚·"/>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ï‚·"/>
      <w:lvlJc w:val="left"/>
      <w:pPr>
        <w:tabs>
          <w:tab w:val="num" w:pos="360"/>
        </w:tabs>
        <w:ind w:left="360" w:hanging="360"/>
      </w:pPr>
      <w:rPr>
        <w:rFonts w:ascii="Symbol" w:hAnsi="Symbol" w:hint="default"/>
      </w:rPr>
    </w:lvl>
  </w:abstractNum>
  <w:abstractNum w:abstractNumId="10" w15:restartNumberingAfterBreak="0">
    <w:nsid w:val="4C9B23B7"/>
    <w:multiLevelType w:val="hybridMultilevel"/>
    <w:tmpl w:val="DE76F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A5E48"/>
    <w:multiLevelType w:val="hybridMultilevel"/>
    <w:tmpl w:val="717616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476869">
    <w:abstractNumId w:val="9"/>
  </w:num>
  <w:num w:numId="2" w16cid:durableId="551622375">
    <w:abstractNumId w:val="7"/>
  </w:num>
  <w:num w:numId="3" w16cid:durableId="209272566">
    <w:abstractNumId w:val="6"/>
  </w:num>
  <w:num w:numId="4" w16cid:durableId="784038355">
    <w:abstractNumId w:val="5"/>
  </w:num>
  <w:num w:numId="5" w16cid:durableId="1401248242">
    <w:abstractNumId w:val="4"/>
  </w:num>
  <w:num w:numId="6" w16cid:durableId="1315065494">
    <w:abstractNumId w:val="8"/>
  </w:num>
  <w:num w:numId="7" w16cid:durableId="1291087823">
    <w:abstractNumId w:val="3"/>
  </w:num>
  <w:num w:numId="8" w16cid:durableId="1520925075">
    <w:abstractNumId w:val="2"/>
  </w:num>
  <w:num w:numId="9" w16cid:durableId="1494252699">
    <w:abstractNumId w:val="1"/>
  </w:num>
  <w:num w:numId="10" w16cid:durableId="1576476335">
    <w:abstractNumId w:val="0"/>
  </w:num>
  <w:num w:numId="11" w16cid:durableId="1497260404">
    <w:abstractNumId w:val="11"/>
  </w:num>
  <w:num w:numId="12" w16cid:durableId="333807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5C"/>
    <w:rsid w:val="00006DE0"/>
    <w:rsid w:val="000227D6"/>
    <w:rsid w:val="00056992"/>
    <w:rsid w:val="00062B08"/>
    <w:rsid w:val="000A0633"/>
    <w:rsid w:val="000C5382"/>
    <w:rsid w:val="000C7A23"/>
    <w:rsid w:val="000F6929"/>
    <w:rsid w:val="001004FD"/>
    <w:rsid w:val="00101E65"/>
    <w:rsid w:val="001259C0"/>
    <w:rsid w:val="001501A1"/>
    <w:rsid w:val="00183B20"/>
    <w:rsid w:val="00190C38"/>
    <w:rsid w:val="001C0CF7"/>
    <w:rsid w:val="001C51DC"/>
    <w:rsid w:val="001F0FC1"/>
    <w:rsid w:val="002509A5"/>
    <w:rsid w:val="002647B1"/>
    <w:rsid w:val="0029677E"/>
    <w:rsid w:val="002A0A57"/>
    <w:rsid w:val="002A1193"/>
    <w:rsid w:val="002C29D2"/>
    <w:rsid w:val="002C6EC1"/>
    <w:rsid w:val="002D56E5"/>
    <w:rsid w:val="002E6345"/>
    <w:rsid w:val="0030554F"/>
    <w:rsid w:val="00305A9C"/>
    <w:rsid w:val="00315F99"/>
    <w:rsid w:val="00324FCA"/>
    <w:rsid w:val="003256CC"/>
    <w:rsid w:val="003341A4"/>
    <w:rsid w:val="00335EB6"/>
    <w:rsid w:val="00336F77"/>
    <w:rsid w:val="00340172"/>
    <w:rsid w:val="00356D6F"/>
    <w:rsid w:val="00364CEE"/>
    <w:rsid w:val="00370A11"/>
    <w:rsid w:val="00394026"/>
    <w:rsid w:val="003A1799"/>
    <w:rsid w:val="003B479B"/>
    <w:rsid w:val="003C3C3A"/>
    <w:rsid w:val="003C5AE7"/>
    <w:rsid w:val="003C757A"/>
    <w:rsid w:val="003D42C3"/>
    <w:rsid w:val="003F6094"/>
    <w:rsid w:val="004254CA"/>
    <w:rsid w:val="00451E27"/>
    <w:rsid w:val="00454926"/>
    <w:rsid w:val="00463108"/>
    <w:rsid w:val="00473ECD"/>
    <w:rsid w:val="00481B48"/>
    <w:rsid w:val="004933E6"/>
    <w:rsid w:val="004939C0"/>
    <w:rsid w:val="00495BA8"/>
    <w:rsid w:val="00496885"/>
    <w:rsid w:val="004B1929"/>
    <w:rsid w:val="004B1A0E"/>
    <w:rsid w:val="004B3445"/>
    <w:rsid w:val="004C1BA8"/>
    <w:rsid w:val="004F04FA"/>
    <w:rsid w:val="004F3181"/>
    <w:rsid w:val="005022C1"/>
    <w:rsid w:val="00510276"/>
    <w:rsid w:val="00533D70"/>
    <w:rsid w:val="005638D8"/>
    <w:rsid w:val="005676A9"/>
    <w:rsid w:val="00577EA8"/>
    <w:rsid w:val="005815AD"/>
    <w:rsid w:val="00592EA7"/>
    <w:rsid w:val="00595AE9"/>
    <w:rsid w:val="005C398A"/>
    <w:rsid w:val="005D3672"/>
    <w:rsid w:val="005E239D"/>
    <w:rsid w:val="005F253B"/>
    <w:rsid w:val="005F755F"/>
    <w:rsid w:val="005F7B49"/>
    <w:rsid w:val="00633FD9"/>
    <w:rsid w:val="00637025"/>
    <w:rsid w:val="006512E3"/>
    <w:rsid w:val="00653A8A"/>
    <w:rsid w:val="00653BB2"/>
    <w:rsid w:val="0065629B"/>
    <w:rsid w:val="00680FBF"/>
    <w:rsid w:val="0069099D"/>
    <w:rsid w:val="006C56AC"/>
    <w:rsid w:val="006D775C"/>
    <w:rsid w:val="006E7F29"/>
    <w:rsid w:val="006F458F"/>
    <w:rsid w:val="00714436"/>
    <w:rsid w:val="00746EA0"/>
    <w:rsid w:val="00751F81"/>
    <w:rsid w:val="007612BF"/>
    <w:rsid w:val="0077408E"/>
    <w:rsid w:val="00787529"/>
    <w:rsid w:val="007C067C"/>
    <w:rsid w:val="007C235A"/>
    <w:rsid w:val="007C4535"/>
    <w:rsid w:val="007D6C06"/>
    <w:rsid w:val="007F1638"/>
    <w:rsid w:val="007F62A8"/>
    <w:rsid w:val="007F6827"/>
    <w:rsid w:val="008052FC"/>
    <w:rsid w:val="00840523"/>
    <w:rsid w:val="0084326C"/>
    <w:rsid w:val="00843A2C"/>
    <w:rsid w:val="00855EAC"/>
    <w:rsid w:val="008730B7"/>
    <w:rsid w:val="00885A7C"/>
    <w:rsid w:val="008C0872"/>
    <w:rsid w:val="008C1D23"/>
    <w:rsid w:val="008C2F20"/>
    <w:rsid w:val="008E0B07"/>
    <w:rsid w:val="008F6EA7"/>
    <w:rsid w:val="00901518"/>
    <w:rsid w:val="00911B33"/>
    <w:rsid w:val="00941EA2"/>
    <w:rsid w:val="009443EA"/>
    <w:rsid w:val="009929EF"/>
    <w:rsid w:val="0099722F"/>
    <w:rsid w:val="009B112D"/>
    <w:rsid w:val="009D4928"/>
    <w:rsid w:val="009F0D70"/>
    <w:rsid w:val="00A009BE"/>
    <w:rsid w:val="00A036E5"/>
    <w:rsid w:val="00A17A17"/>
    <w:rsid w:val="00A208A1"/>
    <w:rsid w:val="00A330FA"/>
    <w:rsid w:val="00A44CB6"/>
    <w:rsid w:val="00A55132"/>
    <w:rsid w:val="00A57FDF"/>
    <w:rsid w:val="00A73960"/>
    <w:rsid w:val="00A82F2E"/>
    <w:rsid w:val="00A9722B"/>
    <w:rsid w:val="00B03090"/>
    <w:rsid w:val="00B049BB"/>
    <w:rsid w:val="00B0573D"/>
    <w:rsid w:val="00B05A2C"/>
    <w:rsid w:val="00B066DF"/>
    <w:rsid w:val="00B347F0"/>
    <w:rsid w:val="00B44FC8"/>
    <w:rsid w:val="00B728BF"/>
    <w:rsid w:val="00B77855"/>
    <w:rsid w:val="00BA0AF5"/>
    <w:rsid w:val="00BA1F70"/>
    <w:rsid w:val="00BC730F"/>
    <w:rsid w:val="00BD4B85"/>
    <w:rsid w:val="00BF0417"/>
    <w:rsid w:val="00C02B28"/>
    <w:rsid w:val="00C053A0"/>
    <w:rsid w:val="00C05CB0"/>
    <w:rsid w:val="00C066D6"/>
    <w:rsid w:val="00C11248"/>
    <w:rsid w:val="00C2288B"/>
    <w:rsid w:val="00C273FE"/>
    <w:rsid w:val="00C521FD"/>
    <w:rsid w:val="00C8524E"/>
    <w:rsid w:val="00CC752A"/>
    <w:rsid w:val="00CF2CF8"/>
    <w:rsid w:val="00CF7962"/>
    <w:rsid w:val="00D026DD"/>
    <w:rsid w:val="00D249F9"/>
    <w:rsid w:val="00D40F22"/>
    <w:rsid w:val="00D43D9A"/>
    <w:rsid w:val="00D63CF2"/>
    <w:rsid w:val="00D720AF"/>
    <w:rsid w:val="00D73FB7"/>
    <w:rsid w:val="00D82C10"/>
    <w:rsid w:val="00D85070"/>
    <w:rsid w:val="00DA40C3"/>
    <w:rsid w:val="00DF6015"/>
    <w:rsid w:val="00E216E6"/>
    <w:rsid w:val="00E21F01"/>
    <w:rsid w:val="00E34B1F"/>
    <w:rsid w:val="00E41008"/>
    <w:rsid w:val="00E4379D"/>
    <w:rsid w:val="00E640DF"/>
    <w:rsid w:val="00E977F5"/>
    <w:rsid w:val="00EA13ED"/>
    <w:rsid w:val="00EB2D69"/>
    <w:rsid w:val="00EC0818"/>
    <w:rsid w:val="00ED59C9"/>
    <w:rsid w:val="00EE3E85"/>
    <w:rsid w:val="00EF2B7A"/>
    <w:rsid w:val="00EF69F2"/>
    <w:rsid w:val="00F103F0"/>
    <w:rsid w:val="00F260CB"/>
    <w:rsid w:val="00F31CE2"/>
    <w:rsid w:val="00F3699A"/>
    <w:rsid w:val="00F4121B"/>
    <w:rsid w:val="00F51780"/>
    <w:rsid w:val="00F6564F"/>
    <w:rsid w:val="00F7366F"/>
    <w:rsid w:val="00F82A80"/>
    <w:rsid w:val="00F93ABC"/>
    <w:rsid w:val="00FA52F2"/>
    <w:rsid w:val="00FB0C43"/>
    <w:rsid w:val="00FC4CE4"/>
    <w:rsid w:val="00FD23E6"/>
    <w:rsid w:val="00FD2E31"/>
    <w:rsid w:val="00FF38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58378"/>
  <w15:docId w15:val="{7562B8C6-7546-437E-AFEE-15902C95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customStyle="1" w:styleId="AppendixRef0">
    <w:name w:val="Appendix_Ref"/>
    <w:basedOn w:val="Annexref"/>
    <w:next w:val="Appendixtitle"/>
    <w:rsid w:val="00C02B28"/>
    <w:pPr>
      <w:spacing w:after="0"/>
    </w:pPr>
    <w:rPr>
      <w:rFonts w:ascii="Times New Roman" w:hAnsi="Times New Roman"/>
    </w:rPr>
  </w:style>
  <w:style w:type="paragraph" w:styleId="CommentSubject">
    <w:name w:val="annotation subject"/>
    <w:basedOn w:val="CommentText"/>
    <w:next w:val="CommentText"/>
    <w:link w:val="CommentSubjectChar"/>
    <w:rsid w:val="005638D8"/>
    <w:rPr>
      <w:b/>
      <w:bCs/>
    </w:rPr>
  </w:style>
  <w:style w:type="character" w:customStyle="1" w:styleId="CommentSubjectChar">
    <w:name w:val="Comment Subject Char"/>
    <w:basedOn w:val="CommentTextChar"/>
    <w:link w:val="CommentSubject"/>
    <w:rsid w:val="005638D8"/>
    <w:rPr>
      <w:rFonts w:ascii="Calibri" w:hAnsi="Calibri"/>
      <w:b/>
      <w:bCs/>
      <w:lang w:val="en-GB" w:eastAsia="en-US"/>
    </w:rPr>
  </w:style>
  <w:style w:type="paragraph" w:styleId="ListParagraph">
    <w:name w:val="List Paragraph"/>
    <w:basedOn w:val="Normal"/>
    <w:uiPriority w:val="34"/>
    <w:qFormat/>
    <w:rsid w:val="00F260CB"/>
    <w:pPr>
      <w:ind w:left="720"/>
      <w:contextualSpacing/>
    </w:pPr>
  </w:style>
  <w:style w:type="paragraph" w:styleId="Revision">
    <w:name w:val="Revision"/>
    <w:hidden/>
    <w:semiHidden/>
    <w:rsid w:val="00190C38"/>
    <w:rPr>
      <w:rFonts w:ascii="Calibri" w:hAnsi="Calibri"/>
      <w:sz w:val="24"/>
      <w:lang w:eastAsia="en-US"/>
    </w:rPr>
  </w:style>
  <w:style w:type="character" w:styleId="UnresolvedMention">
    <w:name w:val="Unresolved Mention"/>
    <w:basedOn w:val="DefaultParagraphFont"/>
    <w:uiPriority w:val="99"/>
    <w:semiHidden/>
    <w:unhideWhenUsed/>
    <w:rsid w:val="00502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54217335">
      <w:bodyDiv w:val="1"/>
      <w:marLeft w:val="0"/>
      <w:marRight w:val="0"/>
      <w:marTop w:val="0"/>
      <w:marBottom w:val="0"/>
      <w:divBdr>
        <w:top w:val="none" w:sz="0" w:space="0" w:color="auto"/>
        <w:left w:val="none" w:sz="0" w:space="0" w:color="auto"/>
        <w:bottom w:val="none" w:sz="0" w:space="0" w:color="auto"/>
        <w:right w:val="none" w:sz="0" w:space="0" w:color="auto"/>
      </w:divBdr>
    </w:div>
    <w:div w:id="1530332018">
      <w:bodyDiv w:val="1"/>
      <w:marLeft w:val="0"/>
      <w:marRight w:val="0"/>
      <w:marTop w:val="0"/>
      <w:marBottom w:val="0"/>
      <w:divBdr>
        <w:top w:val="none" w:sz="0" w:space="0" w:color="auto"/>
        <w:left w:val="none" w:sz="0" w:space="0" w:color="auto"/>
        <w:bottom w:val="none" w:sz="0" w:space="0" w:color="auto"/>
        <w:right w:val="none" w:sz="0" w:space="0" w:color="auto"/>
      </w:divBdr>
    </w:div>
    <w:div w:id="17443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u.int/" TargetMode="External"/><Relationship Id="rId12" Type="http://schemas.openxmlformats.org/officeDocument/2006/relationships/hyperlink" Target="mailto:tsg15rgafr@lists.itu.i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regionalgroups/sg15-afr/Pages/default.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sbsg15@itu.int" TargetMode="External"/><Relationship Id="rId4" Type="http://schemas.openxmlformats.org/officeDocument/2006/relationships/webSettings" Target="webSettings.xml"/><Relationship Id="rId9" Type="http://schemas.openxmlformats.org/officeDocument/2006/relationships/hyperlink" Target="http://www.itu.int/en/ITU-T/60/Pages/default.asp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ITU-T</dc:creator>
  <cp:keywords/>
  <dc:description/>
  <cp:lastModifiedBy>Braud, Olivia</cp:lastModifiedBy>
  <cp:revision>57</cp:revision>
  <cp:lastPrinted>2025-11-25T09:12:00Z</cp:lastPrinted>
  <dcterms:created xsi:type="dcterms:W3CDTF">2025-04-14T05:51:00Z</dcterms:created>
  <dcterms:modified xsi:type="dcterms:W3CDTF">2025-11-25T09:13:00Z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0x0101009084DEBE2F564140BF968F7D2BBBC12B</vt:lpwstr>
  </property>
</Properties>
</file>