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08BD19A3" w14:textId="77777777" w:rsidTr="00D517B2">
        <w:trPr>
          <w:cantSplit/>
          <w:trHeight w:val="1134"/>
        </w:trPr>
        <w:tc>
          <w:tcPr>
            <w:tcW w:w="798" w:type="pct"/>
          </w:tcPr>
          <w:p w14:paraId="006C3004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4F7226A1" wp14:editId="6940CA6C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517AA972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69C369C2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1F046ACA" w14:textId="77777777" w:rsidTr="001E2788">
        <w:trPr>
          <w:cantSplit/>
          <w:jc w:val="center"/>
        </w:trPr>
        <w:tc>
          <w:tcPr>
            <w:tcW w:w="810" w:type="pct"/>
          </w:tcPr>
          <w:p w14:paraId="598D33BE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1906DC56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373FA0B1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57FFA3EC" w14:textId="77777777" w:rsidTr="001E2788">
        <w:trPr>
          <w:cantSplit/>
          <w:jc w:val="center"/>
        </w:trPr>
        <w:tc>
          <w:tcPr>
            <w:tcW w:w="810" w:type="pct"/>
          </w:tcPr>
          <w:p w14:paraId="07817B9D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0D6FDA4E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17169285" w14:textId="3DC8870C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6460FD">
              <w:rPr>
                <w:position w:val="2"/>
              </w:rPr>
              <w:t>10</w:t>
            </w:r>
            <w:r w:rsidR="006460FD">
              <w:rPr>
                <w:rFonts w:hint="cs"/>
                <w:position w:val="2"/>
                <w:rtl/>
                <w:lang w:bidi="ar-EG"/>
              </w:rPr>
              <w:t xml:space="preserve"> نوفمبر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2025</w:t>
            </w:r>
          </w:p>
        </w:tc>
      </w:tr>
      <w:tr w:rsidR="00372F67" w:rsidRPr="00D517B2" w14:paraId="3C1249B8" w14:textId="77777777" w:rsidTr="001E2788">
        <w:trPr>
          <w:cantSplit/>
          <w:jc w:val="center"/>
        </w:trPr>
        <w:tc>
          <w:tcPr>
            <w:tcW w:w="810" w:type="pct"/>
          </w:tcPr>
          <w:p w14:paraId="05408A00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17FADFBE" w14:textId="3AA1DD3E" w:rsidR="00372F67" w:rsidRPr="00D517B2" w:rsidRDefault="00372F67" w:rsidP="006460FD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 w:rsidR="006460FD">
              <w:rPr>
                <w:b/>
                <w:position w:val="2"/>
              </w:rPr>
              <w:t>91</w:t>
            </w:r>
            <w:r>
              <w:rPr>
                <w:b/>
                <w:position w:val="2"/>
              </w:rPr>
              <w:br/>
            </w:r>
            <w:r w:rsidR="006460FD" w:rsidRPr="006460FD">
              <w:rPr>
                <w:bCs/>
                <w:position w:val="2"/>
                <w:lang w:val="en-GB"/>
              </w:rPr>
              <w:t>SG3/MA</w:t>
            </w:r>
          </w:p>
        </w:tc>
        <w:tc>
          <w:tcPr>
            <w:tcW w:w="2206" w:type="pct"/>
            <w:vMerge w:val="restart"/>
          </w:tcPr>
          <w:p w14:paraId="0E664947" w14:textId="77777777" w:rsidR="00372F67" w:rsidRPr="005731DD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5731DD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0515E6B0" w14:textId="03ECE007" w:rsidR="00372F67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460FD">
              <w:rPr>
                <w:rFonts w:hint="cs"/>
                <w:position w:val="2"/>
                <w:rtl/>
              </w:rPr>
              <w:t>-</w:t>
            </w:r>
            <w:r w:rsidRPr="006460FD">
              <w:rPr>
                <w:position w:val="2"/>
                <w:rtl/>
              </w:rPr>
              <w:tab/>
            </w:r>
            <w:r w:rsidRPr="006460FD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315B26D7" w14:textId="73530BC0" w:rsidR="006460FD" w:rsidRPr="006460FD" w:rsidRDefault="006460FD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460FD">
              <w:rPr>
                <w:rFonts w:hint="cs"/>
                <w:position w:val="2"/>
                <w:rtl/>
              </w:rPr>
              <w:t>-</w:t>
            </w:r>
            <w:r w:rsidRPr="006460FD">
              <w:rPr>
                <w:position w:val="2"/>
                <w:rtl/>
              </w:rPr>
              <w:tab/>
            </w:r>
            <w:r>
              <w:rPr>
                <w:rFonts w:hint="cs"/>
                <w:position w:val="2"/>
                <w:rtl/>
              </w:rPr>
              <w:t xml:space="preserve">دولة فلسطين (القرار </w:t>
            </w:r>
            <w:r>
              <w:rPr>
                <w:position w:val="2"/>
              </w:rPr>
              <w:t>99</w:t>
            </w:r>
            <w:r>
              <w:rPr>
                <w:rFonts w:hint="cs"/>
                <w:position w:val="2"/>
                <w:rtl/>
                <w:lang w:bidi="ar-EG"/>
              </w:rPr>
              <w:t xml:space="preserve"> (المراجَع في دبي، </w:t>
            </w:r>
            <w:r>
              <w:rPr>
                <w:position w:val="2"/>
                <w:lang w:bidi="ar-EG"/>
              </w:rPr>
              <w:t>2018</w:t>
            </w:r>
            <w:r>
              <w:rPr>
                <w:rFonts w:hint="cs"/>
                <w:position w:val="2"/>
                <w:rtl/>
                <w:lang w:bidi="ar-EG"/>
              </w:rPr>
              <w:t>)</w:t>
            </w:r>
            <w:r w:rsidR="00CF127F">
              <w:rPr>
                <w:rFonts w:hint="cs"/>
                <w:position w:val="2"/>
                <w:rtl/>
                <w:lang w:bidi="ar-EG"/>
              </w:rPr>
              <w:t>)</w:t>
            </w:r>
            <w:r w:rsidRPr="006460FD">
              <w:rPr>
                <w:rFonts w:hint="cs"/>
                <w:position w:val="2"/>
                <w:rtl/>
              </w:rPr>
              <w:t>؛</w:t>
            </w:r>
          </w:p>
          <w:p w14:paraId="343FA2C3" w14:textId="77777777" w:rsidR="00372F67" w:rsidRPr="006460FD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6460FD">
              <w:rPr>
                <w:rFonts w:hint="cs"/>
                <w:position w:val="2"/>
                <w:rtl/>
              </w:rPr>
              <w:t>-</w:t>
            </w:r>
            <w:r w:rsidRPr="006460FD">
              <w:rPr>
                <w:position w:val="2"/>
                <w:rtl/>
              </w:rPr>
              <w:tab/>
            </w:r>
            <w:r w:rsidRPr="006460FD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0853EEDB" w14:textId="77777777" w:rsidR="00372F67" w:rsidRPr="006460FD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6460FD">
              <w:rPr>
                <w:rFonts w:hint="cs"/>
                <w:position w:val="2"/>
                <w:rtl/>
              </w:rPr>
              <w:t>-</w:t>
            </w:r>
            <w:r w:rsidRPr="006460FD">
              <w:rPr>
                <w:position w:val="2"/>
                <w:rtl/>
              </w:rPr>
              <w:tab/>
            </w:r>
            <w:r w:rsidRPr="006460FD">
              <w:rPr>
                <w:rFonts w:hint="cs"/>
                <w:position w:val="2"/>
                <w:rtl/>
              </w:rPr>
              <w:t>المنتسبين إلى قطاع تقييس الاتصالات؛</w:t>
            </w:r>
          </w:p>
          <w:p w14:paraId="16FEFD23" w14:textId="77777777" w:rsidR="00372F67" w:rsidRPr="006460FD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460FD">
              <w:rPr>
                <w:rFonts w:hint="cs"/>
                <w:position w:val="2"/>
                <w:rtl/>
              </w:rPr>
              <w:t>-</w:t>
            </w:r>
            <w:r w:rsidRPr="006460FD">
              <w:rPr>
                <w:position w:val="2"/>
                <w:rtl/>
              </w:rPr>
              <w:tab/>
            </w:r>
            <w:r w:rsidRPr="006460FD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6460FD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  <w:p w14:paraId="4F41D652" w14:textId="77777777" w:rsidR="00372F67" w:rsidRPr="006460FD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6460FD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2BC7E0E1" w14:textId="2A0F69ED" w:rsidR="00372F67" w:rsidRPr="006460FD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6460FD">
              <w:rPr>
                <w:rFonts w:hint="cs"/>
                <w:position w:val="2"/>
                <w:rtl/>
              </w:rPr>
              <w:t>-</w:t>
            </w:r>
            <w:r w:rsidRPr="006460FD">
              <w:rPr>
                <w:position w:val="2"/>
                <w:rtl/>
              </w:rPr>
              <w:tab/>
            </w:r>
            <w:r w:rsidR="00CF127F" w:rsidRPr="00C66ACE">
              <w:rPr>
                <w:rFonts w:eastAsia="Times New Roman" w:hint="eastAsia"/>
                <w:position w:val="2"/>
                <w:rtl/>
                <w:lang w:eastAsia="en-US"/>
              </w:rPr>
              <w:t>رئيس</w:t>
            </w:r>
            <w:r w:rsidR="00CF127F" w:rsidRPr="00C66ACE">
              <w:rPr>
                <w:rFonts w:eastAsia="Times New Roman"/>
                <w:position w:val="2"/>
                <w:rtl/>
                <w:lang w:eastAsia="en-US"/>
              </w:rPr>
              <w:t xml:space="preserve"> </w:t>
            </w:r>
            <w:r w:rsidR="00CF127F" w:rsidRPr="00C66ACE">
              <w:rPr>
                <w:rFonts w:eastAsia="Times New Roman" w:hint="eastAsia"/>
                <w:position w:val="2"/>
                <w:rtl/>
                <w:lang w:eastAsia="en-US"/>
              </w:rPr>
              <w:t>لجنة</w:t>
            </w:r>
            <w:r w:rsidR="00CF127F" w:rsidRPr="00C66ACE">
              <w:rPr>
                <w:rFonts w:eastAsia="Times New Roman"/>
                <w:position w:val="2"/>
                <w:rtl/>
                <w:lang w:eastAsia="en-US"/>
              </w:rPr>
              <w:t xml:space="preserve"> </w:t>
            </w:r>
            <w:r w:rsidR="00CF127F" w:rsidRPr="00C66ACE">
              <w:rPr>
                <w:rFonts w:eastAsia="Times New Roman" w:hint="eastAsia"/>
                <w:position w:val="2"/>
                <w:rtl/>
                <w:lang w:eastAsia="en-US"/>
              </w:rPr>
              <w:t>الدراسات </w:t>
            </w:r>
            <w:r w:rsidR="00CF127F" w:rsidRPr="00C66ACE">
              <w:rPr>
                <w:rFonts w:eastAsia="Times New Roman"/>
                <w:position w:val="2"/>
                <w:rtl/>
                <w:lang w:eastAsia="en-US"/>
              </w:rPr>
              <w:t xml:space="preserve">3 </w:t>
            </w:r>
            <w:r w:rsidR="00CF127F" w:rsidRPr="00C66ACE">
              <w:rPr>
                <w:rFonts w:eastAsia="Times New Roman" w:hint="cs"/>
                <w:position w:val="2"/>
                <w:rtl/>
                <w:lang w:eastAsia="en-US"/>
              </w:rPr>
              <w:t xml:space="preserve">بقطاع تقييس الاتصالات </w:t>
            </w:r>
            <w:r w:rsidR="00CF127F" w:rsidRPr="00C66ACE">
              <w:rPr>
                <w:rFonts w:eastAsia="Times New Roman" w:hint="eastAsia"/>
                <w:position w:val="2"/>
                <w:rtl/>
                <w:lang w:eastAsia="en-US" w:bidi="ar-EG"/>
              </w:rPr>
              <w:t>ونوابه</w:t>
            </w:r>
            <w:r w:rsidRPr="00C66ACE">
              <w:rPr>
                <w:rFonts w:eastAsia="Times New Roman" w:hint="eastAsia"/>
                <w:position w:val="2"/>
                <w:rtl/>
                <w:lang w:eastAsia="en-US"/>
              </w:rPr>
              <w:t>؛</w:t>
            </w:r>
          </w:p>
          <w:p w14:paraId="2E0AF074" w14:textId="77777777" w:rsidR="00372F67" w:rsidRPr="006460FD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6460FD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6460FD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6460FD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74B76E60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6460FD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6460FD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372F67" w:rsidRPr="00D517B2" w14:paraId="51723DC9" w14:textId="77777777" w:rsidTr="001E2788">
        <w:trPr>
          <w:cantSplit/>
          <w:jc w:val="center"/>
        </w:trPr>
        <w:tc>
          <w:tcPr>
            <w:tcW w:w="810" w:type="pct"/>
          </w:tcPr>
          <w:p w14:paraId="24A2E09A" w14:textId="340A252B" w:rsidR="00372F67" w:rsidRPr="007C61E6" w:rsidRDefault="006460FD" w:rsidP="001E2788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7C61E6">
              <w:rPr>
                <w:rFonts w:hint="cs"/>
                <w:position w:val="2"/>
                <w:rtl/>
                <w:lang w:bidi="ar-EG"/>
              </w:rPr>
              <w:t>ال</w:t>
            </w:r>
            <w:r w:rsidRPr="007C61E6">
              <w:rPr>
                <w:rFonts w:hint="cs"/>
                <w:position w:val="2"/>
                <w:rtl/>
                <w:lang w:bidi="ar-SY"/>
              </w:rPr>
              <w:t>هاتف</w:t>
            </w:r>
            <w:r w:rsidRPr="007C61E6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178F35BC" w14:textId="19998F22" w:rsidR="00372F67" w:rsidRPr="00D517B2" w:rsidRDefault="006460FD" w:rsidP="006460FD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6460FD">
              <w:rPr>
                <w:position w:val="2"/>
                <w:lang w:val="en-GB"/>
              </w:rPr>
              <w:t>+41 22 730 6828</w:t>
            </w:r>
          </w:p>
        </w:tc>
        <w:tc>
          <w:tcPr>
            <w:tcW w:w="2206" w:type="pct"/>
            <w:vMerge/>
          </w:tcPr>
          <w:p w14:paraId="6C0D3334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286CFF4C" w14:textId="77777777" w:rsidTr="001E2788">
        <w:trPr>
          <w:cantSplit/>
          <w:jc w:val="center"/>
        </w:trPr>
        <w:tc>
          <w:tcPr>
            <w:tcW w:w="810" w:type="pct"/>
          </w:tcPr>
          <w:p w14:paraId="26B93771" w14:textId="20917642" w:rsidR="00372F67" w:rsidRPr="007C61E6" w:rsidRDefault="006460FD" w:rsidP="001E278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7C61E6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2A90A159" w14:textId="11E699F4" w:rsidR="00372F67" w:rsidRPr="006460FD" w:rsidRDefault="006460FD" w:rsidP="006460FD">
            <w:pPr>
              <w:spacing w:before="80" w:after="60" w:line="300" w:lineRule="exact"/>
              <w:jc w:val="left"/>
              <w:rPr>
                <w:position w:val="2"/>
                <w:rtl/>
                <w:lang w:val="en-GB"/>
              </w:rPr>
            </w:pPr>
            <w:r w:rsidRPr="006460FD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098AAF1F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443B221F" w14:textId="77777777" w:rsidTr="001E2788">
        <w:trPr>
          <w:cantSplit/>
          <w:jc w:val="center"/>
        </w:trPr>
        <w:tc>
          <w:tcPr>
            <w:tcW w:w="810" w:type="pct"/>
          </w:tcPr>
          <w:p w14:paraId="788AC193" w14:textId="074DE479" w:rsidR="00372F67" w:rsidRPr="007C61E6" w:rsidRDefault="006460FD" w:rsidP="001E278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7C61E6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7E3122BA" w14:textId="47D0CD2D" w:rsidR="00372F67" w:rsidRPr="00D517B2" w:rsidRDefault="006460FD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6460FD">
                <w:rPr>
                  <w:rFonts w:asciiTheme="minorHAnsi" w:eastAsia="Times New Roman" w:hAnsiTheme="minorHAnsi" w:cs="Calibri"/>
                  <w:color w:val="0000FF"/>
                  <w:u w:val="single"/>
                  <w:lang w:val="en-GB" w:eastAsia="en-US"/>
                </w:rPr>
                <w:t>tsbsg3@itu.int</w:t>
              </w:r>
            </w:hyperlink>
          </w:p>
        </w:tc>
        <w:tc>
          <w:tcPr>
            <w:tcW w:w="2206" w:type="pct"/>
            <w:vMerge/>
          </w:tcPr>
          <w:p w14:paraId="3E0E435D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4BCF5476" w14:textId="77777777" w:rsidTr="001E2788">
        <w:trPr>
          <w:cantSplit/>
          <w:jc w:val="center"/>
        </w:trPr>
        <w:tc>
          <w:tcPr>
            <w:tcW w:w="810" w:type="pct"/>
          </w:tcPr>
          <w:p w14:paraId="612B58B2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56F68EC1" w14:textId="0EFE4DC5" w:rsidR="00CE1C08" w:rsidRPr="00D517B2" w:rsidRDefault="006460FD" w:rsidP="00C66ACE">
            <w:pPr>
              <w:spacing w:before="80" w:after="60" w:line="300" w:lineRule="exact"/>
              <w:rPr>
                <w:position w:val="2"/>
                <w:rtl/>
              </w:rPr>
            </w:pPr>
            <w:r w:rsidRPr="006460FD">
              <w:rPr>
                <w:b/>
                <w:bCs/>
                <w:position w:val="2"/>
                <w:rtl/>
              </w:rPr>
              <w:t>حالة التوصية ITU-T D.1142 (D.IoTpolicy سابقاً) بعد اجتماع لجنة الدراسات 3 التابعة لقطاع تقييس الاتصالات (جنيف، 7 نوفمبر 2025)</w:t>
            </w:r>
          </w:p>
        </w:tc>
      </w:tr>
    </w:tbl>
    <w:p w14:paraId="6BE7FE3E" w14:textId="44A9C659" w:rsidR="00D517B2" w:rsidRPr="00D517B2" w:rsidRDefault="00D517B2" w:rsidP="007C61E6">
      <w:pPr>
        <w:spacing w:before="24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3E118663" w14:textId="77777777" w:rsidR="00D517B2" w:rsidRPr="00D517B2" w:rsidRDefault="00D517B2" w:rsidP="00D517B2">
      <w:pPr>
        <w:rPr>
          <w:rtl/>
          <w:lang w:bidi="ar-EG"/>
        </w:rPr>
      </w:pPr>
      <w:r w:rsidRPr="00CF127F">
        <w:rPr>
          <w:rFonts w:hint="cs"/>
          <w:rtl/>
        </w:rPr>
        <w:t>تحية طيبة وبعد،</w:t>
      </w:r>
    </w:p>
    <w:p w14:paraId="415D532A" w14:textId="3A1A8156" w:rsidR="00D517B2" w:rsidRDefault="006460FD" w:rsidP="006460FD">
      <w:pPr>
        <w:rPr>
          <w:rtl/>
        </w:rPr>
      </w:pPr>
      <w:r w:rsidRPr="006460FD">
        <w:rPr>
          <w:rtl/>
        </w:rPr>
        <w:t>1</w:t>
      </w:r>
      <w:r w:rsidRPr="006460FD">
        <w:rPr>
          <w:rtl/>
        </w:rPr>
        <w:tab/>
        <w:t xml:space="preserve">إلحاقاً </w:t>
      </w:r>
      <w:hyperlink r:id="rId10" w:history="1">
        <w:r w:rsidRPr="006460FD">
          <w:rPr>
            <w:rStyle w:val="Hyperlink"/>
            <w:rtl/>
          </w:rPr>
          <w:t>برسالة مكتب تقييس الاتص</w:t>
        </w:r>
        <w:r w:rsidRPr="006460FD">
          <w:rPr>
            <w:rStyle w:val="Hyperlink"/>
            <w:rtl/>
          </w:rPr>
          <w:t>ا</w:t>
        </w:r>
        <w:r w:rsidRPr="006460FD">
          <w:rPr>
            <w:rStyle w:val="Hyperlink"/>
            <w:rtl/>
          </w:rPr>
          <w:t>لات المعمَّمة 48</w:t>
        </w:r>
      </w:hyperlink>
      <w:r w:rsidRPr="006460FD">
        <w:rPr>
          <w:rtl/>
        </w:rPr>
        <w:t xml:space="preserve"> المؤرَّخة 4 يونيو 2025، وعملاً بالفقرة 5.9 من القرار 1 (المراجَع في جنيف، 2022)، أودُّ إفادتكم بأنَّ لجنة الدراسات 3 قد توصّلت إلى القرار التالي في جلستها العامة التي عُقدت في 7 نوفمبر 2025 في جنيف، فيما يتعلق بمشروع نصّ قطاع تقييس الاتصالات التالي:</w:t>
      </w:r>
    </w:p>
    <w:tbl>
      <w:tblPr>
        <w:bidiVisual/>
        <w:tblW w:w="97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781"/>
      </w:tblGrid>
      <w:tr w:rsidR="006460FD" w:rsidRPr="006460FD" w14:paraId="7055C8EC" w14:textId="77777777" w:rsidTr="006460FD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05C603" w14:textId="77777777" w:rsidR="006460FD" w:rsidRPr="006460FD" w:rsidRDefault="006460FD" w:rsidP="00C66ACE">
            <w:pPr>
              <w:pStyle w:val="TableHead"/>
            </w:pPr>
            <w:r w:rsidRPr="006460FD">
              <w:rPr>
                <w:rtl/>
              </w:rPr>
              <w:t>الرقم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8A34A3" w14:textId="77777777" w:rsidR="006460FD" w:rsidRPr="006460FD" w:rsidRDefault="006460FD" w:rsidP="00C66ACE">
            <w:pPr>
              <w:pStyle w:val="TableHead"/>
            </w:pPr>
            <w:r w:rsidRPr="006460FD">
              <w:rPr>
                <w:rtl/>
              </w:rPr>
              <w:t>العنوان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1218FF" w14:textId="77777777" w:rsidR="006460FD" w:rsidRPr="006460FD" w:rsidRDefault="006460FD" w:rsidP="00C66ACE">
            <w:pPr>
              <w:pStyle w:val="TableHead"/>
            </w:pPr>
            <w:r w:rsidRPr="006460FD">
              <w:rPr>
                <w:rtl/>
              </w:rPr>
              <w:t>القرار</w:t>
            </w:r>
          </w:p>
        </w:tc>
      </w:tr>
      <w:tr w:rsidR="006460FD" w:rsidRPr="006460FD" w14:paraId="3E0B1C84" w14:textId="77777777" w:rsidTr="006460FD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60A0138" w14:textId="77777777" w:rsidR="006460FD" w:rsidRPr="006460FD" w:rsidRDefault="006460FD" w:rsidP="00C66ACE">
            <w:pPr>
              <w:pStyle w:val="Tabletexte"/>
              <w:jc w:val="center"/>
            </w:pPr>
            <w:r w:rsidRPr="006460FD">
              <w:rPr>
                <w:rtl/>
              </w:rPr>
              <w:t>D.1142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8DD8201" w14:textId="77777777" w:rsidR="006460FD" w:rsidRPr="006460FD" w:rsidRDefault="006460FD" w:rsidP="00C66ACE">
            <w:pPr>
              <w:pStyle w:val="Tabletexte"/>
              <w:rPr>
                <w:rtl/>
                <w:lang w:bidi="en-GB"/>
              </w:rPr>
            </w:pPr>
            <w:r w:rsidRPr="006460FD">
              <w:rPr>
                <w:rtl/>
              </w:rPr>
              <w:t>المبادئ التوجيهية بشأن الجوانب الاقتصادية والسياساتية لإنترنت الأشياء (IoT)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4D15734" w14:textId="77777777" w:rsidR="006460FD" w:rsidRPr="006460FD" w:rsidRDefault="006460FD" w:rsidP="00C66ACE">
            <w:pPr>
              <w:pStyle w:val="Tabletexte"/>
              <w:jc w:val="center"/>
            </w:pPr>
            <w:r w:rsidRPr="006460FD">
              <w:rPr>
                <w:rtl/>
              </w:rPr>
              <w:t>تمت الموافق عليها</w:t>
            </w:r>
          </w:p>
        </w:tc>
      </w:tr>
    </w:tbl>
    <w:p w14:paraId="367D18F7" w14:textId="3D2F250C" w:rsidR="006460FD" w:rsidRPr="006460FD" w:rsidRDefault="006460FD" w:rsidP="00C66ACE">
      <w:pPr>
        <w:keepNext/>
        <w:keepLines/>
        <w:spacing w:before="240"/>
        <w:rPr>
          <w:lang w:val="ar-SA" w:bidi="ar-SY"/>
        </w:rPr>
      </w:pPr>
      <w:r w:rsidRPr="006460FD">
        <w:rPr>
          <w:rtl/>
        </w:rPr>
        <w:t>2</w:t>
      </w:r>
      <w:r w:rsidRPr="006460FD">
        <w:rPr>
          <w:rtl/>
        </w:rPr>
        <w:tab/>
        <w:t xml:space="preserve">ويمكن النفاذ إلى المعلومات المتاحة بشأن البراءات إلكترونياً من خلال </w:t>
      </w:r>
      <w:hyperlink r:id="rId11" w:history="1">
        <w:r w:rsidRPr="006460FD">
          <w:rPr>
            <w:rStyle w:val="Hyperlink"/>
            <w:rtl/>
          </w:rPr>
          <w:t>الموقع الإل</w:t>
        </w:r>
        <w:r w:rsidRPr="006460FD">
          <w:rPr>
            <w:rStyle w:val="Hyperlink"/>
            <w:rtl/>
          </w:rPr>
          <w:t>ك</w:t>
        </w:r>
        <w:r w:rsidRPr="006460FD">
          <w:rPr>
            <w:rStyle w:val="Hyperlink"/>
            <w:rtl/>
          </w:rPr>
          <w:t>تروني لقطاع تقييس الاتصالات</w:t>
        </w:r>
      </w:hyperlink>
      <w:r w:rsidRPr="006460FD">
        <w:rPr>
          <w:rtl/>
        </w:rPr>
        <w:t>.</w:t>
      </w:r>
      <w:hyperlink r:id="rId12" w:history="1"/>
    </w:p>
    <w:p w14:paraId="7833987D" w14:textId="67A4086D" w:rsidR="006460FD" w:rsidRPr="007C61E6" w:rsidRDefault="006460FD" w:rsidP="007C61E6">
      <w:r w:rsidRPr="006460FD">
        <w:rPr>
          <w:rtl/>
        </w:rPr>
        <w:t>3</w:t>
      </w:r>
      <w:r w:rsidRPr="006460FD">
        <w:rPr>
          <w:rtl/>
        </w:rPr>
        <w:tab/>
        <w:t>وسيُتاح نص التوصية المنشورة مسبقاً في الموقع الإلكتروني لقطاع تقييس الاتصالات عبر الرابط التالي</w:t>
      </w:r>
      <w:r w:rsidR="00DB1AB0">
        <w:rPr>
          <w:rFonts w:hint="cs"/>
          <w:rtl/>
        </w:rPr>
        <w:t>:</w:t>
      </w:r>
      <w:r w:rsidR="00DB1AB0">
        <w:rPr>
          <w:rtl/>
        </w:rPr>
        <w:tab/>
      </w:r>
      <w:r w:rsidR="00DB1AB0">
        <w:rPr>
          <w:rtl/>
        </w:rPr>
        <w:br/>
      </w:r>
      <w:hyperlink r:id="rId13" w:history="1">
        <w:r w:rsidR="00C66ACE" w:rsidRPr="0007264A">
          <w:rPr>
            <w:rStyle w:val="Hyperlink"/>
            <w:lang w:val="en-GB"/>
          </w:rPr>
          <w:t>https://www.itu.</w:t>
        </w:r>
        <w:r w:rsidR="00C66ACE" w:rsidRPr="0007264A">
          <w:rPr>
            <w:rStyle w:val="Hyperlink"/>
            <w:lang w:val="en-GB"/>
          </w:rPr>
          <w:t>i</w:t>
        </w:r>
        <w:r w:rsidR="00C66ACE" w:rsidRPr="0007264A">
          <w:rPr>
            <w:rStyle w:val="Hyperlink"/>
            <w:lang w:val="en-GB"/>
          </w:rPr>
          <w:t>nt/itu-t/recommendations/</w:t>
        </w:r>
      </w:hyperlink>
      <w:hyperlink r:id="rId14" w:history="1"/>
    </w:p>
    <w:p w14:paraId="25E08973" w14:textId="1EACD640" w:rsidR="006460FD" w:rsidRDefault="007C61E6" w:rsidP="007C61E6">
      <w:pPr>
        <w:rPr>
          <w:rtl/>
          <w:lang w:bidi="ar-SY"/>
        </w:rPr>
      </w:pPr>
      <w:r>
        <w:t>4</w:t>
      </w:r>
      <w:r w:rsidR="006460FD" w:rsidRPr="006460FD">
        <w:rPr>
          <w:rtl/>
        </w:rPr>
        <w:tab/>
        <w:t xml:space="preserve">وسوف ينشر الاتحاد </w:t>
      </w:r>
      <w:r w:rsidR="00CF127F">
        <w:rPr>
          <w:rFonts w:hint="cs"/>
          <w:rtl/>
          <w:lang w:bidi="ar-EG"/>
        </w:rPr>
        <w:t xml:space="preserve">الدولي للاتصالات </w:t>
      </w:r>
      <w:r w:rsidR="00CF127F">
        <w:rPr>
          <w:lang w:bidi="ar-EG"/>
        </w:rPr>
        <w:t>(ITU)</w:t>
      </w:r>
      <w:r w:rsidR="00CF127F">
        <w:rPr>
          <w:rFonts w:hint="cs"/>
          <w:rtl/>
          <w:lang w:bidi="ar-EG"/>
        </w:rPr>
        <w:t xml:space="preserve"> </w:t>
      </w:r>
      <w:r w:rsidR="006460FD" w:rsidRPr="006460FD">
        <w:rPr>
          <w:rtl/>
        </w:rPr>
        <w:t>نص التوصية الموافَق عليها في أقرب وقت ممكن.</w:t>
      </w:r>
    </w:p>
    <w:p w14:paraId="344C4BE0" w14:textId="669456D5" w:rsidR="00E84438" w:rsidRPr="00D517B2" w:rsidRDefault="00E30694" w:rsidP="00891703">
      <w:pPr>
        <w:spacing w:before="240"/>
        <w:jc w:val="left"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61F93839" wp14:editId="78F92F50">
            <wp:simplePos x="0" y="0"/>
            <wp:positionH relativeFrom="margin">
              <wp:posOffset>5352415</wp:posOffset>
            </wp:positionH>
            <wp:positionV relativeFrom="paragraph">
              <wp:posOffset>318770</wp:posOffset>
            </wp:positionV>
            <wp:extent cx="768350" cy="368300"/>
            <wp:effectExtent l="0" t="0" r="0" b="0"/>
            <wp:wrapNone/>
            <wp:docPr id="1033289777" name="Picture 3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89777" name="Picture 3" descr="A black and white tex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438" w:rsidRPr="00D517B2">
        <w:rPr>
          <w:rFonts w:hint="cs"/>
          <w:rtl/>
          <w:lang w:bidi="ar-EG"/>
        </w:rPr>
        <w:t>وتفضلوا بقبول فائق التقدير والاحترام.</w:t>
      </w:r>
    </w:p>
    <w:p w14:paraId="6538CF36" w14:textId="4BDC8983" w:rsidR="00DD6915" w:rsidRDefault="00807031" w:rsidP="007C61E6">
      <w:pPr>
        <w:spacing w:before="720" w:after="0"/>
        <w:jc w:val="left"/>
        <w:rPr>
          <w:lang w:bidi="ar-EG"/>
        </w:rPr>
      </w:pPr>
      <w:r>
        <w:rPr>
          <w:rFonts w:hint="cs"/>
          <w:rtl/>
          <w:lang w:bidi="ar-SY"/>
        </w:rPr>
        <w:t>سيزو أونوي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DD6915" w:rsidSect="007C61E6">
      <w:headerReference w:type="default" r:id="rId16"/>
      <w:footerReference w:type="first" r:id="rId17"/>
      <w:type w:val="oddPage"/>
      <w:pgSz w:w="11907" w:h="16840" w:code="9"/>
      <w:pgMar w:top="1418" w:right="1134" w:bottom="1134" w:left="1134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B5EA" w14:textId="77777777" w:rsidR="006460FD" w:rsidRDefault="006460FD" w:rsidP="006C3242">
      <w:pPr>
        <w:spacing w:before="0" w:line="240" w:lineRule="auto"/>
      </w:pPr>
      <w:r>
        <w:separator/>
      </w:r>
    </w:p>
  </w:endnote>
  <w:endnote w:type="continuationSeparator" w:id="0">
    <w:p w14:paraId="57B699B7" w14:textId="77777777" w:rsidR="006460FD" w:rsidRDefault="006460F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845E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8C90" w14:textId="77777777" w:rsidR="006460FD" w:rsidRDefault="006460FD" w:rsidP="006C3242">
      <w:pPr>
        <w:spacing w:before="0" w:line="240" w:lineRule="auto"/>
      </w:pPr>
      <w:r>
        <w:separator/>
      </w:r>
    </w:p>
  </w:footnote>
  <w:footnote w:type="continuationSeparator" w:id="0">
    <w:p w14:paraId="6A878AFE" w14:textId="77777777" w:rsidR="006460FD" w:rsidRDefault="006460F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7187" w14:textId="4A631ED9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DB1AB0">
      <w:rPr>
        <w:sz w:val="20"/>
        <w:szCs w:val="20"/>
        <w:lang w:bidi="ar-EG"/>
      </w:rPr>
      <w:t>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8531781">
    <w:abstractNumId w:val="9"/>
  </w:num>
  <w:num w:numId="2" w16cid:durableId="518786129">
    <w:abstractNumId w:val="7"/>
  </w:num>
  <w:num w:numId="3" w16cid:durableId="96950847">
    <w:abstractNumId w:val="6"/>
  </w:num>
  <w:num w:numId="4" w16cid:durableId="1323779975">
    <w:abstractNumId w:val="5"/>
  </w:num>
  <w:num w:numId="5" w16cid:durableId="1122111367">
    <w:abstractNumId w:val="4"/>
  </w:num>
  <w:num w:numId="6" w16cid:durableId="2052531192">
    <w:abstractNumId w:val="8"/>
  </w:num>
  <w:num w:numId="7" w16cid:durableId="26180864">
    <w:abstractNumId w:val="3"/>
  </w:num>
  <w:num w:numId="8" w16cid:durableId="1274288070">
    <w:abstractNumId w:val="2"/>
  </w:num>
  <w:num w:numId="9" w16cid:durableId="2082022351">
    <w:abstractNumId w:val="1"/>
  </w:num>
  <w:num w:numId="10" w16cid:durableId="992295912">
    <w:abstractNumId w:val="0"/>
  </w:num>
  <w:num w:numId="11" w16cid:durableId="782463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D"/>
    <w:rsid w:val="00002A63"/>
    <w:rsid w:val="0006468A"/>
    <w:rsid w:val="00090574"/>
    <w:rsid w:val="000C1C0E"/>
    <w:rsid w:val="000C548A"/>
    <w:rsid w:val="000E327F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5F329C"/>
    <w:rsid w:val="006019C6"/>
    <w:rsid w:val="006460FD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C61E6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D313F"/>
    <w:rsid w:val="009F17C2"/>
    <w:rsid w:val="00A47A5A"/>
    <w:rsid w:val="00A6683B"/>
    <w:rsid w:val="00A77C90"/>
    <w:rsid w:val="00A9156F"/>
    <w:rsid w:val="00A94CC7"/>
    <w:rsid w:val="00A97F94"/>
    <w:rsid w:val="00AA7EA2"/>
    <w:rsid w:val="00AB0BC9"/>
    <w:rsid w:val="00AF6B5C"/>
    <w:rsid w:val="00B03099"/>
    <w:rsid w:val="00B05BC8"/>
    <w:rsid w:val="00B35812"/>
    <w:rsid w:val="00B64B47"/>
    <w:rsid w:val="00B916A7"/>
    <w:rsid w:val="00BB0F08"/>
    <w:rsid w:val="00C002DE"/>
    <w:rsid w:val="00C53BF8"/>
    <w:rsid w:val="00C66157"/>
    <w:rsid w:val="00C66ACE"/>
    <w:rsid w:val="00C674FE"/>
    <w:rsid w:val="00C67501"/>
    <w:rsid w:val="00C75633"/>
    <w:rsid w:val="00CE1C08"/>
    <w:rsid w:val="00CE2EE1"/>
    <w:rsid w:val="00CE3349"/>
    <w:rsid w:val="00CE36E5"/>
    <w:rsid w:val="00CF127F"/>
    <w:rsid w:val="00CF27F5"/>
    <w:rsid w:val="00CF3FFD"/>
    <w:rsid w:val="00D10CCF"/>
    <w:rsid w:val="00D22846"/>
    <w:rsid w:val="00D517B2"/>
    <w:rsid w:val="00D76170"/>
    <w:rsid w:val="00D77D0F"/>
    <w:rsid w:val="00DA1CF0"/>
    <w:rsid w:val="00DB1AB0"/>
    <w:rsid w:val="00DC1E02"/>
    <w:rsid w:val="00DC24B4"/>
    <w:rsid w:val="00DC5FB0"/>
    <w:rsid w:val="00DD1EBB"/>
    <w:rsid w:val="00DD6915"/>
    <w:rsid w:val="00DF16DC"/>
    <w:rsid w:val="00E110A5"/>
    <w:rsid w:val="00E30694"/>
    <w:rsid w:val="00E45211"/>
    <w:rsid w:val="00E473C5"/>
    <w:rsid w:val="00E6463B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5B4826"/>
  <w15:chartTrackingRefBased/>
  <w15:docId w15:val="{863CA9EA-A117-44F5-A25A-2C741F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127F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CF1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itu-t/recommenda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itu.int/md/T25-TSB-CIR-0048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Arabic_HK</dc:creator>
  <cp:keywords/>
  <dc:description/>
  <cp:lastModifiedBy>Braud, Olivia</cp:lastModifiedBy>
  <cp:revision>5</cp:revision>
  <cp:lastPrinted>2025-11-18T09:57:00Z</cp:lastPrinted>
  <dcterms:created xsi:type="dcterms:W3CDTF">2025-11-17T07:18:00Z</dcterms:created>
  <dcterms:modified xsi:type="dcterms:W3CDTF">2025-11-18T10:03:00Z</dcterms:modified>
</cp:coreProperties>
</file>