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4E4107" w14:paraId="3D4A9373" w14:textId="77777777" w:rsidTr="00D517B2">
        <w:trPr>
          <w:cantSplit/>
          <w:trHeight w:val="1134"/>
        </w:trPr>
        <w:tc>
          <w:tcPr>
            <w:tcW w:w="798" w:type="pct"/>
          </w:tcPr>
          <w:p w14:paraId="1B1AB7E7" w14:textId="77777777" w:rsidR="00D517B2" w:rsidRPr="004E4107" w:rsidRDefault="00D517B2" w:rsidP="00D517B2">
            <w:pPr>
              <w:spacing w:before="0" w:line="240" w:lineRule="auto"/>
              <w:rPr>
                <w:b/>
                <w:bCs/>
                <w:rtl/>
                <w:lang w:bidi="ar-EG"/>
              </w:rPr>
            </w:pPr>
            <w:r w:rsidRPr="004E4107">
              <w:rPr>
                <w:noProof/>
              </w:rPr>
              <w:drawing>
                <wp:inline distT="0" distB="0" distL="0" distR="0" wp14:anchorId="65D44BB1" wp14:editId="1C68C31C">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B0DC6C6" w14:textId="77777777" w:rsidR="00D517B2" w:rsidRPr="004E4107" w:rsidRDefault="00D517B2" w:rsidP="00D517B2">
            <w:pPr>
              <w:spacing w:before="200"/>
              <w:rPr>
                <w:b/>
                <w:bCs/>
                <w:sz w:val="36"/>
                <w:szCs w:val="36"/>
                <w:rtl/>
              </w:rPr>
            </w:pPr>
            <w:r w:rsidRPr="004E4107">
              <w:rPr>
                <w:rFonts w:hint="cs"/>
                <w:b/>
                <w:bCs/>
                <w:sz w:val="36"/>
                <w:szCs w:val="36"/>
                <w:rtl/>
              </w:rPr>
              <w:t>الاتحـاد الدولـي للاتصـالات</w:t>
            </w:r>
          </w:p>
          <w:p w14:paraId="0A8F7A11" w14:textId="77777777" w:rsidR="00D517B2" w:rsidRPr="004E4107" w:rsidRDefault="00D517B2" w:rsidP="00D517B2">
            <w:pPr>
              <w:spacing w:before="60"/>
              <w:rPr>
                <w:b/>
                <w:bCs/>
                <w:sz w:val="28"/>
                <w:szCs w:val="28"/>
                <w:rtl/>
                <w:lang w:bidi="ar-EG"/>
              </w:rPr>
            </w:pPr>
            <w:r w:rsidRPr="004E4107">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399"/>
        <w:gridCol w:w="4679"/>
      </w:tblGrid>
      <w:tr w:rsidR="00D517B2" w:rsidRPr="004E4107" w14:paraId="40495E45" w14:textId="77777777" w:rsidTr="002A0897">
        <w:trPr>
          <w:cantSplit/>
          <w:jc w:val="center"/>
        </w:trPr>
        <w:tc>
          <w:tcPr>
            <w:tcW w:w="810" w:type="pct"/>
          </w:tcPr>
          <w:p w14:paraId="7CBA2041" w14:textId="77777777" w:rsidR="00D517B2" w:rsidRPr="004E4107" w:rsidRDefault="00D517B2" w:rsidP="006019C6">
            <w:pPr>
              <w:spacing w:before="80" w:line="300" w:lineRule="exact"/>
              <w:jc w:val="left"/>
              <w:rPr>
                <w:position w:val="2"/>
              </w:rPr>
            </w:pPr>
          </w:p>
        </w:tc>
        <w:tc>
          <w:tcPr>
            <w:tcW w:w="1763" w:type="pct"/>
          </w:tcPr>
          <w:p w14:paraId="0B74458B" w14:textId="77777777" w:rsidR="00D517B2" w:rsidRPr="004E4107" w:rsidRDefault="00D517B2" w:rsidP="006019C6">
            <w:pPr>
              <w:spacing w:before="80" w:line="300" w:lineRule="exact"/>
              <w:jc w:val="left"/>
              <w:rPr>
                <w:position w:val="2"/>
                <w:lang w:bidi="ar-EG"/>
              </w:rPr>
            </w:pPr>
          </w:p>
        </w:tc>
        <w:tc>
          <w:tcPr>
            <w:tcW w:w="2427" w:type="pct"/>
          </w:tcPr>
          <w:p w14:paraId="069C9694" w14:textId="448DFE29" w:rsidR="00D517B2" w:rsidRPr="004E4107" w:rsidRDefault="004E4107" w:rsidP="004E4107">
            <w:pPr>
              <w:spacing w:before="80" w:line="300" w:lineRule="exact"/>
              <w:jc w:val="left"/>
              <w:rPr>
                <w:position w:val="2"/>
                <w:rtl/>
                <w:lang w:bidi="ar-EG"/>
              </w:rPr>
            </w:pPr>
            <w:r w:rsidRPr="004E4107">
              <w:rPr>
                <w:position w:val="2"/>
                <w:rtl/>
              </w:rPr>
              <w:t>جنيف، 19 نوفمبر 2025</w:t>
            </w:r>
          </w:p>
        </w:tc>
      </w:tr>
      <w:tr w:rsidR="00F33852" w:rsidRPr="004E4107" w14:paraId="6359B5DC" w14:textId="77777777" w:rsidTr="002A0897">
        <w:trPr>
          <w:cantSplit/>
          <w:trHeight w:val="242"/>
          <w:jc w:val="center"/>
        </w:trPr>
        <w:tc>
          <w:tcPr>
            <w:tcW w:w="810" w:type="pct"/>
          </w:tcPr>
          <w:p w14:paraId="59B240E0" w14:textId="1C562F87" w:rsidR="00F33852" w:rsidRPr="004E4107" w:rsidRDefault="00F33852" w:rsidP="00F33852">
            <w:pPr>
              <w:spacing w:before="80" w:after="60" w:line="300" w:lineRule="exact"/>
              <w:jc w:val="left"/>
              <w:rPr>
                <w:b/>
                <w:bCs/>
                <w:position w:val="2"/>
              </w:rPr>
            </w:pPr>
            <w:r w:rsidRPr="004E4107">
              <w:rPr>
                <w:rFonts w:hint="cs"/>
                <w:b/>
                <w:bCs/>
                <w:position w:val="2"/>
                <w:rtl/>
              </w:rPr>
              <w:t>المرجع:</w:t>
            </w:r>
          </w:p>
        </w:tc>
        <w:tc>
          <w:tcPr>
            <w:tcW w:w="1763" w:type="pct"/>
          </w:tcPr>
          <w:p w14:paraId="266FB9FA" w14:textId="7F7BCFE2" w:rsidR="00F33852" w:rsidRPr="00403AF6" w:rsidRDefault="00F33852" w:rsidP="00FF36AF">
            <w:pPr>
              <w:spacing w:before="80" w:after="60" w:line="300" w:lineRule="exact"/>
              <w:jc w:val="left"/>
              <w:rPr>
                <w:bCs/>
                <w:position w:val="2"/>
              </w:rPr>
            </w:pPr>
            <w:r w:rsidRPr="004E4107">
              <w:rPr>
                <w:b/>
                <w:bCs/>
                <w:position w:val="2"/>
              </w:rPr>
              <w:t>TSB Circular 90</w:t>
            </w:r>
            <w:r w:rsidR="00FF36AF">
              <w:rPr>
                <w:b/>
                <w:bCs/>
                <w:position w:val="2"/>
              </w:rPr>
              <w:br/>
            </w:r>
            <w:r w:rsidRPr="00403AF6">
              <w:rPr>
                <w:bCs/>
                <w:position w:val="2"/>
              </w:rPr>
              <w:t>SG13/TK</w:t>
            </w:r>
          </w:p>
        </w:tc>
        <w:tc>
          <w:tcPr>
            <w:tcW w:w="2427" w:type="pct"/>
            <w:vMerge w:val="restart"/>
          </w:tcPr>
          <w:p w14:paraId="466664D7" w14:textId="77777777" w:rsidR="00F33852" w:rsidRPr="004E4107" w:rsidRDefault="00F33852" w:rsidP="004E4107">
            <w:pPr>
              <w:tabs>
                <w:tab w:val="clear" w:pos="794"/>
                <w:tab w:val="left" w:pos="284"/>
              </w:tabs>
              <w:spacing w:before="80" w:after="60" w:line="300" w:lineRule="exact"/>
              <w:jc w:val="left"/>
              <w:rPr>
                <w:b/>
                <w:bCs/>
                <w:position w:val="2"/>
              </w:rPr>
            </w:pPr>
            <w:r w:rsidRPr="004E4107">
              <w:rPr>
                <w:b/>
                <w:bCs/>
                <w:position w:val="2"/>
                <w:rtl/>
              </w:rPr>
              <w:t>إلى:</w:t>
            </w:r>
          </w:p>
          <w:p w14:paraId="61376784" w14:textId="343C1260" w:rsidR="00F33852" w:rsidRPr="004E4107" w:rsidRDefault="00F33852" w:rsidP="004E4107">
            <w:pPr>
              <w:tabs>
                <w:tab w:val="clear" w:pos="794"/>
                <w:tab w:val="left" w:pos="284"/>
              </w:tabs>
              <w:spacing w:before="80" w:after="60" w:line="300" w:lineRule="exact"/>
              <w:ind w:left="282" w:hanging="282"/>
              <w:jc w:val="left"/>
              <w:rPr>
                <w:position w:val="2"/>
              </w:rPr>
            </w:pPr>
            <w:r w:rsidRPr="004E4107">
              <w:rPr>
                <w:rFonts w:hint="cs"/>
                <w:position w:val="2"/>
                <w:rtl/>
              </w:rPr>
              <w:t>-</w:t>
            </w:r>
            <w:r w:rsidRPr="004E4107">
              <w:rPr>
                <w:position w:val="2"/>
                <w:rtl/>
              </w:rPr>
              <w:tab/>
              <w:t>إدارات الدول الأعضاء في الاتحاد؛</w:t>
            </w:r>
          </w:p>
          <w:p w14:paraId="258B23DF" w14:textId="7F99C4EA" w:rsidR="00F33852" w:rsidRPr="004E4107" w:rsidRDefault="00F33852" w:rsidP="004E4107">
            <w:pPr>
              <w:tabs>
                <w:tab w:val="clear" w:pos="794"/>
                <w:tab w:val="left" w:pos="284"/>
              </w:tabs>
              <w:spacing w:before="80" w:after="60" w:line="300" w:lineRule="exact"/>
              <w:ind w:left="282" w:hanging="282"/>
              <w:jc w:val="left"/>
              <w:rPr>
                <w:position w:val="2"/>
              </w:rPr>
            </w:pPr>
            <w:r w:rsidRPr="004E4107">
              <w:rPr>
                <w:rFonts w:hint="cs"/>
                <w:position w:val="2"/>
                <w:rtl/>
              </w:rPr>
              <w:t>-</w:t>
            </w:r>
            <w:r w:rsidRPr="004E4107">
              <w:rPr>
                <w:position w:val="2"/>
                <w:rtl/>
              </w:rPr>
              <w:tab/>
              <w:t>دولة فلسطين (القرار 99 (المراجَع في دبي، 2018))؛</w:t>
            </w:r>
          </w:p>
          <w:p w14:paraId="65EBF195" w14:textId="49242F42" w:rsidR="00F33852" w:rsidRPr="004E4107" w:rsidRDefault="00F33852" w:rsidP="004E4107">
            <w:pPr>
              <w:tabs>
                <w:tab w:val="clear" w:pos="794"/>
                <w:tab w:val="left" w:pos="284"/>
              </w:tabs>
              <w:spacing w:before="80" w:after="60" w:line="300" w:lineRule="exact"/>
              <w:ind w:left="282" w:hanging="282"/>
              <w:jc w:val="left"/>
              <w:rPr>
                <w:position w:val="2"/>
              </w:rPr>
            </w:pPr>
            <w:r w:rsidRPr="004E4107">
              <w:rPr>
                <w:rFonts w:hint="cs"/>
                <w:position w:val="2"/>
                <w:rtl/>
              </w:rPr>
              <w:t>-</w:t>
            </w:r>
            <w:r w:rsidRPr="004E4107">
              <w:rPr>
                <w:position w:val="2"/>
                <w:rtl/>
              </w:rPr>
              <w:tab/>
              <w:t>أعضاء قطاع تقييس الاتصالات؛</w:t>
            </w:r>
          </w:p>
          <w:p w14:paraId="279FDD96" w14:textId="0C35C056" w:rsidR="00F33852" w:rsidRPr="000111F8" w:rsidRDefault="00F33852" w:rsidP="004E4107">
            <w:pPr>
              <w:tabs>
                <w:tab w:val="clear" w:pos="794"/>
                <w:tab w:val="left" w:pos="284"/>
              </w:tabs>
              <w:spacing w:before="80" w:after="60" w:line="300" w:lineRule="exact"/>
              <w:ind w:left="282" w:hanging="282"/>
              <w:jc w:val="left"/>
              <w:rPr>
                <w:spacing w:val="-4"/>
                <w:position w:val="2"/>
              </w:rPr>
            </w:pPr>
            <w:r w:rsidRPr="000111F8">
              <w:rPr>
                <w:spacing w:val="-4"/>
                <w:position w:val="2"/>
                <w:rtl/>
              </w:rPr>
              <w:t>-</w:t>
            </w:r>
            <w:r w:rsidRPr="000111F8">
              <w:rPr>
                <w:spacing w:val="-4"/>
                <w:position w:val="2"/>
                <w:rtl/>
              </w:rPr>
              <w:tab/>
              <w:t>المنتسبين إلى لجنة الدراسات 13 بقطاع تقييس الاتصالات؛</w:t>
            </w:r>
          </w:p>
          <w:p w14:paraId="3B049205" w14:textId="0520500E" w:rsidR="00F33852" w:rsidRPr="006A73B8" w:rsidRDefault="00F33852" w:rsidP="004E4107">
            <w:pPr>
              <w:tabs>
                <w:tab w:val="clear" w:pos="794"/>
                <w:tab w:val="left" w:pos="284"/>
              </w:tabs>
              <w:spacing w:before="80" w:after="60" w:line="300" w:lineRule="exact"/>
              <w:ind w:left="282" w:hanging="282"/>
              <w:jc w:val="left"/>
              <w:rPr>
                <w:position w:val="2"/>
              </w:rPr>
            </w:pPr>
            <w:r w:rsidRPr="004E4107">
              <w:rPr>
                <w:rFonts w:hint="cs"/>
                <w:position w:val="2"/>
                <w:rtl/>
              </w:rPr>
              <w:t>-</w:t>
            </w:r>
            <w:r w:rsidRPr="004E4107">
              <w:rPr>
                <w:position w:val="2"/>
                <w:rtl/>
              </w:rPr>
              <w:tab/>
              <w:t>الهيئات الأكاديمية التابعة للاتحاد</w:t>
            </w:r>
          </w:p>
          <w:p w14:paraId="39628B14" w14:textId="77777777" w:rsidR="00F33852" w:rsidRPr="004E4107" w:rsidRDefault="00F33852" w:rsidP="004E4107">
            <w:pPr>
              <w:tabs>
                <w:tab w:val="clear" w:pos="794"/>
                <w:tab w:val="left" w:pos="284"/>
              </w:tabs>
              <w:spacing w:before="80" w:after="60" w:line="300" w:lineRule="exact"/>
              <w:jc w:val="left"/>
              <w:rPr>
                <w:b/>
                <w:bCs/>
                <w:position w:val="2"/>
              </w:rPr>
            </w:pPr>
            <w:r w:rsidRPr="004E4107">
              <w:rPr>
                <w:b/>
                <w:bCs/>
                <w:position w:val="2"/>
                <w:rtl/>
              </w:rPr>
              <w:t>نسخة إلى:</w:t>
            </w:r>
          </w:p>
          <w:p w14:paraId="147E6020" w14:textId="702BBDD6" w:rsidR="00F33852" w:rsidRPr="000111F8" w:rsidRDefault="00F33852" w:rsidP="004E4107">
            <w:pPr>
              <w:tabs>
                <w:tab w:val="clear" w:pos="794"/>
                <w:tab w:val="left" w:pos="284"/>
              </w:tabs>
              <w:spacing w:before="80" w:after="60" w:line="300" w:lineRule="exact"/>
              <w:ind w:left="282" w:hanging="282"/>
              <w:jc w:val="left"/>
              <w:rPr>
                <w:spacing w:val="-4"/>
                <w:position w:val="2"/>
              </w:rPr>
            </w:pPr>
            <w:r w:rsidRPr="000111F8">
              <w:rPr>
                <w:spacing w:val="-4"/>
                <w:position w:val="2"/>
                <w:rtl/>
              </w:rPr>
              <w:t>-</w:t>
            </w:r>
            <w:r w:rsidRPr="000111F8">
              <w:rPr>
                <w:spacing w:val="-4"/>
                <w:position w:val="2"/>
                <w:rtl/>
              </w:rPr>
              <w:tab/>
              <w:t>رئيس لجنة الدراسات 13 بقطاع تقييس الاتصالات ونوابه؛</w:t>
            </w:r>
          </w:p>
          <w:p w14:paraId="4F3A67A4" w14:textId="17F17D01" w:rsidR="00F33852" w:rsidRPr="004E4107" w:rsidRDefault="00F33852" w:rsidP="004E4107">
            <w:pPr>
              <w:tabs>
                <w:tab w:val="clear" w:pos="794"/>
                <w:tab w:val="left" w:pos="284"/>
              </w:tabs>
              <w:spacing w:before="80" w:after="60" w:line="300" w:lineRule="exact"/>
              <w:ind w:left="282" w:hanging="282"/>
              <w:jc w:val="left"/>
              <w:rPr>
                <w:position w:val="2"/>
              </w:rPr>
            </w:pPr>
            <w:r w:rsidRPr="004E4107">
              <w:rPr>
                <w:rFonts w:hint="cs"/>
                <w:position w:val="2"/>
                <w:rtl/>
              </w:rPr>
              <w:t>-</w:t>
            </w:r>
            <w:r w:rsidRPr="004E4107">
              <w:rPr>
                <w:position w:val="2"/>
                <w:rtl/>
              </w:rPr>
              <w:tab/>
              <w:t>مدير مكتب تنمية الاتصالات؛</w:t>
            </w:r>
          </w:p>
          <w:p w14:paraId="5DC82C56" w14:textId="26555F77" w:rsidR="00F33852" w:rsidRPr="004E4107" w:rsidRDefault="00F33852" w:rsidP="004E4107">
            <w:pPr>
              <w:tabs>
                <w:tab w:val="left" w:pos="284"/>
                <w:tab w:val="left" w:pos="4111"/>
              </w:tabs>
              <w:spacing w:before="80" w:after="60" w:line="300" w:lineRule="exact"/>
              <w:ind w:left="282" w:hanging="282"/>
              <w:rPr>
                <w:position w:val="2"/>
                <w:rtl/>
              </w:rPr>
            </w:pPr>
            <w:r w:rsidRPr="004E4107">
              <w:rPr>
                <w:rFonts w:hint="cs"/>
                <w:position w:val="2"/>
                <w:rtl/>
              </w:rPr>
              <w:t>-</w:t>
            </w:r>
            <w:r w:rsidRPr="004E4107">
              <w:rPr>
                <w:position w:val="2"/>
                <w:rtl/>
              </w:rPr>
              <w:tab/>
              <w:t>مدير مكتب الاتصالات الراديوية</w:t>
            </w:r>
          </w:p>
        </w:tc>
      </w:tr>
      <w:tr w:rsidR="004E4107" w:rsidRPr="004E4107" w14:paraId="69544966" w14:textId="77777777" w:rsidTr="002A0897">
        <w:trPr>
          <w:cantSplit/>
          <w:jc w:val="center"/>
        </w:trPr>
        <w:tc>
          <w:tcPr>
            <w:tcW w:w="810" w:type="pct"/>
          </w:tcPr>
          <w:p w14:paraId="33707C78" w14:textId="7734A569" w:rsidR="004E4107" w:rsidRPr="004E4107" w:rsidRDefault="00F33852" w:rsidP="004E4107">
            <w:pPr>
              <w:spacing w:before="80" w:after="60" w:line="300" w:lineRule="exact"/>
              <w:jc w:val="left"/>
              <w:rPr>
                <w:b/>
                <w:bCs/>
                <w:position w:val="2"/>
                <w:rtl/>
                <w:lang w:bidi="ar-EG"/>
              </w:rPr>
            </w:pPr>
            <w:r>
              <w:rPr>
                <w:rFonts w:hint="cs"/>
                <w:b/>
                <w:bCs/>
                <w:position w:val="2"/>
                <w:rtl/>
                <w:lang w:bidi="ar-EG"/>
              </w:rPr>
              <w:t>الهاتف</w:t>
            </w:r>
            <w:r w:rsidR="004E4107" w:rsidRPr="004E4107">
              <w:rPr>
                <w:rFonts w:hint="cs"/>
                <w:b/>
                <w:bCs/>
                <w:position w:val="2"/>
                <w:rtl/>
              </w:rPr>
              <w:t>:</w:t>
            </w:r>
          </w:p>
        </w:tc>
        <w:tc>
          <w:tcPr>
            <w:tcW w:w="1763" w:type="pct"/>
          </w:tcPr>
          <w:p w14:paraId="7D63E4A7" w14:textId="365CC2BB" w:rsidR="004E4107" w:rsidRPr="000111F8" w:rsidRDefault="004E4107" w:rsidP="004E4107">
            <w:pPr>
              <w:spacing w:before="80" w:after="60" w:line="300" w:lineRule="exact"/>
              <w:jc w:val="left"/>
              <w:rPr>
                <w:b/>
                <w:position w:val="2"/>
                <w:lang w:bidi="ar-EG"/>
              </w:rPr>
            </w:pPr>
            <w:r w:rsidRPr="000111F8">
              <w:rPr>
                <w:rFonts w:eastAsia="Times New Roman"/>
                <w:color w:val="000000"/>
                <w:lang w:val="en-GB" w:eastAsia="en-GB"/>
              </w:rPr>
              <w:t>+41 22 730 5126</w:t>
            </w:r>
          </w:p>
        </w:tc>
        <w:tc>
          <w:tcPr>
            <w:tcW w:w="2427" w:type="pct"/>
            <w:vMerge/>
          </w:tcPr>
          <w:p w14:paraId="7C47CB6F" w14:textId="77777777" w:rsidR="004E4107" w:rsidRPr="004E4107" w:rsidRDefault="004E4107" w:rsidP="004E4107">
            <w:pPr>
              <w:tabs>
                <w:tab w:val="left" w:pos="284"/>
                <w:tab w:val="left" w:pos="4111"/>
              </w:tabs>
              <w:spacing w:before="80" w:after="60" w:line="300" w:lineRule="exact"/>
              <w:ind w:left="284" w:hanging="284"/>
              <w:rPr>
                <w:position w:val="2"/>
              </w:rPr>
            </w:pPr>
          </w:p>
        </w:tc>
      </w:tr>
      <w:tr w:rsidR="004E4107" w:rsidRPr="004E4107" w14:paraId="5AD2AA4C" w14:textId="77777777" w:rsidTr="002A0897">
        <w:trPr>
          <w:cantSplit/>
          <w:jc w:val="center"/>
        </w:trPr>
        <w:tc>
          <w:tcPr>
            <w:tcW w:w="810" w:type="pct"/>
          </w:tcPr>
          <w:p w14:paraId="6190B36E" w14:textId="77777777" w:rsidR="004E4107" w:rsidRPr="004E4107" w:rsidRDefault="004E4107" w:rsidP="004E4107">
            <w:pPr>
              <w:spacing w:before="80" w:after="60" w:line="300" w:lineRule="exact"/>
              <w:jc w:val="left"/>
              <w:rPr>
                <w:b/>
                <w:bCs/>
                <w:position w:val="2"/>
                <w:rtl/>
              </w:rPr>
            </w:pPr>
            <w:r w:rsidRPr="004E4107">
              <w:rPr>
                <w:rFonts w:hint="cs"/>
                <w:b/>
                <w:bCs/>
                <w:position w:val="2"/>
                <w:rtl/>
              </w:rPr>
              <w:t>الفاكس:</w:t>
            </w:r>
          </w:p>
        </w:tc>
        <w:tc>
          <w:tcPr>
            <w:tcW w:w="1763" w:type="pct"/>
          </w:tcPr>
          <w:p w14:paraId="074079F3" w14:textId="70740663" w:rsidR="004E4107" w:rsidRPr="00F33852" w:rsidRDefault="004E4107" w:rsidP="004E4107">
            <w:pPr>
              <w:spacing w:before="80" w:after="60" w:line="300" w:lineRule="exact"/>
              <w:jc w:val="left"/>
              <w:rPr>
                <w:position w:val="2"/>
              </w:rPr>
            </w:pPr>
            <w:r w:rsidRPr="000111F8">
              <w:rPr>
                <w:rFonts w:eastAsia="Times New Roman"/>
                <w:color w:val="000000"/>
                <w:lang w:val="en-GB" w:eastAsia="en-GB"/>
              </w:rPr>
              <w:t>+41 22 730 5853</w:t>
            </w:r>
          </w:p>
        </w:tc>
        <w:tc>
          <w:tcPr>
            <w:tcW w:w="2427" w:type="pct"/>
            <w:vMerge/>
          </w:tcPr>
          <w:p w14:paraId="4F9323D6" w14:textId="77777777" w:rsidR="004E4107" w:rsidRPr="004E4107" w:rsidRDefault="004E4107" w:rsidP="004E4107">
            <w:pPr>
              <w:tabs>
                <w:tab w:val="left" w:pos="284"/>
                <w:tab w:val="left" w:pos="4111"/>
              </w:tabs>
              <w:spacing w:before="80" w:after="60" w:line="300" w:lineRule="exact"/>
              <w:ind w:left="284" w:hanging="284"/>
              <w:rPr>
                <w:position w:val="2"/>
                <w:rtl/>
              </w:rPr>
            </w:pPr>
          </w:p>
        </w:tc>
      </w:tr>
      <w:tr w:rsidR="004E4107" w:rsidRPr="004E4107" w14:paraId="458BA459" w14:textId="77777777" w:rsidTr="002A0897">
        <w:trPr>
          <w:cantSplit/>
          <w:jc w:val="center"/>
        </w:trPr>
        <w:tc>
          <w:tcPr>
            <w:tcW w:w="810" w:type="pct"/>
          </w:tcPr>
          <w:p w14:paraId="5EDC127B" w14:textId="77777777" w:rsidR="004E4107" w:rsidRPr="004E4107" w:rsidRDefault="004E4107" w:rsidP="004E4107">
            <w:pPr>
              <w:spacing w:before="80" w:after="60" w:line="300" w:lineRule="exact"/>
              <w:jc w:val="left"/>
              <w:rPr>
                <w:b/>
                <w:bCs/>
                <w:position w:val="2"/>
                <w:rtl/>
              </w:rPr>
            </w:pPr>
            <w:r w:rsidRPr="004E4107">
              <w:rPr>
                <w:rFonts w:hint="cs"/>
                <w:b/>
                <w:bCs/>
                <w:position w:val="2"/>
                <w:rtl/>
              </w:rPr>
              <w:t>البريد الإلكتروني:</w:t>
            </w:r>
          </w:p>
        </w:tc>
        <w:tc>
          <w:tcPr>
            <w:tcW w:w="1763" w:type="pct"/>
          </w:tcPr>
          <w:p w14:paraId="3BBDCF9A" w14:textId="5A8609F7" w:rsidR="004E4107" w:rsidRPr="004E4107" w:rsidRDefault="004E4107" w:rsidP="004E4107">
            <w:pPr>
              <w:spacing w:before="80" w:after="60" w:line="300" w:lineRule="exact"/>
              <w:jc w:val="left"/>
              <w:rPr>
                <w:rStyle w:val="Hyperlink"/>
                <w:rtl/>
              </w:rPr>
            </w:pPr>
            <w:hyperlink r:id="rId9" w:history="1">
              <w:r w:rsidRPr="004E4107">
                <w:rPr>
                  <w:rStyle w:val="Hyperlink"/>
                  <w:rtl/>
                  <w:lang w:val="en-GB" w:eastAsia="en-GB"/>
                </w:rPr>
                <w:t>tsbsg13@itu.int</w:t>
              </w:r>
            </w:hyperlink>
          </w:p>
        </w:tc>
        <w:tc>
          <w:tcPr>
            <w:tcW w:w="2427" w:type="pct"/>
            <w:vMerge/>
          </w:tcPr>
          <w:p w14:paraId="7BD21564" w14:textId="77777777" w:rsidR="004E4107" w:rsidRPr="004E4107" w:rsidRDefault="004E4107" w:rsidP="004E4107">
            <w:pPr>
              <w:tabs>
                <w:tab w:val="left" w:pos="284"/>
                <w:tab w:val="left" w:pos="4111"/>
              </w:tabs>
              <w:spacing w:before="80" w:after="60" w:line="300" w:lineRule="exact"/>
              <w:ind w:left="284" w:hanging="284"/>
              <w:rPr>
                <w:position w:val="2"/>
                <w:rtl/>
              </w:rPr>
            </w:pPr>
          </w:p>
        </w:tc>
      </w:tr>
      <w:tr w:rsidR="004E4107" w:rsidRPr="004E4107" w14:paraId="54BD09DF" w14:textId="77777777" w:rsidTr="001E2788">
        <w:trPr>
          <w:cantSplit/>
          <w:jc w:val="center"/>
        </w:trPr>
        <w:tc>
          <w:tcPr>
            <w:tcW w:w="810" w:type="pct"/>
          </w:tcPr>
          <w:p w14:paraId="2B582323" w14:textId="77777777" w:rsidR="004E4107" w:rsidRPr="004E4107" w:rsidRDefault="004E4107" w:rsidP="004E4107">
            <w:pPr>
              <w:spacing w:before="80" w:after="60" w:line="300" w:lineRule="exact"/>
              <w:jc w:val="left"/>
              <w:rPr>
                <w:b/>
                <w:bCs/>
                <w:position w:val="2"/>
                <w:rtl/>
                <w:lang w:bidi="ar-SY"/>
              </w:rPr>
            </w:pPr>
            <w:r w:rsidRPr="004E4107">
              <w:rPr>
                <w:rFonts w:hint="cs"/>
                <w:b/>
                <w:bCs/>
                <w:position w:val="2"/>
                <w:rtl/>
              </w:rPr>
              <w:t>الموضوع:</w:t>
            </w:r>
          </w:p>
        </w:tc>
        <w:tc>
          <w:tcPr>
            <w:tcW w:w="4190" w:type="pct"/>
            <w:gridSpan w:val="2"/>
          </w:tcPr>
          <w:p w14:paraId="6F48BE65" w14:textId="58365149" w:rsidR="004E4107" w:rsidRPr="0075699F" w:rsidRDefault="004E4107" w:rsidP="0075699F">
            <w:pPr>
              <w:spacing w:before="80" w:after="60" w:line="300" w:lineRule="exact"/>
              <w:rPr>
                <w:spacing w:val="-4"/>
                <w:position w:val="2"/>
                <w:rtl/>
              </w:rPr>
            </w:pPr>
            <w:bookmarkStart w:id="0" w:name="_Hlk214436826"/>
            <w:r w:rsidRPr="0075699F">
              <w:rPr>
                <w:b/>
                <w:bCs/>
                <w:spacing w:val="-4"/>
                <w:position w:val="2"/>
                <w:rtl/>
              </w:rPr>
              <w:t>حالة التوصية ITU-T Y.2086 (Y.DNI-fr سابقاً) بعد اجتماع لجنة الدراسات 13 لقطاع تقييس الاتصالات (طشقند، 28 أكتوبر - 6 نوفمبر 2025)</w:t>
            </w:r>
            <w:bookmarkEnd w:id="0"/>
          </w:p>
        </w:tc>
      </w:tr>
    </w:tbl>
    <w:p w14:paraId="7330A07A" w14:textId="48B406EC" w:rsidR="00D517B2" w:rsidRPr="004E4107" w:rsidRDefault="00D517B2" w:rsidP="006635B2">
      <w:pPr>
        <w:spacing w:before="600"/>
        <w:rPr>
          <w:lang w:bidi="ar-SY"/>
        </w:rPr>
      </w:pPr>
      <w:r w:rsidRPr="004E4107">
        <w:rPr>
          <w:rFonts w:hint="cs"/>
          <w:rtl/>
          <w:lang w:bidi="ar-SY"/>
        </w:rPr>
        <w:t>حضرات السادة والسيدات،</w:t>
      </w:r>
    </w:p>
    <w:p w14:paraId="2B895AD0" w14:textId="77777777" w:rsidR="00D517B2" w:rsidRPr="004E4107" w:rsidRDefault="00D517B2" w:rsidP="00D517B2">
      <w:pPr>
        <w:rPr>
          <w:rtl/>
          <w:lang w:bidi="ar-EG"/>
        </w:rPr>
      </w:pPr>
      <w:r w:rsidRPr="004E4107">
        <w:rPr>
          <w:rFonts w:hint="cs"/>
          <w:rtl/>
        </w:rPr>
        <w:t>تحية طيبة وبعد،</w:t>
      </w:r>
    </w:p>
    <w:p w14:paraId="3BE87343" w14:textId="13387EE9" w:rsidR="004E4107" w:rsidRPr="004E4107" w:rsidRDefault="004E4107" w:rsidP="004E4107">
      <w:pPr>
        <w:rPr>
          <w:lang w:val="ar-SA" w:bidi="ar-SY"/>
        </w:rPr>
      </w:pPr>
      <w:r w:rsidRPr="004E4107">
        <w:rPr>
          <w:rtl/>
        </w:rPr>
        <w:t>1</w:t>
      </w:r>
      <w:r w:rsidRPr="004E4107">
        <w:rPr>
          <w:rtl/>
        </w:rPr>
        <w:tab/>
        <w:t xml:space="preserve">إلحاقاً بالإعلان </w:t>
      </w:r>
      <w:hyperlink r:id="rId10" w:history="1">
        <w:r w:rsidRPr="004E4107">
          <w:rPr>
            <w:rStyle w:val="Hyperlink"/>
            <w:rtl/>
          </w:rPr>
          <w:t>AA</w:t>
        </w:r>
        <w:r w:rsidRPr="004E4107">
          <w:rPr>
            <w:rStyle w:val="Hyperlink"/>
            <w:rtl/>
          </w:rPr>
          <w:t>P</w:t>
        </w:r>
        <w:r w:rsidRPr="004E4107">
          <w:rPr>
            <w:rStyle w:val="Hyperlink"/>
            <w:rtl/>
          </w:rPr>
          <w:t>-11</w:t>
        </w:r>
      </w:hyperlink>
      <w:r w:rsidRPr="004E4107">
        <w:rPr>
          <w:rtl/>
        </w:rPr>
        <w:t xml:space="preserve"> الصادر عن مكتب تقييس الاتصالات بتاريخ 16 أبريل 2025، وعملاً بالفقرة 2.6 من التوصية</w:t>
      </w:r>
      <w:r w:rsidR="003F6CB4">
        <w:rPr>
          <w:rFonts w:hint="cs"/>
          <w:rtl/>
        </w:rPr>
        <w:t> </w:t>
      </w:r>
      <w:r w:rsidRPr="004E4107">
        <w:rPr>
          <w:rtl/>
        </w:rPr>
        <w:t>ITU-T A.8</w:t>
      </w:r>
      <w:r w:rsidR="00441CD3">
        <w:rPr>
          <w:rFonts w:hint="cs"/>
          <w:rtl/>
          <w:lang w:bidi="ar-EG"/>
        </w:rPr>
        <w:t xml:space="preserve"> </w:t>
      </w:r>
      <w:r w:rsidR="00441CD3" w:rsidRPr="004E4107">
        <w:rPr>
          <w:rtl/>
        </w:rPr>
        <w:t>(2024)</w:t>
      </w:r>
      <w:r w:rsidRPr="004E4107">
        <w:rPr>
          <w:rtl/>
        </w:rPr>
        <w:t>، أودُّ إبلاغكم بأن لجنة الدراسات 13 لقطاع تقييس الاتصالات توصلت إلى القرار التالي في جلستها العامة التي عُقدت في 28 أكتوبر 2025 في طشقند فيما يتعلق بمشروع نصّ قطاع تقييس الاتصالات التالي</w:t>
      </w:r>
      <w:r w:rsidRPr="004E4107">
        <w:rPr>
          <w:lang w:val="en-GB" w:bidi="ar-SY"/>
        </w:rPr>
        <w:t>:</w:t>
      </w: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96"/>
        <w:gridCol w:w="5188"/>
        <w:gridCol w:w="1932"/>
      </w:tblGrid>
      <w:tr w:rsidR="004E4107" w:rsidRPr="004E4107" w14:paraId="0A59C850" w14:textId="77777777" w:rsidTr="00930B7C">
        <w:trPr>
          <w:tblHeader/>
        </w:trPr>
        <w:tc>
          <w:tcPr>
            <w:tcW w:w="2496" w:type="dxa"/>
          </w:tcPr>
          <w:p w14:paraId="5F9A9B38" w14:textId="77777777" w:rsidR="004E4107" w:rsidRPr="004E4107" w:rsidRDefault="004E4107" w:rsidP="000111F8">
            <w:pPr>
              <w:pStyle w:val="TableHead"/>
              <w:rPr>
                <w:lang w:val="ar-SA" w:bidi="ar-SY"/>
              </w:rPr>
            </w:pPr>
            <w:r w:rsidRPr="004E4107">
              <w:rPr>
                <w:rtl/>
              </w:rPr>
              <w:t>الرقم</w:t>
            </w:r>
          </w:p>
        </w:tc>
        <w:tc>
          <w:tcPr>
            <w:tcW w:w="5188" w:type="dxa"/>
          </w:tcPr>
          <w:p w14:paraId="494190EE" w14:textId="77777777" w:rsidR="004E4107" w:rsidRPr="004E4107" w:rsidRDefault="004E4107" w:rsidP="000111F8">
            <w:pPr>
              <w:pStyle w:val="TableHead"/>
              <w:rPr>
                <w:lang w:val="ar-SA" w:bidi="ar-SY"/>
              </w:rPr>
            </w:pPr>
            <w:r w:rsidRPr="004E4107">
              <w:rPr>
                <w:rtl/>
              </w:rPr>
              <w:t>العنوان</w:t>
            </w:r>
          </w:p>
        </w:tc>
        <w:tc>
          <w:tcPr>
            <w:tcW w:w="1932" w:type="dxa"/>
          </w:tcPr>
          <w:p w14:paraId="7361CF47" w14:textId="77777777" w:rsidR="004E4107" w:rsidRPr="004E4107" w:rsidRDefault="004E4107" w:rsidP="000111F8">
            <w:pPr>
              <w:pStyle w:val="TableHead"/>
              <w:rPr>
                <w:lang w:val="ar-SA" w:bidi="ar-SY"/>
              </w:rPr>
            </w:pPr>
            <w:r w:rsidRPr="004E4107">
              <w:rPr>
                <w:rtl/>
              </w:rPr>
              <w:t>القرار</w:t>
            </w:r>
          </w:p>
        </w:tc>
      </w:tr>
      <w:tr w:rsidR="004E4107" w:rsidRPr="004E4107" w14:paraId="6512E0C9" w14:textId="77777777" w:rsidTr="00930B7C">
        <w:trPr>
          <w:tblHeader/>
        </w:trPr>
        <w:tc>
          <w:tcPr>
            <w:tcW w:w="2496" w:type="dxa"/>
            <w:tcBorders>
              <w:bottom w:val="single" w:sz="12" w:space="0" w:color="auto"/>
            </w:tcBorders>
          </w:tcPr>
          <w:p w14:paraId="31665FBC" w14:textId="07FBB5E1" w:rsidR="004E4107" w:rsidRPr="0085732E" w:rsidRDefault="004E4107" w:rsidP="000111F8">
            <w:pPr>
              <w:pStyle w:val="Tabletexte"/>
              <w:jc w:val="center"/>
              <w:rPr>
                <w:lang w:val="fr-FR"/>
              </w:rPr>
            </w:pPr>
            <w:r w:rsidRPr="0085732E">
              <w:rPr>
                <w:rtl/>
              </w:rPr>
              <w:t>ITU-T Y.2086</w:t>
            </w:r>
          </w:p>
          <w:p w14:paraId="3F736B64" w14:textId="0FE27F47" w:rsidR="004E4107" w:rsidRPr="0085732E" w:rsidRDefault="004E4107" w:rsidP="000111F8">
            <w:pPr>
              <w:pStyle w:val="Tabletexte"/>
              <w:jc w:val="center"/>
              <w:rPr>
                <w:lang w:val="fr-FR"/>
              </w:rPr>
            </w:pPr>
            <w:r w:rsidRPr="0085732E">
              <w:rPr>
                <w:rtl/>
              </w:rPr>
              <w:t>(</w:t>
            </w:r>
            <w:hyperlink r:id="rId11" w:history="1">
              <w:r w:rsidRPr="0085732E">
                <w:rPr>
                  <w:rStyle w:val="Hyperlink"/>
                  <w:rtl/>
                </w:rPr>
                <w:t>Y</w:t>
              </w:r>
              <w:r w:rsidRPr="0085732E">
                <w:rPr>
                  <w:rStyle w:val="Hyperlink"/>
                  <w:rtl/>
                </w:rPr>
                <w:t>.</w:t>
              </w:r>
              <w:r w:rsidRPr="0085732E">
                <w:rPr>
                  <w:rStyle w:val="Hyperlink"/>
                  <w:rtl/>
                </w:rPr>
                <w:t>DNI-fr</w:t>
              </w:r>
            </w:hyperlink>
            <w:r w:rsidRPr="0085732E">
              <w:rPr>
                <w:rtl/>
              </w:rPr>
              <w:t>)</w:t>
            </w:r>
          </w:p>
        </w:tc>
        <w:tc>
          <w:tcPr>
            <w:tcW w:w="5188" w:type="dxa"/>
            <w:tcBorders>
              <w:bottom w:val="single" w:sz="12" w:space="0" w:color="auto"/>
            </w:tcBorders>
          </w:tcPr>
          <w:p w14:paraId="49EBA8BB" w14:textId="77777777" w:rsidR="004E4107" w:rsidRPr="004E4107" w:rsidRDefault="004E4107" w:rsidP="000111F8">
            <w:pPr>
              <w:pStyle w:val="Tabletexte"/>
              <w:rPr>
                <w:lang w:val="ar-SA"/>
              </w:rPr>
            </w:pPr>
            <w:r w:rsidRPr="004E4107">
              <w:rPr>
                <w:rtl/>
              </w:rPr>
              <w:t>إطار ومتطلبات البنية التحتية للشبكة الموثوقة اللامركزية</w:t>
            </w:r>
          </w:p>
        </w:tc>
        <w:tc>
          <w:tcPr>
            <w:tcW w:w="1932" w:type="dxa"/>
            <w:tcBorders>
              <w:bottom w:val="single" w:sz="12" w:space="0" w:color="auto"/>
            </w:tcBorders>
          </w:tcPr>
          <w:p w14:paraId="70B4D9C2" w14:textId="77777777" w:rsidR="004E4107" w:rsidRPr="004E4107" w:rsidRDefault="004E4107" w:rsidP="000111F8">
            <w:pPr>
              <w:pStyle w:val="Tabletexte"/>
              <w:jc w:val="center"/>
              <w:rPr>
                <w:lang w:val="ar-SA"/>
              </w:rPr>
            </w:pPr>
            <w:r w:rsidRPr="004E4107">
              <w:rPr>
                <w:rtl/>
              </w:rPr>
              <w:t>لم يوافَق عليها</w:t>
            </w:r>
          </w:p>
        </w:tc>
      </w:tr>
    </w:tbl>
    <w:p w14:paraId="4F6DA604" w14:textId="5D421D02" w:rsidR="00D517B2" w:rsidRPr="004E4107" w:rsidRDefault="004E4107" w:rsidP="004E4107">
      <w:pPr>
        <w:rPr>
          <w:rtl/>
          <w:lang w:bidi="ar-SY"/>
        </w:rPr>
      </w:pPr>
      <w:r w:rsidRPr="004E4107">
        <w:rPr>
          <w:rtl/>
        </w:rPr>
        <w:t>2</w:t>
      </w:r>
      <w:r w:rsidRPr="004E4107">
        <w:rPr>
          <w:rtl/>
        </w:rPr>
        <w:tab/>
        <w:t xml:space="preserve">ويتضمن إعلان مكتب تقييس الاتصالات </w:t>
      </w:r>
      <w:hyperlink r:id="rId12" w:history="1">
        <w:r w:rsidRPr="004E4107">
          <w:rPr>
            <w:rStyle w:val="Hyperlink"/>
            <w:rtl/>
          </w:rPr>
          <w:t>AAP-2</w:t>
        </w:r>
        <w:r w:rsidRPr="004E4107">
          <w:rPr>
            <w:rStyle w:val="Hyperlink"/>
            <w:rtl/>
          </w:rPr>
          <w:t>4</w:t>
        </w:r>
      </w:hyperlink>
      <w:r w:rsidRPr="004E4107">
        <w:rPr>
          <w:rtl/>
        </w:rPr>
        <w:t xml:space="preserve"> المؤرخ 1 نوفمبر 2025 هذه المعلومات أيضاً. وعلاوةً على ذلك، توقف العمل بالتوصية ITU-T Y.2086.</w:t>
      </w:r>
    </w:p>
    <w:p w14:paraId="3C86DA18" w14:textId="66DEB490" w:rsidR="00E84438" w:rsidRPr="004E4107" w:rsidRDefault="00D218F1" w:rsidP="00891703">
      <w:pPr>
        <w:spacing w:before="240"/>
        <w:jc w:val="left"/>
        <w:rPr>
          <w:rtl/>
          <w:lang w:bidi="ar-EG"/>
        </w:rPr>
      </w:pPr>
      <w:r>
        <w:rPr>
          <w:rFonts w:hint="cs"/>
          <w:noProof/>
          <w:rtl/>
          <w:lang w:val="ar-SY" w:bidi="ar-SY"/>
        </w:rPr>
        <w:drawing>
          <wp:anchor distT="0" distB="0" distL="114300" distR="114300" simplePos="0" relativeHeight="251658240" behindDoc="1" locked="0" layoutInCell="1" allowOverlap="1" wp14:anchorId="7C33239A" wp14:editId="08C1D65A">
            <wp:simplePos x="0" y="0"/>
            <wp:positionH relativeFrom="margin">
              <wp:align>right</wp:align>
            </wp:positionH>
            <wp:positionV relativeFrom="paragraph">
              <wp:posOffset>314960</wp:posOffset>
            </wp:positionV>
            <wp:extent cx="768389" cy="368319"/>
            <wp:effectExtent l="0" t="0" r="0" b="0"/>
            <wp:wrapNone/>
            <wp:docPr id="573864888"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64888" name="Picture 1" descr="A black and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4E4107">
        <w:rPr>
          <w:rFonts w:hint="cs"/>
          <w:rtl/>
          <w:lang w:bidi="ar-EG"/>
        </w:rPr>
        <w:t>وتفضلوا بقبول فائق التقدير والاحترام.</w:t>
      </w:r>
    </w:p>
    <w:p w14:paraId="3783C1E6" w14:textId="30A68DE2" w:rsidR="00F85B2E" w:rsidRPr="00D517B2" w:rsidRDefault="00807031" w:rsidP="00D218F1">
      <w:pPr>
        <w:spacing w:before="720"/>
        <w:jc w:val="left"/>
        <w:rPr>
          <w:rtl/>
        </w:rPr>
      </w:pPr>
      <w:r w:rsidRPr="004E4107">
        <w:rPr>
          <w:rFonts w:hint="cs"/>
          <w:rtl/>
          <w:lang w:bidi="ar-SY"/>
        </w:rPr>
        <w:t>سيزو أونوي</w:t>
      </w:r>
      <w:r w:rsidR="00E84438" w:rsidRPr="004E4107">
        <w:rPr>
          <w:rtl/>
          <w:lang w:bidi="ar-SY"/>
        </w:rPr>
        <w:br/>
      </w:r>
      <w:r w:rsidR="00E84438" w:rsidRPr="004E4107">
        <w:rPr>
          <w:rFonts w:hint="cs"/>
          <w:rtl/>
          <w:lang w:bidi="ar-SY"/>
        </w:rPr>
        <w:t>مدير</w:t>
      </w:r>
      <w:r w:rsidR="00E84438" w:rsidRPr="004E4107">
        <w:rPr>
          <w:rtl/>
          <w:lang w:bidi="ar-SY"/>
        </w:rPr>
        <w:t xml:space="preserve"> </w:t>
      </w:r>
      <w:r w:rsidR="00E84438" w:rsidRPr="004E4107">
        <w:rPr>
          <w:rFonts w:hint="cs"/>
          <w:rtl/>
          <w:lang w:bidi="ar-SY"/>
        </w:rPr>
        <w:t>مكتب</w:t>
      </w:r>
      <w:r w:rsidR="00E84438" w:rsidRPr="004E4107">
        <w:rPr>
          <w:rtl/>
          <w:lang w:bidi="ar-SY"/>
        </w:rPr>
        <w:t xml:space="preserve"> </w:t>
      </w:r>
      <w:r w:rsidR="00E84438" w:rsidRPr="004E4107">
        <w:rPr>
          <w:rFonts w:hint="cs"/>
          <w:rtl/>
          <w:lang w:bidi="ar-SY"/>
        </w:rPr>
        <w:t>تقييس</w:t>
      </w:r>
      <w:r w:rsidR="00E84438" w:rsidRPr="004E4107">
        <w:rPr>
          <w:rtl/>
          <w:lang w:bidi="ar-SY"/>
        </w:rPr>
        <w:t xml:space="preserve"> </w:t>
      </w:r>
      <w:r w:rsidR="00E84438" w:rsidRPr="004E4107">
        <w:rPr>
          <w:rFonts w:hint="cs"/>
          <w:rtl/>
          <w:lang w:bidi="ar-SY"/>
        </w:rPr>
        <w:t>الاتصالات</w:t>
      </w:r>
    </w:p>
    <w:sectPr w:rsidR="00F85B2E" w:rsidRPr="00D517B2" w:rsidSect="006C3242">
      <w:head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1FD2" w14:textId="77777777" w:rsidR="00D85C4C" w:rsidRDefault="00D85C4C" w:rsidP="006C3242">
      <w:pPr>
        <w:spacing w:before="0" w:line="240" w:lineRule="auto"/>
      </w:pPr>
      <w:r>
        <w:separator/>
      </w:r>
    </w:p>
  </w:endnote>
  <w:endnote w:type="continuationSeparator" w:id="0">
    <w:p w14:paraId="05A807D7" w14:textId="77777777" w:rsidR="00D85C4C" w:rsidRDefault="00D85C4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4C62"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C5A3" w14:textId="77777777" w:rsidR="00D85C4C" w:rsidRDefault="00D85C4C" w:rsidP="006C3242">
      <w:pPr>
        <w:spacing w:before="0" w:line="240" w:lineRule="auto"/>
      </w:pPr>
      <w:r>
        <w:separator/>
      </w:r>
    </w:p>
  </w:footnote>
  <w:footnote w:type="continuationSeparator" w:id="0">
    <w:p w14:paraId="0716E559" w14:textId="77777777" w:rsidR="00D85C4C" w:rsidRDefault="00D85C4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6162" w14:textId="6C3495EA" w:rsidR="00447F32" w:rsidRPr="00596808" w:rsidRDefault="00596808" w:rsidP="004E4107">
    <w:pPr>
      <w:pStyle w:val="Header"/>
      <w:bidi w:val="0"/>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7429C7">
      <w:rPr>
        <w:sz w:val="20"/>
        <w:szCs w:val="20"/>
        <w:lang w:bidi="ar-EG"/>
      </w:rPr>
      <w:t>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6947926">
    <w:abstractNumId w:val="9"/>
  </w:num>
  <w:num w:numId="2" w16cid:durableId="439222948">
    <w:abstractNumId w:val="7"/>
  </w:num>
  <w:num w:numId="3" w16cid:durableId="1238713579">
    <w:abstractNumId w:val="6"/>
  </w:num>
  <w:num w:numId="4" w16cid:durableId="1265379540">
    <w:abstractNumId w:val="5"/>
  </w:num>
  <w:num w:numId="5" w16cid:durableId="1493259632">
    <w:abstractNumId w:val="4"/>
  </w:num>
  <w:num w:numId="6" w16cid:durableId="1550216916">
    <w:abstractNumId w:val="8"/>
  </w:num>
  <w:num w:numId="7" w16cid:durableId="830369669">
    <w:abstractNumId w:val="3"/>
  </w:num>
  <w:num w:numId="8" w16cid:durableId="1600991102">
    <w:abstractNumId w:val="2"/>
  </w:num>
  <w:num w:numId="9" w16cid:durableId="1158886272">
    <w:abstractNumId w:val="1"/>
  </w:num>
  <w:num w:numId="10" w16cid:durableId="538325303">
    <w:abstractNumId w:val="0"/>
  </w:num>
  <w:num w:numId="11" w16cid:durableId="1806775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07"/>
    <w:rsid w:val="00002A63"/>
    <w:rsid w:val="000111F8"/>
    <w:rsid w:val="0006468A"/>
    <w:rsid w:val="00090574"/>
    <w:rsid w:val="000C1C0E"/>
    <w:rsid w:val="000C303F"/>
    <w:rsid w:val="000C548A"/>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A0897"/>
    <w:rsid w:val="002B028D"/>
    <w:rsid w:val="002E196B"/>
    <w:rsid w:val="002E6541"/>
    <w:rsid w:val="00334924"/>
    <w:rsid w:val="003409BC"/>
    <w:rsid w:val="00357185"/>
    <w:rsid w:val="00372F67"/>
    <w:rsid w:val="00383829"/>
    <w:rsid w:val="003A3046"/>
    <w:rsid w:val="003C7EDF"/>
    <w:rsid w:val="003F4B29"/>
    <w:rsid w:val="003F6CB4"/>
    <w:rsid w:val="00400EC6"/>
    <w:rsid w:val="00403AF6"/>
    <w:rsid w:val="0042686F"/>
    <w:rsid w:val="004317D8"/>
    <w:rsid w:val="00434183"/>
    <w:rsid w:val="00441CD3"/>
    <w:rsid w:val="00443869"/>
    <w:rsid w:val="00447F32"/>
    <w:rsid w:val="004E11DC"/>
    <w:rsid w:val="004E4107"/>
    <w:rsid w:val="00525DDD"/>
    <w:rsid w:val="005409AC"/>
    <w:rsid w:val="0055516A"/>
    <w:rsid w:val="005731DD"/>
    <w:rsid w:val="0058491B"/>
    <w:rsid w:val="00592EA5"/>
    <w:rsid w:val="00595B52"/>
    <w:rsid w:val="00596808"/>
    <w:rsid w:val="005A3170"/>
    <w:rsid w:val="005D17DF"/>
    <w:rsid w:val="006019C6"/>
    <w:rsid w:val="006635B2"/>
    <w:rsid w:val="00677396"/>
    <w:rsid w:val="0069200F"/>
    <w:rsid w:val="006A65CB"/>
    <w:rsid w:val="006A73B8"/>
    <w:rsid w:val="006C1530"/>
    <w:rsid w:val="006C3242"/>
    <w:rsid w:val="006C7CC0"/>
    <w:rsid w:val="006E1BAD"/>
    <w:rsid w:val="006E6264"/>
    <w:rsid w:val="006F63F7"/>
    <w:rsid w:val="007025C7"/>
    <w:rsid w:val="00706D7A"/>
    <w:rsid w:val="007139D8"/>
    <w:rsid w:val="00722F0D"/>
    <w:rsid w:val="007429C7"/>
    <w:rsid w:val="0074420E"/>
    <w:rsid w:val="0075699F"/>
    <w:rsid w:val="00783E26"/>
    <w:rsid w:val="007B487D"/>
    <w:rsid w:val="007C3BC7"/>
    <w:rsid w:val="007C3BCD"/>
    <w:rsid w:val="007D4ACF"/>
    <w:rsid w:val="007F0787"/>
    <w:rsid w:val="00807031"/>
    <w:rsid w:val="00810B7B"/>
    <w:rsid w:val="0082358A"/>
    <w:rsid w:val="008235CD"/>
    <w:rsid w:val="008247DE"/>
    <w:rsid w:val="00840B10"/>
    <w:rsid w:val="008513CB"/>
    <w:rsid w:val="0085732E"/>
    <w:rsid w:val="00873469"/>
    <w:rsid w:val="00877F4B"/>
    <w:rsid w:val="00891703"/>
    <w:rsid w:val="008A7F84"/>
    <w:rsid w:val="0091702E"/>
    <w:rsid w:val="00923B0C"/>
    <w:rsid w:val="00926F44"/>
    <w:rsid w:val="0094021C"/>
    <w:rsid w:val="0094432F"/>
    <w:rsid w:val="00952F86"/>
    <w:rsid w:val="00982B28"/>
    <w:rsid w:val="009D313F"/>
    <w:rsid w:val="009F17C2"/>
    <w:rsid w:val="00A47A5A"/>
    <w:rsid w:val="00A55C28"/>
    <w:rsid w:val="00A6683B"/>
    <w:rsid w:val="00A77C90"/>
    <w:rsid w:val="00A9156F"/>
    <w:rsid w:val="00A97F94"/>
    <w:rsid w:val="00AA7EA2"/>
    <w:rsid w:val="00AB0BC9"/>
    <w:rsid w:val="00AF6B5C"/>
    <w:rsid w:val="00B03099"/>
    <w:rsid w:val="00B05BC8"/>
    <w:rsid w:val="00B64B47"/>
    <w:rsid w:val="00B916A7"/>
    <w:rsid w:val="00BB0F08"/>
    <w:rsid w:val="00C002DE"/>
    <w:rsid w:val="00C53BF8"/>
    <w:rsid w:val="00C66157"/>
    <w:rsid w:val="00C674FE"/>
    <w:rsid w:val="00C67501"/>
    <w:rsid w:val="00C75633"/>
    <w:rsid w:val="00CC56BF"/>
    <w:rsid w:val="00CE1C08"/>
    <w:rsid w:val="00CE2EE1"/>
    <w:rsid w:val="00CE2F25"/>
    <w:rsid w:val="00CE3349"/>
    <w:rsid w:val="00CE36E5"/>
    <w:rsid w:val="00CF27F5"/>
    <w:rsid w:val="00CF3FFD"/>
    <w:rsid w:val="00D10CCF"/>
    <w:rsid w:val="00D218F1"/>
    <w:rsid w:val="00D22846"/>
    <w:rsid w:val="00D517B2"/>
    <w:rsid w:val="00D76170"/>
    <w:rsid w:val="00D77D0F"/>
    <w:rsid w:val="00D85C4C"/>
    <w:rsid w:val="00DA1CF0"/>
    <w:rsid w:val="00DC1E02"/>
    <w:rsid w:val="00DC24B4"/>
    <w:rsid w:val="00DC5FB0"/>
    <w:rsid w:val="00DD1EBB"/>
    <w:rsid w:val="00DD6915"/>
    <w:rsid w:val="00DF16DC"/>
    <w:rsid w:val="00E45211"/>
    <w:rsid w:val="00E473C5"/>
    <w:rsid w:val="00E84438"/>
    <w:rsid w:val="00E92863"/>
    <w:rsid w:val="00EB796D"/>
    <w:rsid w:val="00EC781E"/>
    <w:rsid w:val="00F058DC"/>
    <w:rsid w:val="00F24FC4"/>
    <w:rsid w:val="00F2676C"/>
    <w:rsid w:val="00F33852"/>
    <w:rsid w:val="00F52941"/>
    <w:rsid w:val="00F76CA1"/>
    <w:rsid w:val="00F84366"/>
    <w:rsid w:val="00F85089"/>
    <w:rsid w:val="00F85B2E"/>
    <w:rsid w:val="00F974C5"/>
    <w:rsid w:val="00FA6F46"/>
    <w:rsid w:val="00FE2C0D"/>
    <w:rsid w:val="00FE5872"/>
    <w:rsid w:val="00FE7FCA"/>
    <w:rsid w:val="00FF36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ABA9F"/>
  <w15:chartTrackingRefBased/>
  <w15:docId w15:val="{ADDC6AEA-9BC8-4D7C-B6C1-C465EEFD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Revision">
    <w:name w:val="Revision"/>
    <w:hidden/>
    <w:uiPriority w:val="99"/>
    <w:semiHidden/>
    <w:rsid w:val="007429C7"/>
    <w:pPr>
      <w:spacing w:after="0" w:line="240" w:lineRule="auto"/>
    </w:pPr>
    <w:rPr>
      <w:rFonts w:ascii="Dubai" w:hAnsi="Dubai" w:cs="Dubai"/>
    </w:rPr>
  </w:style>
  <w:style w:type="character" w:styleId="FollowedHyperlink">
    <w:name w:val="FollowedHyperlink"/>
    <w:basedOn w:val="DefaultParagraphFont"/>
    <w:uiPriority w:val="99"/>
    <w:semiHidden/>
    <w:unhideWhenUsed/>
    <w:rsid w:val="00CC5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dms_pubaap/01/T0101001824.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workprog/wp_item.aspx?isn=2135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dms_pubaap/01/T0101001811.htm"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Kamaleldin, Mohamed</dc:creator>
  <cp:keywords/>
  <dc:description/>
  <cp:lastModifiedBy>Braud, Olivia</cp:lastModifiedBy>
  <cp:revision>5</cp:revision>
  <cp:lastPrinted>2025-12-02T08:20:00Z</cp:lastPrinted>
  <dcterms:created xsi:type="dcterms:W3CDTF">2025-11-24T08:45:00Z</dcterms:created>
  <dcterms:modified xsi:type="dcterms:W3CDTF">2025-12-02T08:20:00Z</dcterms:modified>
</cp:coreProperties>
</file>