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23"/>
        <w:bidiVisual/>
        <w:tblW w:w="5000" w:type="pct"/>
        <w:tblLook w:val="0000" w:firstRow="0" w:lastRow="0" w:firstColumn="0" w:lastColumn="0" w:noHBand="0" w:noVBand="0"/>
      </w:tblPr>
      <w:tblGrid>
        <w:gridCol w:w="1538"/>
        <w:gridCol w:w="8101"/>
      </w:tblGrid>
      <w:tr w:rsidR="00D517B2" w:rsidRPr="000129EB" w14:paraId="14589E93" w14:textId="77777777" w:rsidTr="00D517B2">
        <w:trPr>
          <w:cantSplit/>
          <w:trHeight w:val="1134"/>
        </w:trPr>
        <w:tc>
          <w:tcPr>
            <w:tcW w:w="798" w:type="pct"/>
          </w:tcPr>
          <w:p w14:paraId="7184DD86" w14:textId="77777777" w:rsidR="00D517B2" w:rsidRPr="000129EB" w:rsidRDefault="00D517B2" w:rsidP="00D517B2">
            <w:pPr>
              <w:spacing w:before="0" w:line="240" w:lineRule="auto"/>
              <w:rPr>
                <w:b/>
                <w:bCs/>
                <w:rtl/>
                <w:lang w:bidi="ar-EG"/>
              </w:rPr>
            </w:pPr>
            <w:r w:rsidRPr="000129EB">
              <w:rPr>
                <w:noProof/>
              </w:rPr>
              <w:drawing>
                <wp:inline distT="0" distB="0" distL="0" distR="0" wp14:anchorId="46FF24FE" wp14:editId="453B1198">
                  <wp:extent cx="807720" cy="807720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780582" name="Picture 1" descr="C:\Users\clarker\AppData\Local\Temp\7zE04E6E9A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2" w:type="pct"/>
          </w:tcPr>
          <w:p w14:paraId="113342FC" w14:textId="77777777" w:rsidR="00D517B2" w:rsidRPr="000129EB" w:rsidRDefault="00D517B2" w:rsidP="00D517B2">
            <w:pPr>
              <w:spacing w:before="200"/>
              <w:rPr>
                <w:b/>
                <w:bCs/>
                <w:sz w:val="36"/>
                <w:szCs w:val="36"/>
                <w:rtl/>
              </w:rPr>
            </w:pPr>
            <w:r w:rsidRPr="000129EB">
              <w:rPr>
                <w:rFonts w:hint="cs"/>
                <w:b/>
                <w:bCs/>
                <w:sz w:val="36"/>
                <w:szCs w:val="36"/>
                <w:rtl/>
              </w:rPr>
              <w:t>الاتحـاد الدولـي للاتصـالات</w:t>
            </w:r>
          </w:p>
          <w:p w14:paraId="769D8733" w14:textId="77777777" w:rsidR="00D517B2" w:rsidRPr="000129EB" w:rsidRDefault="00D517B2" w:rsidP="00D517B2">
            <w:pPr>
              <w:spacing w:before="6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129EB">
              <w:rPr>
                <w:rFonts w:hint="cs"/>
                <w:b/>
                <w:bCs/>
                <w:sz w:val="28"/>
                <w:szCs w:val="28"/>
                <w:rtl/>
              </w:rPr>
              <w:t>مكتب تقييس الاتصالات</w:t>
            </w:r>
          </w:p>
        </w:tc>
      </w:tr>
    </w:tbl>
    <w:tbl>
      <w:tblPr>
        <w:tblpPr w:leftFromText="180" w:rightFromText="180" w:vertAnchor="text" w:tblpXSpec="center" w:tblpY="1"/>
        <w:tblOverlap w:val="never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"/>
        <w:gridCol w:w="3399"/>
        <w:gridCol w:w="4679"/>
      </w:tblGrid>
      <w:tr w:rsidR="00D517B2" w:rsidRPr="000129EB" w14:paraId="6107FC45" w14:textId="77777777" w:rsidTr="00DC341A">
        <w:trPr>
          <w:cantSplit/>
          <w:jc w:val="center"/>
        </w:trPr>
        <w:tc>
          <w:tcPr>
            <w:tcW w:w="810" w:type="pct"/>
          </w:tcPr>
          <w:p w14:paraId="26C8285F" w14:textId="77777777" w:rsidR="00D517B2" w:rsidRPr="000129EB" w:rsidRDefault="00D517B2" w:rsidP="00BB0F08">
            <w:pPr>
              <w:spacing w:line="300" w:lineRule="exact"/>
              <w:jc w:val="left"/>
              <w:rPr>
                <w:position w:val="2"/>
              </w:rPr>
            </w:pPr>
          </w:p>
        </w:tc>
        <w:tc>
          <w:tcPr>
            <w:tcW w:w="1763" w:type="pct"/>
          </w:tcPr>
          <w:p w14:paraId="67C19C7A" w14:textId="77777777" w:rsidR="00D517B2" w:rsidRPr="000129EB" w:rsidRDefault="00D517B2" w:rsidP="00BB0F08">
            <w:pPr>
              <w:spacing w:line="300" w:lineRule="exact"/>
              <w:jc w:val="left"/>
              <w:rPr>
                <w:position w:val="2"/>
              </w:rPr>
            </w:pPr>
          </w:p>
        </w:tc>
        <w:tc>
          <w:tcPr>
            <w:tcW w:w="2427" w:type="pct"/>
          </w:tcPr>
          <w:p w14:paraId="099CD79B" w14:textId="77777777" w:rsidR="00D517B2" w:rsidRPr="000129EB" w:rsidRDefault="00D517B2" w:rsidP="00BB0F08">
            <w:pPr>
              <w:spacing w:line="300" w:lineRule="exact"/>
              <w:jc w:val="left"/>
              <w:rPr>
                <w:position w:val="2"/>
                <w:lang w:bidi="ar-EG"/>
              </w:rPr>
            </w:pPr>
          </w:p>
        </w:tc>
      </w:tr>
      <w:tr w:rsidR="00D517B2" w:rsidRPr="000129EB" w14:paraId="161FDB40" w14:textId="77777777" w:rsidTr="00DC341A">
        <w:trPr>
          <w:cantSplit/>
          <w:jc w:val="center"/>
        </w:trPr>
        <w:tc>
          <w:tcPr>
            <w:tcW w:w="810" w:type="pct"/>
          </w:tcPr>
          <w:p w14:paraId="0A65CE4B" w14:textId="77777777" w:rsidR="00D517B2" w:rsidRPr="000129EB" w:rsidRDefault="00D517B2" w:rsidP="006019C6">
            <w:pPr>
              <w:spacing w:before="80" w:line="300" w:lineRule="exact"/>
              <w:jc w:val="left"/>
              <w:rPr>
                <w:position w:val="2"/>
              </w:rPr>
            </w:pPr>
          </w:p>
        </w:tc>
        <w:tc>
          <w:tcPr>
            <w:tcW w:w="1763" w:type="pct"/>
          </w:tcPr>
          <w:p w14:paraId="7EA7C3F2" w14:textId="77777777" w:rsidR="00D517B2" w:rsidRPr="000129EB" w:rsidRDefault="00D517B2" w:rsidP="006019C6">
            <w:pPr>
              <w:spacing w:before="80" w:line="300" w:lineRule="exact"/>
              <w:jc w:val="left"/>
              <w:rPr>
                <w:position w:val="2"/>
                <w:lang w:bidi="ar-EG"/>
              </w:rPr>
            </w:pPr>
          </w:p>
        </w:tc>
        <w:tc>
          <w:tcPr>
            <w:tcW w:w="2427" w:type="pct"/>
          </w:tcPr>
          <w:p w14:paraId="05151DAB" w14:textId="1CECF91F" w:rsidR="00D517B2" w:rsidRPr="000129EB" w:rsidRDefault="000129EB" w:rsidP="000129EB">
            <w:pPr>
              <w:spacing w:before="80" w:line="300" w:lineRule="exact"/>
              <w:jc w:val="left"/>
              <w:rPr>
                <w:position w:val="2"/>
                <w:rtl/>
                <w:lang w:bidi="ar-EG"/>
              </w:rPr>
            </w:pPr>
            <w:r w:rsidRPr="000129EB">
              <w:rPr>
                <w:rFonts w:hint="cs"/>
                <w:position w:val="2"/>
                <w:rtl/>
              </w:rPr>
              <w:t xml:space="preserve">جنيف، 19 نوفمبر </w:t>
            </w:r>
            <w:r w:rsidRPr="000129EB">
              <w:rPr>
                <w:position w:val="2"/>
              </w:rPr>
              <w:t>2025</w:t>
            </w:r>
          </w:p>
        </w:tc>
      </w:tr>
      <w:tr w:rsidR="00372F67" w:rsidRPr="000129EB" w14:paraId="339133A4" w14:textId="77777777" w:rsidTr="00DC341A">
        <w:trPr>
          <w:cantSplit/>
          <w:jc w:val="center"/>
        </w:trPr>
        <w:tc>
          <w:tcPr>
            <w:tcW w:w="810" w:type="pct"/>
          </w:tcPr>
          <w:p w14:paraId="5F2AED95" w14:textId="77777777" w:rsidR="00372F67" w:rsidRPr="000129EB" w:rsidRDefault="00372F67" w:rsidP="00D517B2">
            <w:pPr>
              <w:spacing w:before="80" w:after="60" w:line="300" w:lineRule="exact"/>
              <w:jc w:val="left"/>
              <w:rPr>
                <w:b/>
                <w:bCs/>
                <w:position w:val="2"/>
              </w:rPr>
            </w:pPr>
            <w:r w:rsidRPr="000129EB">
              <w:rPr>
                <w:rFonts w:hint="cs"/>
                <w:b/>
                <w:bCs/>
                <w:position w:val="2"/>
                <w:rtl/>
              </w:rPr>
              <w:t>المرجع:</w:t>
            </w:r>
          </w:p>
        </w:tc>
        <w:tc>
          <w:tcPr>
            <w:tcW w:w="1763" w:type="pct"/>
          </w:tcPr>
          <w:p w14:paraId="0CE943F9" w14:textId="6EFC4123" w:rsidR="00372F67" w:rsidRPr="000129EB" w:rsidRDefault="000129EB" w:rsidP="000129EB">
            <w:pPr>
              <w:spacing w:before="80" w:after="60" w:line="300" w:lineRule="exact"/>
              <w:jc w:val="left"/>
              <w:rPr>
                <w:b/>
                <w:position w:val="2"/>
              </w:rPr>
            </w:pPr>
            <w:r w:rsidRPr="000129EB">
              <w:rPr>
                <w:b/>
                <w:position w:val="2"/>
              </w:rPr>
              <w:t>TSB Circular 89</w:t>
            </w:r>
            <w:r w:rsidRPr="000129EB">
              <w:rPr>
                <w:b/>
                <w:position w:val="2"/>
              </w:rPr>
              <w:br/>
            </w:r>
            <w:r w:rsidRPr="000129EB">
              <w:rPr>
                <w:position w:val="2"/>
              </w:rPr>
              <w:t>SG13/TK</w:t>
            </w:r>
          </w:p>
        </w:tc>
        <w:tc>
          <w:tcPr>
            <w:tcW w:w="2427" w:type="pct"/>
            <w:vMerge w:val="restart"/>
          </w:tcPr>
          <w:p w14:paraId="6DFEAD0D" w14:textId="77777777" w:rsidR="000129EB" w:rsidRPr="000129EB" w:rsidRDefault="000129EB" w:rsidP="000129EB">
            <w:pPr>
              <w:tabs>
                <w:tab w:val="clear" w:pos="794"/>
                <w:tab w:val="left" w:pos="284"/>
              </w:tabs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0129EB">
              <w:rPr>
                <w:rFonts w:hint="cs"/>
                <w:b/>
                <w:bCs/>
                <w:position w:val="2"/>
                <w:rtl/>
              </w:rPr>
              <w:t>إلى:</w:t>
            </w:r>
          </w:p>
          <w:p w14:paraId="5E41BBF7" w14:textId="77777777" w:rsidR="000129EB" w:rsidRPr="000129EB" w:rsidRDefault="000129EB" w:rsidP="000129EB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2" w:hanging="282"/>
              <w:jc w:val="left"/>
              <w:rPr>
                <w:position w:val="2"/>
                <w:rtl/>
              </w:rPr>
            </w:pPr>
            <w:r w:rsidRPr="000129EB">
              <w:rPr>
                <w:rFonts w:hint="cs"/>
                <w:position w:val="2"/>
                <w:rtl/>
              </w:rPr>
              <w:t>-</w:t>
            </w:r>
            <w:r w:rsidRPr="000129EB">
              <w:rPr>
                <w:position w:val="2"/>
                <w:rtl/>
              </w:rPr>
              <w:tab/>
            </w:r>
            <w:r w:rsidRPr="000129EB">
              <w:rPr>
                <w:rFonts w:hint="cs"/>
                <w:position w:val="2"/>
                <w:rtl/>
              </w:rPr>
              <w:t>إدارات الدول الأعضاء في الاتحاد؛</w:t>
            </w:r>
          </w:p>
          <w:p w14:paraId="1AD4D078" w14:textId="77777777" w:rsidR="000129EB" w:rsidRPr="001513B1" w:rsidRDefault="000129EB" w:rsidP="000129EB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2" w:hanging="282"/>
              <w:jc w:val="left"/>
              <w:rPr>
                <w:position w:val="2"/>
                <w:rtl/>
                <w:lang w:bidi="ar-EG"/>
              </w:rPr>
            </w:pPr>
            <w:r w:rsidRPr="000129EB">
              <w:rPr>
                <w:rFonts w:hint="cs"/>
                <w:position w:val="2"/>
                <w:rtl/>
              </w:rPr>
              <w:t>-</w:t>
            </w:r>
            <w:r w:rsidRPr="000129EB">
              <w:rPr>
                <w:position w:val="2"/>
                <w:rtl/>
              </w:rPr>
              <w:tab/>
            </w:r>
            <w:r w:rsidRPr="000129EB">
              <w:rPr>
                <w:rFonts w:hint="cs"/>
                <w:position w:val="2"/>
                <w:rtl/>
              </w:rPr>
              <w:t xml:space="preserve">دولة فلسطين (القرار 99 (المراجَع في دبي، </w:t>
            </w:r>
            <w:r w:rsidRPr="000129EB">
              <w:rPr>
                <w:position w:val="2"/>
              </w:rPr>
              <w:t>2018</w:t>
            </w:r>
            <w:r w:rsidRPr="000129EB">
              <w:rPr>
                <w:rFonts w:hint="cs"/>
                <w:position w:val="2"/>
                <w:rtl/>
                <w:lang w:bidi="ar-EG"/>
              </w:rPr>
              <w:t>))</w:t>
            </w:r>
          </w:p>
          <w:p w14:paraId="714E47FC" w14:textId="77777777" w:rsidR="000129EB" w:rsidRPr="000129EB" w:rsidRDefault="000129EB" w:rsidP="000129EB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2" w:hanging="282"/>
              <w:jc w:val="left"/>
              <w:rPr>
                <w:b/>
                <w:bCs/>
                <w:position w:val="2"/>
                <w:rtl/>
              </w:rPr>
            </w:pPr>
            <w:r w:rsidRPr="000129EB">
              <w:rPr>
                <w:rFonts w:hint="cs"/>
                <w:b/>
                <w:bCs/>
                <w:position w:val="2"/>
                <w:rtl/>
              </w:rPr>
              <w:t>نسخة إلى:</w:t>
            </w:r>
          </w:p>
          <w:p w14:paraId="632C77D2" w14:textId="77777777" w:rsidR="000129EB" w:rsidRPr="000129EB" w:rsidRDefault="000129EB" w:rsidP="000129EB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2" w:hanging="282"/>
              <w:jc w:val="left"/>
              <w:rPr>
                <w:position w:val="2"/>
                <w:rtl/>
                <w:lang w:bidi="ar-EG"/>
              </w:rPr>
            </w:pPr>
            <w:r w:rsidRPr="000129EB">
              <w:rPr>
                <w:rFonts w:hint="cs"/>
                <w:position w:val="2"/>
                <w:rtl/>
              </w:rPr>
              <w:t>-</w:t>
            </w:r>
            <w:r w:rsidRPr="000129EB">
              <w:rPr>
                <w:position w:val="2"/>
                <w:rtl/>
              </w:rPr>
              <w:tab/>
            </w:r>
            <w:r w:rsidRPr="000129EB">
              <w:rPr>
                <w:rFonts w:hint="cs"/>
                <w:position w:val="2"/>
                <w:rtl/>
                <w:lang w:bidi="ar-EG"/>
              </w:rPr>
              <w:t>أعضاء قطاع تقييس الاتصالات بالاتحاد؛</w:t>
            </w:r>
          </w:p>
          <w:p w14:paraId="3BFD9512" w14:textId="77777777" w:rsidR="000129EB" w:rsidRPr="00C221AE" w:rsidRDefault="000129EB" w:rsidP="000129EB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2" w:hanging="282"/>
              <w:jc w:val="left"/>
              <w:rPr>
                <w:spacing w:val="-4"/>
                <w:position w:val="2"/>
                <w:rtl/>
                <w:lang w:bidi="ar-EG"/>
              </w:rPr>
            </w:pPr>
            <w:r w:rsidRPr="00C221AE">
              <w:rPr>
                <w:spacing w:val="-4"/>
                <w:position w:val="2"/>
                <w:rtl/>
              </w:rPr>
              <w:t>-</w:t>
            </w:r>
            <w:r w:rsidRPr="00C221AE">
              <w:rPr>
                <w:spacing w:val="-4"/>
                <w:position w:val="2"/>
                <w:rtl/>
              </w:rPr>
              <w:tab/>
              <w:t>المنتسبين إلى لجنة الدراسات 13 لقطاع تقييس الاتصالات؛</w:t>
            </w:r>
          </w:p>
          <w:p w14:paraId="0A4CAEF5" w14:textId="77777777" w:rsidR="000129EB" w:rsidRPr="000129EB" w:rsidRDefault="000129EB" w:rsidP="000129EB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2" w:hanging="282"/>
              <w:jc w:val="left"/>
              <w:rPr>
                <w:position w:val="2"/>
                <w:rtl/>
              </w:rPr>
            </w:pPr>
            <w:r w:rsidRPr="000129EB">
              <w:rPr>
                <w:rFonts w:hint="cs"/>
                <w:position w:val="2"/>
                <w:rtl/>
              </w:rPr>
              <w:t>-</w:t>
            </w:r>
            <w:r w:rsidRPr="000129EB">
              <w:rPr>
                <w:position w:val="2"/>
                <w:rtl/>
              </w:rPr>
              <w:tab/>
            </w:r>
            <w:r w:rsidRPr="000129EB">
              <w:rPr>
                <w:rFonts w:hint="cs"/>
                <w:position w:val="2"/>
                <w:rtl/>
              </w:rPr>
              <w:t>الهيئات الأكاديمية المنضمة إلى</w:t>
            </w:r>
            <w:r w:rsidRPr="000129EB">
              <w:rPr>
                <w:rFonts w:hint="cs"/>
                <w:position w:val="2"/>
                <w:rtl/>
                <w:lang w:bidi="ar-EG"/>
              </w:rPr>
              <w:t xml:space="preserve"> الاتحاد؛</w:t>
            </w:r>
          </w:p>
          <w:p w14:paraId="3AE09132" w14:textId="77777777" w:rsidR="000129EB" w:rsidRPr="003F6C4F" w:rsidRDefault="000129EB" w:rsidP="000129EB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2" w:hanging="282"/>
              <w:jc w:val="left"/>
              <w:rPr>
                <w:spacing w:val="-4"/>
                <w:position w:val="2"/>
                <w:rtl/>
              </w:rPr>
            </w:pPr>
            <w:r w:rsidRPr="003F6C4F">
              <w:rPr>
                <w:spacing w:val="-4"/>
                <w:position w:val="2"/>
                <w:rtl/>
              </w:rPr>
              <w:t>-</w:t>
            </w:r>
            <w:r w:rsidRPr="003F6C4F">
              <w:rPr>
                <w:spacing w:val="-4"/>
                <w:position w:val="2"/>
                <w:rtl/>
              </w:rPr>
              <w:tab/>
              <w:t>رئيس لجنة الدراسات 13 لقطاع تقييس الاتصالات ونوابه؛</w:t>
            </w:r>
          </w:p>
          <w:p w14:paraId="542EFABD" w14:textId="77777777" w:rsidR="000129EB" w:rsidRPr="000129EB" w:rsidRDefault="000129EB" w:rsidP="000129EB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2" w:hanging="282"/>
              <w:jc w:val="left"/>
              <w:rPr>
                <w:position w:val="2"/>
                <w:rtl/>
              </w:rPr>
            </w:pPr>
            <w:r w:rsidRPr="000129EB">
              <w:rPr>
                <w:rFonts w:hint="cs"/>
                <w:position w:val="2"/>
                <w:rtl/>
              </w:rPr>
              <w:t>-</w:t>
            </w:r>
            <w:r w:rsidRPr="000129EB">
              <w:rPr>
                <w:position w:val="2"/>
                <w:rtl/>
              </w:rPr>
              <w:tab/>
              <w:t>مدير مكتب تنمية الاتصالات</w:t>
            </w:r>
            <w:r w:rsidRPr="000129EB">
              <w:rPr>
                <w:rFonts w:hint="cs"/>
                <w:position w:val="2"/>
                <w:rtl/>
              </w:rPr>
              <w:t>؛</w:t>
            </w:r>
          </w:p>
          <w:p w14:paraId="3A1ADCB1" w14:textId="2955FAC1" w:rsidR="00372F67" w:rsidRPr="000129EB" w:rsidRDefault="000129EB" w:rsidP="000129EB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2" w:hanging="282"/>
              <w:rPr>
                <w:position w:val="2"/>
                <w:rtl/>
              </w:rPr>
            </w:pPr>
            <w:r w:rsidRPr="000129EB">
              <w:rPr>
                <w:rFonts w:hint="cs"/>
                <w:position w:val="2"/>
                <w:rtl/>
              </w:rPr>
              <w:t>-</w:t>
            </w:r>
            <w:r w:rsidRPr="000129EB">
              <w:rPr>
                <w:position w:val="2"/>
                <w:rtl/>
              </w:rPr>
              <w:tab/>
              <w:t>مدير مكتب الاتصالات الراديوية</w:t>
            </w:r>
          </w:p>
        </w:tc>
      </w:tr>
      <w:tr w:rsidR="00372F67" w:rsidRPr="000129EB" w14:paraId="2A847F2D" w14:textId="77777777" w:rsidTr="00DC341A">
        <w:trPr>
          <w:cantSplit/>
          <w:jc w:val="center"/>
        </w:trPr>
        <w:tc>
          <w:tcPr>
            <w:tcW w:w="810" w:type="pct"/>
          </w:tcPr>
          <w:p w14:paraId="38A26BED" w14:textId="77777777" w:rsidR="00372F67" w:rsidRPr="000129EB" w:rsidRDefault="00372F67" w:rsidP="001E278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0129EB">
              <w:rPr>
                <w:rFonts w:hint="cs"/>
                <w:b/>
                <w:bCs/>
                <w:position w:val="2"/>
                <w:rtl/>
                <w:lang w:bidi="ar-EG"/>
              </w:rPr>
              <w:t>ال</w:t>
            </w:r>
            <w:r w:rsidRPr="000129EB">
              <w:rPr>
                <w:rFonts w:hint="cs"/>
                <w:b/>
                <w:bCs/>
                <w:position w:val="2"/>
                <w:rtl/>
                <w:lang w:bidi="ar-SY"/>
              </w:rPr>
              <w:t>هاتف</w:t>
            </w:r>
            <w:r w:rsidRPr="000129EB">
              <w:rPr>
                <w:rFonts w:hint="cs"/>
                <w:b/>
                <w:bCs/>
                <w:position w:val="2"/>
                <w:rtl/>
              </w:rPr>
              <w:t>:</w:t>
            </w:r>
          </w:p>
        </w:tc>
        <w:tc>
          <w:tcPr>
            <w:tcW w:w="1763" w:type="pct"/>
          </w:tcPr>
          <w:p w14:paraId="4A134541" w14:textId="59DAC847" w:rsidR="00372F67" w:rsidRPr="000129EB" w:rsidRDefault="000129EB" w:rsidP="000129EB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0129EB">
              <w:rPr>
                <w:position w:val="2"/>
                <w:lang w:val="en-GB"/>
              </w:rPr>
              <w:t>+41 22 730 5126</w:t>
            </w:r>
          </w:p>
        </w:tc>
        <w:tc>
          <w:tcPr>
            <w:tcW w:w="2427" w:type="pct"/>
            <w:vMerge/>
          </w:tcPr>
          <w:p w14:paraId="6054A681" w14:textId="77777777" w:rsidR="00372F67" w:rsidRPr="000129EB" w:rsidRDefault="00372F67" w:rsidP="00E02440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372F67" w:rsidRPr="000129EB" w14:paraId="4FE64CD4" w14:textId="77777777" w:rsidTr="00DC341A">
        <w:trPr>
          <w:cantSplit/>
          <w:jc w:val="center"/>
        </w:trPr>
        <w:tc>
          <w:tcPr>
            <w:tcW w:w="810" w:type="pct"/>
          </w:tcPr>
          <w:p w14:paraId="380FB2CC" w14:textId="77777777" w:rsidR="00372F67" w:rsidRPr="000129EB" w:rsidRDefault="00372F67" w:rsidP="001E278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</w:rPr>
            </w:pPr>
            <w:r w:rsidRPr="000129EB">
              <w:rPr>
                <w:rFonts w:hint="cs"/>
                <w:b/>
                <w:bCs/>
                <w:position w:val="2"/>
                <w:rtl/>
              </w:rPr>
              <w:t>الفاكس:</w:t>
            </w:r>
          </w:p>
        </w:tc>
        <w:tc>
          <w:tcPr>
            <w:tcW w:w="1763" w:type="pct"/>
          </w:tcPr>
          <w:p w14:paraId="4D4B0098" w14:textId="38AF358B" w:rsidR="00372F67" w:rsidRPr="000129EB" w:rsidRDefault="000129EB" w:rsidP="000129EB">
            <w:pPr>
              <w:spacing w:before="80" w:after="60" w:line="300" w:lineRule="exact"/>
              <w:jc w:val="left"/>
              <w:rPr>
                <w:position w:val="2"/>
              </w:rPr>
            </w:pPr>
            <w:r w:rsidRPr="000129EB">
              <w:rPr>
                <w:position w:val="2"/>
                <w:lang w:val="en-GB"/>
              </w:rPr>
              <w:t>+41 22 730 5853</w:t>
            </w:r>
          </w:p>
        </w:tc>
        <w:tc>
          <w:tcPr>
            <w:tcW w:w="2427" w:type="pct"/>
            <w:vMerge/>
          </w:tcPr>
          <w:p w14:paraId="5162A1CE" w14:textId="77777777" w:rsidR="00372F67" w:rsidRPr="000129EB" w:rsidRDefault="00372F67" w:rsidP="00E02440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372F67" w:rsidRPr="000129EB" w14:paraId="3F22B0F5" w14:textId="77777777" w:rsidTr="00DC341A">
        <w:trPr>
          <w:cantSplit/>
          <w:jc w:val="center"/>
        </w:trPr>
        <w:tc>
          <w:tcPr>
            <w:tcW w:w="810" w:type="pct"/>
          </w:tcPr>
          <w:p w14:paraId="511E378F" w14:textId="77777777" w:rsidR="00372F67" w:rsidRPr="000129EB" w:rsidRDefault="00372F67" w:rsidP="00CE1C0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</w:rPr>
            </w:pPr>
            <w:r w:rsidRPr="000129EB">
              <w:rPr>
                <w:rFonts w:hint="cs"/>
                <w:b/>
                <w:bCs/>
                <w:position w:val="2"/>
                <w:rtl/>
              </w:rPr>
              <w:t>البريد الإلكتروني:</w:t>
            </w:r>
          </w:p>
        </w:tc>
        <w:tc>
          <w:tcPr>
            <w:tcW w:w="1763" w:type="pct"/>
          </w:tcPr>
          <w:p w14:paraId="0F463AED" w14:textId="674881E4" w:rsidR="00372F67" w:rsidRPr="000129EB" w:rsidRDefault="000129EB" w:rsidP="000129EB">
            <w:pPr>
              <w:spacing w:before="80" w:after="60" w:line="300" w:lineRule="exact"/>
              <w:jc w:val="left"/>
              <w:rPr>
                <w:position w:val="2"/>
                <w:rtl/>
                <w:lang w:bidi="ar-EG"/>
              </w:rPr>
            </w:pPr>
            <w:hyperlink r:id="rId9" w:history="1">
              <w:r w:rsidRPr="000129EB">
                <w:rPr>
                  <w:rStyle w:val="Hyperlink"/>
                  <w:position w:val="2"/>
                  <w:lang w:val="en-GB"/>
                </w:rPr>
                <w:t>tsbsg13@itu.int</w:t>
              </w:r>
            </w:hyperlink>
          </w:p>
        </w:tc>
        <w:tc>
          <w:tcPr>
            <w:tcW w:w="2427" w:type="pct"/>
            <w:vMerge/>
          </w:tcPr>
          <w:p w14:paraId="144F3EA3" w14:textId="77777777" w:rsidR="00372F67" w:rsidRPr="000129EB" w:rsidRDefault="00372F67" w:rsidP="001F4353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CE1C08" w:rsidRPr="000129EB" w14:paraId="6F62DDC0" w14:textId="77777777" w:rsidTr="00DC341A">
        <w:trPr>
          <w:cantSplit/>
          <w:jc w:val="center"/>
        </w:trPr>
        <w:tc>
          <w:tcPr>
            <w:tcW w:w="810" w:type="pct"/>
          </w:tcPr>
          <w:p w14:paraId="30EB7442" w14:textId="77777777" w:rsidR="00CE1C08" w:rsidRPr="000129EB" w:rsidRDefault="00CE1C08" w:rsidP="00CE1C0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</w:p>
        </w:tc>
        <w:tc>
          <w:tcPr>
            <w:tcW w:w="1763" w:type="pct"/>
          </w:tcPr>
          <w:p w14:paraId="53D7C5DE" w14:textId="77777777" w:rsidR="00CE1C08" w:rsidRPr="000129EB" w:rsidRDefault="00CE1C08" w:rsidP="00CE1C08">
            <w:pPr>
              <w:spacing w:before="80" w:after="60" w:line="300" w:lineRule="exact"/>
              <w:jc w:val="left"/>
              <w:rPr>
                <w:position w:val="2"/>
              </w:rPr>
            </w:pPr>
          </w:p>
        </w:tc>
        <w:tc>
          <w:tcPr>
            <w:tcW w:w="2427" w:type="pct"/>
          </w:tcPr>
          <w:p w14:paraId="17CEB0D7" w14:textId="77777777" w:rsidR="00CE1C08" w:rsidRPr="000129EB" w:rsidRDefault="00CE1C08" w:rsidP="00CE1C08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</w:p>
        </w:tc>
      </w:tr>
      <w:tr w:rsidR="00CE1C08" w:rsidRPr="000129EB" w14:paraId="161EE344" w14:textId="77777777" w:rsidTr="001E2788">
        <w:trPr>
          <w:cantSplit/>
          <w:jc w:val="center"/>
        </w:trPr>
        <w:tc>
          <w:tcPr>
            <w:tcW w:w="810" w:type="pct"/>
          </w:tcPr>
          <w:p w14:paraId="3EE2110D" w14:textId="77777777" w:rsidR="00CE1C08" w:rsidRPr="000129EB" w:rsidRDefault="00CE1C08" w:rsidP="00CE1C0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SY"/>
              </w:rPr>
            </w:pPr>
            <w:r w:rsidRPr="000129EB">
              <w:rPr>
                <w:rFonts w:hint="cs"/>
                <w:b/>
                <w:bCs/>
                <w:position w:val="2"/>
                <w:rtl/>
              </w:rPr>
              <w:t>الموضوع:</w:t>
            </w:r>
          </w:p>
        </w:tc>
        <w:tc>
          <w:tcPr>
            <w:tcW w:w="4190" w:type="pct"/>
            <w:gridSpan w:val="2"/>
          </w:tcPr>
          <w:p w14:paraId="01B4F4C5" w14:textId="196879BB" w:rsidR="00CE1C08" w:rsidRPr="003F6C4F" w:rsidRDefault="000129EB" w:rsidP="000129EB">
            <w:pPr>
              <w:spacing w:before="80" w:after="60" w:line="300" w:lineRule="exact"/>
              <w:jc w:val="left"/>
              <w:rPr>
                <w:spacing w:val="-4"/>
                <w:position w:val="2"/>
                <w:rtl/>
              </w:rPr>
            </w:pPr>
            <w:bookmarkStart w:id="0" w:name="_Hlk213233468"/>
            <w:r w:rsidRPr="003F6C4F">
              <w:rPr>
                <w:b/>
                <w:bCs/>
                <w:spacing w:val="-4"/>
                <w:position w:val="2"/>
                <w:rtl/>
              </w:rPr>
              <w:t xml:space="preserve">حالة </w:t>
            </w:r>
            <w:bookmarkStart w:id="1" w:name="_Hlk214363330"/>
            <w:r w:rsidRPr="003F6C4F">
              <w:rPr>
                <w:b/>
                <w:bCs/>
                <w:spacing w:val="-4"/>
                <w:position w:val="2"/>
                <w:rtl/>
              </w:rPr>
              <w:t xml:space="preserve">التوصيات </w:t>
            </w:r>
            <w:r w:rsidRPr="003F6C4F">
              <w:rPr>
                <w:b/>
                <w:bCs/>
                <w:spacing w:val="-4"/>
                <w:position w:val="2"/>
              </w:rPr>
              <w:t>ITU-T Y.3188</w:t>
            </w:r>
            <w:r w:rsidR="003641F3" w:rsidRPr="003F6C4F">
              <w:rPr>
                <w:b/>
                <w:bCs/>
                <w:spacing w:val="-4"/>
                <w:position w:val="2"/>
                <w:rtl/>
              </w:rPr>
              <w:t xml:space="preserve"> </w:t>
            </w:r>
            <w:r w:rsidRPr="003F6C4F">
              <w:rPr>
                <w:b/>
                <w:bCs/>
                <w:spacing w:val="-4"/>
                <w:position w:val="2"/>
                <w:rtl/>
              </w:rPr>
              <w:t>(</w:t>
            </w:r>
            <w:r w:rsidRPr="003F6C4F">
              <w:rPr>
                <w:b/>
                <w:bCs/>
                <w:spacing w:val="-4"/>
                <w:position w:val="2"/>
              </w:rPr>
              <w:t>Y.LDT-</w:t>
            </w:r>
            <w:proofErr w:type="spellStart"/>
            <w:r w:rsidRPr="003F6C4F">
              <w:rPr>
                <w:b/>
                <w:bCs/>
                <w:spacing w:val="-4"/>
                <w:position w:val="2"/>
              </w:rPr>
              <w:t>reqs</w:t>
            </w:r>
            <w:proofErr w:type="spellEnd"/>
            <w:r w:rsidRPr="003F6C4F">
              <w:rPr>
                <w:b/>
                <w:bCs/>
                <w:spacing w:val="-4"/>
                <w:position w:val="2"/>
              </w:rPr>
              <w:t>-</w:t>
            </w:r>
            <w:proofErr w:type="spellStart"/>
            <w:r w:rsidRPr="003F6C4F">
              <w:rPr>
                <w:b/>
                <w:bCs/>
                <w:spacing w:val="-4"/>
                <w:position w:val="2"/>
              </w:rPr>
              <w:t>funcs</w:t>
            </w:r>
            <w:proofErr w:type="spellEnd"/>
            <w:r w:rsidRPr="003F6C4F">
              <w:rPr>
                <w:b/>
                <w:bCs/>
                <w:spacing w:val="-4"/>
                <w:position w:val="2"/>
                <w:rtl/>
              </w:rPr>
              <w:t xml:space="preserve"> سابقاً) و</w:t>
            </w:r>
            <w:r w:rsidRPr="003F6C4F">
              <w:rPr>
                <w:b/>
                <w:bCs/>
                <w:spacing w:val="-4"/>
                <w:position w:val="2"/>
              </w:rPr>
              <w:t>Y.3221</w:t>
            </w:r>
            <w:r w:rsidRPr="003F6C4F">
              <w:rPr>
                <w:b/>
                <w:bCs/>
                <w:spacing w:val="-4"/>
                <w:position w:val="2"/>
                <w:rtl/>
                <w:lang w:bidi="ar-SY"/>
              </w:rPr>
              <w:t xml:space="preserve"> </w:t>
            </w:r>
            <w:r w:rsidRPr="003F6C4F">
              <w:rPr>
                <w:b/>
                <w:bCs/>
                <w:spacing w:val="-4"/>
                <w:position w:val="2"/>
                <w:rtl/>
              </w:rPr>
              <w:t>(</w:t>
            </w:r>
            <w:r w:rsidRPr="003F6C4F">
              <w:rPr>
                <w:b/>
                <w:bCs/>
                <w:spacing w:val="-4"/>
                <w:position w:val="2"/>
              </w:rPr>
              <w:t>Y.FMSC-LDS</w:t>
            </w:r>
            <w:r w:rsidRPr="003F6C4F">
              <w:rPr>
                <w:b/>
                <w:bCs/>
                <w:spacing w:val="-4"/>
                <w:position w:val="2"/>
                <w:rtl/>
              </w:rPr>
              <w:t xml:space="preserve"> سابقاً) و</w:t>
            </w:r>
            <w:r w:rsidRPr="003F6C4F">
              <w:rPr>
                <w:b/>
                <w:bCs/>
                <w:spacing w:val="-4"/>
                <w:position w:val="2"/>
              </w:rPr>
              <w:t>Y.3222</w:t>
            </w:r>
            <w:r w:rsidRPr="003F6C4F">
              <w:rPr>
                <w:b/>
                <w:bCs/>
                <w:spacing w:val="-4"/>
                <w:position w:val="2"/>
                <w:rtl/>
              </w:rPr>
              <w:t xml:space="preserve"> (</w:t>
            </w:r>
            <w:r w:rsidRPr="003F6C4F">
              <w:rPr>
                <w:b/>
                <w:bCs/>
                <w:spacing w:val="-4"/>
                <w:position w:val="2"/>
              </w:rPr>
              <w:t xml:space="preserve"> Y.FMSC-</w:t>
            </w:r>
            <w:proofErr w:type="spellStart"/>
            <w:r w:rsidRPr="003F6C4F">
              <w:rPr>
                <w:b/>
                <w:bCs/>
                <w:spacing w:val="-4"/>
                <w:position w:val="2"/>
              </w:rPr>
              <w:t>ConTrans</w:t>
            </w:r>
            <w:proofErr w:type="spellEnd"/>
            <w:r w:rsidRPr="003F6C4F">
              <w:rPr>
                <w:b/>
                <w:bCs/>
                <w:spacing w:val="-4"/>
                <w:position w:val="2"/>
                <w:rtl/>
              </w:rPr>
              <w:t>سابقاً) و</w:t>
            </w:r>
            <w:r w:rsidRPr="003F6C4F">
              <w:rPr>
                <w:b/>
                <w:bCs/>
                <w:spacing w:val="-4"/>
                <w:position w:val="2"/>
              </w:rPr>
              <w:t>Y.3261</w:t>
            </w:r>
            <w:r w:rsidRPr="003F6C4F">
              <w:rPr>
                <w:b/>
                <w:bCs/>
                <w:spacing w:val="-4"/>
                <w:position w:val="2"/>
                <w:rtl/>
              </w:rPr>
              <w:t xml:space="preserve"> (</w:t>
            </w:r>
            <w:r w:rsidRPr="003F6C4F">
              <w:rPr>
                <w:b/>
                <w:bCs/>
                <w:spacing w:val="-4"/>
                <w:position w:val="2"/>
              </w:rPr>
              <w:t xml:space="preserve"> </w:t>
            </w:r>
            <w:proofErr w:type="spellStart"/>
            <w:r w:rsidRPr="003F6C4F">
              <w:rPr>
                <w:b/>
                <w:bCs/>
                <w:spacing w:val="-4"/>
                <w:position w:val="2"/>
              </w:rPr>
              <w:t>Y.trust</w:t>
            </w:r>
            <w:proofErr w:type="spellEnd"/>
            <w:r w:rsidRPr="003F6C4F">
              <w:rPr>
                <w:b/>
                <w:bCs/>
                <w:spacing w:val="-4"/>
                <w:position w:val="2"/>
              </w:rPr>
              <w:t>-TLA</w:t>
            </w:r>
            <w:r w:rsidRPr="003F6C4F">
              <w:rPr>
                <w:b/>
                <w:bCs/>
                <w:spacing w:val="-4"/>
                <w:position w:val="2"/>
                <w:rtl/>
              </w:rPr>
              <w:t xml:space="preserve">سابقاً) </w:t>
            </w:r>
            <w:bookmarkEnd w:id="1"/>
            <w:r w:rsidRPr="003F6C4F">
              <w:rPr>
                <w:b/>
                <w:bCs/>
                <w:spacing w:val="-4"/>
                <w:position w:val="2"/>
                <w:rtl/>
              </w:rPr>
              <w:t xml:space="preserve">بعد اجتماع لجنة الدراسات </w:t>
            </w:r>
            <w:r w:rsidRPr="003F6C4F">
              <w:rPr>
                <w:b/>
                <w:bCs/>
                <w:spacing w:val="-4"/>
                <w:position w:val="2"/>
              </w:rPr>
              <w:t>13</w:t>
            </w:r>
            <w:r w:rsidRPr="003F6C4F">
              <w:rPr>
                <w:b/>
                <w:bCs/>
                <w:spacing w:val="-4"/>
                <w:position w:val="2"/>
                <w:rtl/>
              </w:rPr>
              <w:t xml:space="preserve"> لقطاع تقييس الاتصالات (طشقند، 28 أكتوبر –</w:t>
            </w:r>
            <w:r w:rsidRPr="003F6C4F">
              <w:rPr>
                <w:b/>
                <w:bCs/>
                <w:spacing w:val="-4"/>
                <w:position w:val="2"/>
                <w:rtl/>
                <w:lang w:bidi="ar-SY"/>
              </w:rPr>
              <w:t xml:space="preserve"> 6 نوفمبر </w:t>
            </w:r>
            <w:r w:rsidRPr="003F6C4F">
              <w:rPr>
                <w:b/>
                <w:bCs/>
                <w:spacing w:val="-4"/>
                <w:position w:val="2"/>
                <w:rtl/>
              </w:rPr>
              <w:t>2025)</w:t>
            </w:r>
            <w:bookmarkEnd w:id="0"/>
          </w:p>
        </w:tc>
      </w:tr>
    </w:tbl>
    <w:p w14:paraId="3A0155F0" w14:textId="77777777" w:rsidR="00D517B2" w:rsidRPr="000129EB" w:rsidRDefault="00D517B2" w:rsidP="003F6C4F">
      <w:pPr>
        <w:spacing w:before="480"/>
        <w:rPr>
          <w:lang w:bidi="ar-SY"/>
        </w:rPr>
      </w:pPr>
      <w:r w:rsidRPr="000129EB">
        <w:rPr>
          <w:rFonts w:hint="cs"/>
          <w:rtl/>
          <w:lang w:bidi="ar-SY"/>
        </w:rPr>
        <w:t>حضرات السادة والسيدات،</w:t>
      </w:r>
    </w:p>
    <w:p w14:paraId="604AA570" w14:textId="77777777" w:rsidR="00D517B2" w:rsidRPr="000129EB" w:rsidRDefault="00D517B2" w:rsidP="00D517B2">
      <w:pPr>
        <w:rPr>
          <w:rtl/>
          <w:lang w:bidi="ar-EG"/>
        </w:rPr>
      </w:pPr>
      <w:r w:rsidRPr="000129EB">
        <w:rPr>
          <w:rFonts w:hint="cs"/>
          <w:rtl/>
        </w:rPr>
        <w:t>تحية طيبة وبعد،</w:t>
      </w:r>
    </w:p>
    <w:p w14:paraId="4B9F59B7" w14:textId="4970D7DE" w:rsidR="000129EB" w:rsidRPr="000129EB" w:rsidRDefault="000129EB" w:rsidP="000129EB">
      <w:pPr>
        <w:rPr>
          <w:rtl/>
        </w:rPr>
      </w:pPr>
      <w:r w:rsidRPr="000129EB">
        <w:rPr>
          <w:rtl/>
        </w:rPr>
        <w:t>1</w:t>
      </w:r>
      <w:r w:rsidRPr="000129EB">
        <w:rPr>
          <w:rtl/>
        </w:rPr>
        <w:tab/>
        <w:t xml:space="preserve">إلحاقاً </w:t>
      </w:r>
      <w:hyperlink r:id="rId10" w:history="1">
        <w:r w:rsidRPr="000129EB">
          <w:rPr>
            <w:rStyle w:val="Hyperlink"/>
            <w:rtl/>
          </w:rPr>
          <w:t xml:space="preserve">بالرسالة المعممة </w:t>
        </w:r>
        <w:r w:rsidRPr="000129EB">
          <w:rPr>
            <w:rStyle w:val="Hyperlink"/>
            <w:lang w:bidi="ar-SY"/>
          </w:rPr>
          <w:t>59</w:t>
        </w:r>
        <w:r w:rsidRPr="000129EB">
          <w:rPr>
            <w:rStyle w:val="Hyperlink"/>
            <w:rtl/>
          </w:rPr>
          <w:t xml:space="preserve"> لمكتب تقييس الاتصالات</w:t>
        </w:r>
      </w:hyperlink>
      <w:r w:rsidRPr="000129EB">
        <w:rPr>
          <w:rtl/>
        </w:rPr>
        <w:t xml:space="preserve"> المؤرخة </w:t>
      </w:r>
      <w:r w:rsidRPr="000129EB">
        <w:rPr>
          <w:lang w:val="fr-CH" w:bidi="ar-SY"/>
        </w:rPr>
        <w:t>12</w:t>
      </w:r>
      <w:r w:rsidRPr="000129EB">
        <w:rPr>
          <w:rtl/>
        </w:rPr>
        <w:t xml:space="preserve"> </w:t>
      </w:r>
      <w:r w:rsidRPr="000129EB">
        <w:rPr>
          <w:rFonts w:hint="cs"/>
          <w:rtl/>
        </w:rPr>
        <w:t>يونيو</w:t>
      </w:r>
      <w:r w:rsidRPr="000129EB">
        <w:rPr>
          <w:rtl/>
        </w:rPr>
        <w:t xml:space="preserve"> 2025</w:t>
      </w:r>
      <w:r w:rsidRPr="000129EB">
        <w:rPr>
          <w:rFonts w:hint="cs"/>
          <w:rtl/>
        </w:rPr>
        <w:t xml:space="preserve"> </w:t>
      </w:r>
      <w:hyperlink r:id="rId11" w:history="1">
        <w:r w:rsidRPr="007150B8">
          <w:rPr>
            <w:rFonts w:hint="cs"/>
            <w:rtl/>
          </w:rPr>
          <w:t>و</w:t>
        </w:r>
        <w:r w:rsidRPr="000129EB">
          <w:rPr>
            <w:rStyle w:val="Hyperlink"/>
            <w:rFonts w:hint="cs"/>
            <w:rtl/>
          </w:rPr>
          <w:t>الرسالة المعممة 65 لمكتب تقييس الاتصالات</w:t>
        </w:r>
      </w:hyperlink>
      <w:r w:rsidRPr="000129EB">
        <w:rPr>
          <w:rFonts w:hint="cs"/>
          <w:rtl/>
        </w:rPr>
        <w:t xml:space="preserve"> المؤرخة 28 يوليو 2025</w:t>
      </w:r>
      <w:r w:rsidRPr="000129EB">
        <w:rPr>
          <w:rtl/>
        </w:rPr>
        <w:t xml:space="preserve">، وعملاً </w:t>
      </w:r>
      <w:r w:rsidRPr="000129EB">
        <w:rPr>
          <w:rFonts w:hint="cs"/>
          <w:rtl/>
        </w:rPr>
        <w:t>بالفقرة</w:t>
      </w:r>
      <w:r w:rsidRPr="000129EB">
        <w:rPr>
          <w:rtl/>
        </w:rPr>
        <w:t xml:space="preserve"> 5.9</w:t>
      </w:r>
      <w:r w:rsidRPr="000129EB">
        <w:rPr>
          <w:rFonts w:hint="cs"/>
          <w:rtl/>
        </w:rPr>
        <w:t xml:space="preserve"> </w:t>
      </w:r>
      <w:r w:rsidRPr="000129EB">
        <w:rPr>
          <w:rtl/>
        </w:rPr>
        <w:t>من القرار</w:t>
      </w:r>
      <w:r w:rsidRPr="000129EB">
        <w:rPr>
          <w:rFonts w:hint="cs"/>
          <w:rtl/>
        </w:rPr>
        <w:t> </w:t>
      </w:r>
      <w:r w:rsidRPr="000129EB">
        <w:rPr>
          <w:rtl/>
        </w:rPr>
        <w:t>1 (المراجَع في جنيف، 2022)، أود إفادتكم بأن لجنة الدراسات</w:t>
      </w:r>
      <w:r>
        <w:rPr>
          <w:rFonts w:hint="cs"/>
          <w:rtl/>
        </w:rPr>
        <w:t> </w:t>
      </w:r>
      <w:r w:rsidRPr="000129EB">
        <w:rPr>
          <w:rFonts w:hint="cs"/>
          <w:rtl/>
        </w:rPr>
        <w:t>13</w:t>
      </w:r>
      <w:r w:rsidRPr="000129EB">
        <w:rPr>
          <w:rtl/>
        </w:rPr>
        <w:t xml:space="preserve"> </w:t>
      </w:r>
      <w:r w:rsidRPr="000129EB">
        <w:rPr>
          <w:rFonts w:hint="cs"/>
          <w:rtl/>
          <w:lang w:bidi="ar-SY"/>
        </w:rPr>
        <w:t xml:space="preserve">قد </w:t>
      </w:r>
      <w:r w:rsidRPr="000129EB">
        <w:rPr>
          <w:rtl/>
        </w:rPr>
        <w:t xml:space="preserve">توصلت إلى القرار التالي خلال </w:t>
      </w:r>
      <w:r w:rsidRPr="000129EB">
        <w:rPr>
          <w:rFonts w:hint="cs"/>
          <w:rtl/>
        </w:rPr>
        <w:t>جلستيها</w:t>
      </w:r>
      <w:r w:rsidRPr="000129EB">
        <w:rPr>
          <w:rtl/>
        </w:rPr>
        <w:t xml:space="preserve"> العام</w:t>
      </w:r>
      <w:r w:rsidRPr="000129EB">
        <w:rPr>
          <w:rFonts w:hint="cs"/>
          <w:rtl/>
        </w:rPr>
        <w:t>تين</w:t>
      </w:r>
      <w:r w:rsidRPr="000129EB">
        <w:rPr>
          <w:rtl/>
        </w:rPr>
        <w:t xml:space="preserve"> المنعقد</w:t>
      </w:r>
      <w:r w:rsidRPr="000129EB">
        <w:rPr>
          <w:rFonts w:hint="cs"/>
          <w:rtl/>
        </w:rPr>
        <w:t>تين</w:t>
      </w:r>
      <w:r w:rsidRPr="000129EB">
        <w:rPr>
          <w:rtl/>
        </w:rPr>
        <w:t xml:space="preserve"> في </w:t>
      </w:r>
      <w:r w:rsidRPr="000129EB">
        <w:rPr>
          <w:rFonts w:hint="cs"/>
          <w:rtl/>
        </w:rPr>
        <w:t xml:space="preserve">28 أكتوبر و6 نوفمبر </w:t>
      </w:r>
      <w:r w:rsidRPr="000129EB">
        <w:rPr>
          <w:rtl/>
        </w:rPr>
        <w:t xml:space="preserve">2025 في </w:t>
      </w:r>
      <w:r w:rsidRPr="000129EB">
        <w:rPr>
          <w:rFonts w:hint="cs"/>
          <w:rtl/>
        </w:rPr>
        <w:t>طشقند</w:t>
      </w:r>
      <w:r w:rsidRPr="000129EB">
        <w:rPr>
          <w:rtl/>
        </w:rPr>
        <w:t xml:space="preserve">، بشأن </w:t>
      </w:r>
      <w:r w:rsidRPr="000129EB">
        <w:rPr>
          <w:rFonts w:hint="cs"/>
          <w:rtl/>
        </w:rPr>
        <w:t>مشاريع</w:t>
      </w:r>
      <w:r w:rsidRPr="000129EB">
        <w:rPr>
          <w:rtl/>
        </w:rPr>
        <w:t xml:space="preserve"> </w:t>
      </w:r>
      <w:r w:rsidRPr="000129EB">
        <w:rPr>
          <w:rFonts w:hint="cs"/>
          <w:rtl/>
        </w:rPr>
        <w:t>نصوص</w:t>
      </w:r>
      <w:r w:rsidRPr="000129EB">
        <w:rPr>
          <w:rtl/>
        </w:rPr>
        <w:t xml:space="preserve"> قطاع تقييس الاتصالات </w:t>
      </w:r>
      <w:r w:rsidRPr="000129EB">
        <w:rPr>
          <w:rFonts w:hint="cs"/>
          <w:rtl/>
        </w:rPr>
        <w:t>التالية</w:t>
      </w:r>
      <w:r w:rsidRPr="000129EB">
        <w:rPr>
          <w:rtl/>
        </w:rPr>
        <w:t>: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6"/>
        <w:gridCol w:w="5366"/>
        <w:gridCol w:w="1997"/>
      </w:tblGrid>
      <w:tr w:rsidR="000129EB" w:rsidRPr="000129EB" w14:paraId="2E32EE06" w14:textId="77777777" w:rsidTr="003F6C4F">
        <w:trPr>
          <w:trHeight w:val="15"/>
          <w:jc w:val="center"/>
        </w:trPr>
        <w:tc>
          <w:tcPr>
            <w:tcW w:w="1169" w:type="pct"/>
            <w:tcBorders>
              <w:right w:val="single" w:sz="6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F29E7DF" w14:textId="77777777" w:rsidR="000129EB" w:rsidRPr="000129EB" w:rsidRDefault="000129EB" w:rsidP="00D57E73">
            <w:pPr>
              <w:pStyle w:val="TableHead"/>
              <w:spacing w:line="240" w:lineRule="exact"/>
              <w:rPr>
                <w:lang w:val="ar-SA"/>
              </w:rPr>
            </w:pPr>
            <w:r w:rsidRPr="000129EB">
              <w:rPr>
                <w:rtl/>
              </w:rPr>
              <w:t>الرقم</w:t>
            </w:r>
          </w:p>
        </w:tc>
        <w:tc>
          <w:tcPr>
            <w:tcW w:w="2792" w:type="pct"/>
            <w:tcBorders>
              <w:left w:val="single" w:sz="6" w:space="0" w:color="auto"/>
              <w:right w:val="single" w:sz="6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5B15011" w14:textId="77777777" w:rsidR="000129EB" w:rsidRPr="000129EB" w:rsidRDefault="000129EB" w:rsidP="00D57E73">
            <w:pPr>
              <w:pStyle w:val="TableHead"/>
              <w:spacing w:line="240" w:lineRule="exact"/>
              <w:rPr>
                <w:lang w:val="ar-SA"/>
              </w:rPr>
            </w:pPr>
            <w:r w:rsidRPr="000129EB">
              <w:rPr>
                <w:rtl/>
              </w:rPr>
              <w:t>العنوان</w:t>
            </w:r>
          </w:p>
        </w:tc>
        <w:tc>
          <w:tcPr>
            <w:tcW w:w="1039" w:type="pct"/>
            <w:tcBorders>
              <w:left w:val="single" w:sz="6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E599841" w14:textId="77777777" w:rsidR="000129EB" w:rsidRPr="000129EB" w:rsidRDefault="000129EB" w:rsidP="00D57E73">
            <w:pPr>
              <w:pStyle w:val="TableHead"/>
              <w:spacing w:line="240" w:lineRule="exact"/>
              <w:rPr>
                <w:lang w:val="ar-SA"/>
              </w:rPr>
            </w:pPr>
            <w:r w:rsidRPr="000129EB">
              <w:rPr>
                <w:rtl/>
              </w:rPr>
              <w:t>القرار</w:t>
            </w:r>
          </w:p>
        </w:tc>
      </w:tr>
      <w:tr w:rsidR="000129EB" w:rsidRPr="000129EB" w14:paraId="47BC6DEB" w14:textId="77777777" w:rsidTr="003F6C4F">
        <w:trPr>
          <w:trHeight w:val="424"/>
          <w:jc w:val="center"/>
        </w:trPr>
        <w:tc>
          <w:tcPr>
            <w:tcW w:w="1169" w:type="pct"/>
            <w:tcBorders>
              <w:right w:val="single" w:sz="6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D79BBAC" w14:textId="6E119E34" w:rsidR="000129EB" w:rsidRPr="000129EB" w:rsidRDefault="000129EB" w:rsidP="00D57E73">
            <w:pPr>
              <w:pStyle w:val="Tabletexte"/>
              <w:spacing w:line="240" w:lineRule="exact"/>
              <w:jc w:val="left"/>
            </w:pPr>
            <w:hyperlink r:id="rId12" w:history="1">
              <w:r w:rsidRPr="000129EB">
                <w:rPr>
                  <w:rStyle w:val="Hyperlink"/>
                </w:rPr>
                <w:t>ITU-T Y.3188</w:t>
              </w:r>
            </w:hyperlink>
            <w:r w:rsidR="00097B79">
              <w:rPr>
                <w:rtl/>
              </w:rPr>
              <w:br/>
            </w:r>
            <w:r w:rsidRPr="000129EB">
              <w:rPr>
                <w:rFonts w:hint="cs"/>
                <w:rtl/>
              </w:rPr>
              <w:t>(</w:t>
            </w:r>
            <w:r w:rsidRPr="000129EB">
              <w:rPr>
                <w:lang w:val="fr-CH"/>
              </w:rPr>
              <w:t>Y.LDT-</w:t>
            </w:r>
            <w:proofErr w:type="spellStart"/>
            <w:r w:rsidRPr="000129EB">
              <w:rPr>
                <w:lang w:val="fr-CH"/>
              </w:rPr>
              <w:t>reqs</w:t>
            </w:r>
            <w:proofErr w:type="spellEnd"/>
            <w:r w:rsidRPr="000129EB">
              <w:rPr>
                <w:lang w:val="fr-CH"/>
              </w:rPr>
              <w:t>-</w:t>
            </w:r>
            <w:proofErr w:type="spellStart"/>
            <w:r w:rsidRPr="000129EB">
              <w:rPr>
                <w:lang w:val="fr-CH"/>
              </w:rPr>
              <w:t>funcs</w:t>
            </w:r>
            <w:proofErr w:type="spellEnd"/>
            <w:r w:rsidRPr="000129EB">
              <w:rPr>
                <w:rtl/>
              </w:rPr>
              <w:t xml:space="preserve"> </w:t>
            </w:r>
            <w:r w:rsidRPr="000129EB">
              <w:rPr>
                <w:rFonts w:hint="cs"/>
                <w:rtl/>
              </w:rPr>
              <w:t>سابقاً)</w:t>
            </w:r>
          </w:p>
        </w:tc>
        <w:tc>
          <w:tcPr>
            <w:tcW w:w="2792" w:type="pct"/>
            <w:tcBorders>
              <w:left w:val="single" w:sz="6" w:space="0" w:color="auto"/>
              <w:right w:val="single" w:sz="6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622176D2" w14:textId="700BE517" w:rsidR="000129EB" w:rsidRPr="000129EB" w:rsidRDefault="000129EB" w:rsidP="00D57E73">
            <w:pPr>
              <w:pStyle w:val="Tabletexte"/>
              <w:spacing w:line="240" w:lineRule="exact"/>
              <w:rPr>
                <w:lang w:val="ar-SA"/>
              </w:rPr>
            </w:pPr>
            <w:r w:rsidRPr="000129EB">
              <w:rPr>
                <w:rtl/>
                <w:lang w:bidi="ar-SA"/>
              </w:rPr>
              <w:t>شبكات الاتصالات المتنقلة الدولية-2020 وما بعدها</w:t>
            </w:r>
            <w:r w:rsidR="002D0B6C">
              <w:rPr>
                <w:rFonts w:hint="cs"/>
                <w:rtl/>
                <w:lang w:bidi="ar-SA"/>
              </w:rPr>
              <w:t xml:space="preserve">: </w:t>
            </w:r>
            <w:r w:rsidRPr="000129EB">
              <w:rPr>
                <w:rtl/>
                <w:lang w:bidi="ar-SA"/>
              </w:rPr>
              <w:t>متطلبات ووظائف التطبيقات التي تتطلب إرسال كميات كبيرة من البيانات</w:t>
            </w:r>
          </w:p>
        </w:tc>
        <w:tc>
          <w:tcPr>
            <w:tcW w:w="1039" w:type="pct"/>
            <w:tcBorders>
              <w:left w:val="single" w:sz="6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AFA19CB" w14:textId="65D64195" w:rsidR="000129EB" w:rsidRPr="000129EB" w:rsidRDefault="000129EB" w:rsidP="00D57E73">
            <w:pPr>
              <w:pStyle w:val="Tabletexte"/>
              <w:spacing w:line="240" w:lineRule="exact"/>
              <w:jc w:val="left"/>
              <w:rPr>
                <w:lang w:val="ar-SA"/>
              </w:rPr>
            </w:pPr>
            <w:r w:rsidRPr="000129EB">
              <w:rPr>
                <w:rtl/>
                <w:lang w:bidi="ar-SA"/>
              </w:rPr>
              <w:t>تمت الموافقة عليه</w:t>
            </w:r>
            <w:r w:rsidRPr="000129EB">
              <w:rPr>
                <w:rFonts w:hint="cs"/>
                <w:rtl/>
                <w:lang w:bidi="ar-SA"/>
              </w:rPr>
              <w:t>ا</w:t>
            </w:r>
            <w:r w:rsidR="00097B79">
              <w:rPr>
                <w:rtl/>
                <w:lang w:bidi="ar-SA"/>
              </w:rPr>
              <w:br/>
            </w:r>
            <w:r w:rsidRPr="000129EB">
              <w:rPr>
                <w:rFonts w:hint="cs"/>
                <w:rtl/>
                <w:lang w:bidi="ar-SA"/>
              </w:rPr>
              <w:t>(28 أكتوبر 2025)</w:t>
            </w:r>
          </w:p>
        </w:tc>
      </w:tr>
      <w:tr w:rsidR="000129EB" w:rsidRPr="000129EB" w14:paraId="59A968BE" w14:textId="77777777" w:rsidTr="003F6C4F">
        <w:trPr>
          <w:trHeight w:val="487"/>
          <w:jc w:val="center"/>
        </w:trPr>
        <w:tc>
          <w:tcPr>
            <w:tcW w:w="1169" w:type="pct"/>
            <w:tcBorders>
              <w:right w:val="single" w:sz="6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E792270" w14:textId="1DF05A0F" w:rsidR="000129EB" w:rsidRPr="000129EB" w:rsidRDefault="00097B79" w:rsidP="00D57E73">
            <w:pPr>
              <w:pStyle w:val="Tabletexte"/>
              <w:spacing w:line="240" w:lineRule="exact"/>
              <w:jc w:val="left"/>
            </w:pPr>
            <w:hyperlink r:id="rId13" w:history="1">
              <w:r w:rsidRPr="000129EB">
                <w:rPr>
                  <w:rStyle w:val="Hyperlink"/>
                  <w:lang w:val="fr-CH"/>
                </w:rPr>
                <w:t>ITU-T Y.3222</w:t>
              </w:r>
            </w:hyperlink>
            <w:r>
              <w:rPr>
                <w:rtl/>
                <w:lang w:bidi="ar-SA"/>
              </w:rPr>
              <w:br/>
            </w:r>
            <w:r w:rsidR="000129EB" w:rsidRPr="003F6C4F">
              <w:rPr>
                <w:spacing w:val="-4"/>
                <w:rtl/>
                <w:lang w:bidi="ar-SA"/>
              </w:rPr>
              <w:t>(</w:t>
            </w:r>
            <w:proofErr w:type="gramStart"/>
            <w:r w:rsidR="000129EB" w:rsidRPr="003F6C4F">
              <w:rPr>
                <w:spacing w:val="-4"/>
              </w:rPr>
              <w:t>Y.FMSC</w:t>
            </w:r>
            <w:proofErr w:type="gramEnd"/>
            <w:r w:rsidR="000129EB" w:rsidRPr="003F6C4F">
              <w:rPr>
                <w:spacing w:val="-4"/>
              </w:rPr>
              <w:t>-</w:t>
            </w:r>
            <w:proofErr w:type="spellStart"/>
            <w:r w:rsidR="000129EB" w:rsidRPr="003F6C4F">
              <w:rPr>
                <w:spacing w:val="-4"/>
              </w:rPr>
              <w:t>ConTrans</w:t>
            </w:r>
            <w:proofErr w:type="spellEnd"/>
            <w:r w:rsidR="000129EB" w:rsidRPr="003F6C4F">
              <w:rPr>
                <w:spacing w:val="-4"/>
                <w:rtl/>
              </w:rPr>
              <w:t xml:space="preserve"> </w:t>
            </w:r>
            <w:r w:rsidR="000129EB" w:rsidRPr="003F6C4F">
              <w:rPr>
                <w:spacing w:val="-4"/>
                <w:rtl/>
                <w:lang w:bidi="ar-SA"/>
              </w:rPr>
              <w:t>سابقاً)</w:t>
            </w:r>
          </w:p>
        </w:tc>
        <w:tc>
          <w:tcPr>
            <w:tcW w:w="2792" w:type="pct"/>
            <w:tcBorders>
              <w:left w:val="single" w:sz="6" w:space="0" w:color="auto"/>
              <w:right w:val="single" w:sz="6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682B04D7" w14:textId="77777777" w:rsidR="000129EB" w:rsidRPr="00FE34F2" w:rsidRDefault="000129EB" w:rsidP="00D57E73">
            <w:pPr>
              <w:pStyle w:val="Tabletexte"/>
              <w:spacing w:line="240" w:lineRule="exact"/>
              <w:rPr>
                <w:spacing w:val="-2"/>
                <w:lang w:val="ar-SA"/>
              </w:rPr>
            </w:pPr>
            <w:r w:rsidRPr="00FE34F2">
              <w:rPr>
                <w:rFonts w:hint="cs"/>
                <w:spacing w:val="-2"/>
                <w:rtl/>
                <w:lang w:bidi="ar-SA"/>
              </w:rPr>
              <w:t xml:space="preserve">تقارب الاتصالات الثابتة والمتنقلة والساتلية - </w:t>
            </w:r>
            <w:r w:rsidRPr="00FE34F2">
              <w:rPr>
                <w:spacing w:val="-2"/>
                <w:rtl/>
                <w:lang w:bidi="ar-SA"/>
              </w:rPr>
              <w:t xml:space="preserve">المتطلبات الوظيفية </w:t>
            </w:r>
            <w:r w:rsidRPr="00FE34F2">
              <w:rPr>
                <w:rFonts w:hint="cs"/>
                <w:spacing w:val="-2"/>
                <w:rtl/>
                <w:lang w:bidi="ar-SA"/>
              </w:rPr>
              <w:t>والمعمارية</w:t>
            </w:r>
            <w:r w:rsidRPr="00FE34F2">
              <w:rPr>
                <w:spacing w:val="-2"/>
                <w:rtl/>
                <w:lang w:bidi="ar-SA"/>
              </w:rPr>
              <w:t xml:space="preserve"> الوظيفية لكيان التحكم الموحد القائم على نموذج المحو</w:t>
            </w:r>
            <w:r w:rsidRPr="00FE34F2">
              <w:rPr>
                <w:rFonts w:hint="cs"/>
                <w:spacing w:val="-2"/>
                <w:rtl/>
                <w:lang w:bidi="ar-SA"/>
              </w:rPr>
              <w:t>ّ</w:t>
            </w:r>
            <w:r w:rsidRPr="00FE34F2">
              <w:rPr>
                <w:spacing w:val="-2"/>
                <w:rtl/>
                <w:lang w:bidi="ar-SA"/>
              </w:rPr>
              <w:t>ل</w:t>
            </w:r>
          </w:p>
        </w:tc>
        <w:tc>
          <w:tcPr>
            <w:tcW w:w="1039" w:type="pct"/>
            <w:tcBorders>
              <w:left w:val="single" w:sz="6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84567BC" w14:textId="5AAAAACF" w:rsidR="000129EB" w:rsidRPr="000129EB" w:rsidRDefault="000129EB" w:rsidP="00D57E73">
            <w:pPr>
              <w:pStyle w:val="Tabletexte"/>
              <w:spacing w:line="240" w:lineRule="exact"/>
              <w:jc w:val="left"/>
              <w:rPr>
                <w:lang w:val="ar-SA"/>
              </w:rPr>
            </w:pPr>
            <w:r w:rsidRPr="000129EB">
              <w:rPr>
                <w:rtl/>
                <w:lang w:bidi="ar-SA"/>
              </w:rPr>
              <w:t>تمت الموافقة عليها</w:t>
            </w:r>
            <w:r w:rsidR="00097B79">
              <w:rPr>
                <w:rtl/>
              </w:rPr>
              <w:br/>
            </w:r>
            <w:r w:rsidRPr="000129EB">
              <w:rPr>
                <w:rFonts w:hint="cs"/>
                <w:rtl/>
              </w:rPr>
              <w:t>(28 أكتوبر 2025)</w:t>
            </w:r>
          </w:p>
        </w:tc>
      </w:tr>
      <w:tr w:rsidR="000129EB" w:rsidRPr="000129EB" w14:paraId="54649AE3" w14:textId="77777777" w:rsidTr="003F6C4F">
        <w:trPr>
          <w:trHeight w:val="487"/>
          <w:jc w:val="center"/>
        </w:trPr>
        <w:tc>
          <w:tcPr>
            <w:tcW w:w="1169" w:type="pct"/>
            <w:tcBorders>
              <w:right w:val="single" w:sz="6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6955B292" w14:textId="170B474F" w:rsidR="000129EB" w:rsidRPr="000129EB" w:rsidRDefault="000129EB" w:rsidP="00D57E73">
            <w:pPr>
              <w:pStyle w:val="Tabletexte"/>
              <w:spacing w:line="240" w:lineRule="exact"/>
              <w:jc w:val="left"/>
            </w:pPr>
            <w:hyperlink r:id="rId14" w:history="1">
              <w:r w:rsidRPr="000129EB">
                <w:rPr>
                  <w:rStyle w:val="Hyperlink"/>
                  <w:lang w:val="fr-CH"/>
                </w:rPr>
                <w:t>ITU-T Y.3221</w:t>
              </w:r>
            </w:hyperlink>
            <w:r w:rsidR="00097B79">
              <w:rPr>
                <w:rtl/>
                <w:lang w:bidi="ar-SA"/>
              </w:rPr>
              <w:br/>
            </w:r>
            <w:r w:rsidRPr="000129EB">
              <w:rPr>
                <w:rtl/>
                <w:lang w:bidi="ar-SA"/>
              </w:rPr>
              <w:t>(</w:t>
            </w:r>
            <w:proofErr w:type="gramStart"/>
            <w:r w:rsidRPr="000129EB">
              <w:t>Y.FMSC</w:t>
            </w:r>
            <w:proofErr w:type="gramEnd"/>
            <w:r w:rsidRPr="000129EB">
              <w:t>-LDS</w:t>
            </w:r>
            <w:r w:rsidRPr="000129EB">
              <w:rPr>
                <w:rFonts w:hint="cs"/>
                <w:rtl/>
              </w:rPr>
              <w:t xml:space="preserve"> سابقاً</w:t>
            </w:r>
            <w:r w:rsidRPr="000129EB">
              <w:rPr>
                <w:rtl/>
                <w:lang w:bidi="ar-SA"/>
              </w:rPr>
              <w:t>)</w:t>
            </w:r>
          </w:p>
        </w:tc>
        <w:tc>
          <w:tcPr>
            <w:tcW w:w="2792" w:type="pct"/>
            <w:tcBorders>
              <w:left w:val="single" w:sz="6" w:space="0" w:color="auto"/>
              <w:right w:val="single" w:sz="6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7B087F3" w14:textId="77777777" w:rsidR="000129EB" w:rsidRPr="000129EB" w:rsidRDefault="000129EB" w:rsidP="00D57E73">
            <w:pPr>
              <w:pStyle w:val="Tabletexte"/>
              <w:spacing w:line="240" w:lineRule="exact"/>
              <w:rPr>
                <w:lang w:val="fr-CH"/>
              </w:rPr>
            </w:pPr>
            <w:r w:rsidRPr="000129EB">
              <w:rPr>
                <w:rtl/>
                <w:lang w:bidi="ar-SA"/>
              </w:rPr>
              <w:t>تقارب الاتصالات الثابتة والمتنقلة والساتلية - التبديل المحلي للبيانات من أجل شبكات الاتصالات المتنقلة الدولية-2020 وما بعدها</w:t>
            </w:r>
          </w:p>
        </w:tc>
        <w:tc>
          <w:tcPr>
            <w:tcW w:w="1039" w:type="pct"/>
            <w:tcBorders>
              <w:left w:val="single" w:sz="6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6B66735D" w14:textId="2578C19E" w:rsidR="000129EB" w:rsidRPr="000129EB" w:rsidRDefault="000129EB" w:rsidP="00D57E73">
            <w:pPr>
              <w:pStyle w:val="Tabletexte"/>
              <w:spacing w:line="240" w:lineRule="exact"/>
              <w:jc w:val="left"/>
              <w:rPr>
                <w:rtl/>
              </w:rPr>
            </w:pPr>
            <w:r w:rsidRPr="000129EB">
              <w:rPr>
                <w:rtl/>
                <w:lang w:bidi="ar-SA"/>
              </w:rPr>
              <w:t>تمت الموافقة عليها</w:t>
            </w:r>
            <w:r w:rsidR="00097B79">
              <w:rPr>
                <w:rtl/>
              </w:rPr>
              <w:br/>
            </w:r>
            <w:r w:rsidRPr="000129EB">
              <w:rPr>
                <w:rFonts w:hint="cs"/>
                <w:rtl/>
              </w:rPr>
              <w:t>(6 نوفمبر 2025)</w:t>
            </w:r>
          </w:p>
        </w:tc>
      </w:tr>
      <w:tr w:rsidR="000129EB" w:rsidRPr="000129EB" w14:paraId="2061FD1C" w14:textId="77777777" w:rsidTr="003F6C4F">
        <w:trPr>
          <w:trHeight w:val="487"/>
          <w:jc w:val="center"/>
        </w:trPr>
        <w:tc>
          <w:tcPr>
            <w:tcW w:w="1169" w:type="pct"/>
            <w:tcBorders>
              <w:right w:val="single" w:sz="6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629EE585" w14:textId="5B1429F0" w:rsidR="000129EB" w:rsidRPr="000129EB" w:rsidRDefault="000129EB" w:rsidP="00D57E73">
            <w:pPr>
              <w:pStyle w:val="Tabletexte"/>
              <w:spacing w:line="240" w:lineRule="exact"/>
              <w:jc w:val="left"/>
              <w:rPr>
                <w:rtl/>
              </w:rPr>
            </w:pPr>
            <w:hyperlink r:id="rId15" w:history="1">
              <w:r w:rsidRPr="000129EB">
                <w:rPr>
                  <w:rStyle w:val="Hyperlink"/>
                  <w:lang w:val="fr-CH"/>
                </w:rPr>
                <w:t>ITU-T Y.3261</w:t>
              </w:r>
            </w:hyperlink>
            <w:r w:rsidR="00097B79">
              <w:rPr>
                <w:rtl/>
              </w:rPr>
              <w:br/>
            </w:r>
            <w:r w:rsidRPr="000129EB">
              <w:rPr>
                <w:rFonts w:hint="cs"/>
                <w:rtl/>
              </w:rPr>
              <w:t>(</w:t>
            </w:r>
            <w:proofErr w:type="spellStart"/>
            <w:proofErr w:type="gramStart"/>
            <w:r w:rsidRPr="000129EB">
              <w:rPr>
                <w:lang w:val="fr-CH"/>
              </w:rPr>
              <w:t>Y.trust</w:t>
            </w:r>
            <w:proofErr w:type="spellEnd"/>
            <w:proofErr w:type="gramEnd"/>
            <w:r w:rsidRPr="000129EB">
              <w:rPr>
                <w:lang w:val="fr-CH"/>
              </w:rPr>
              <w:t>-TLA</w:t>
            </w:r>
            <w:r w:rsidRPr="000129EB">
              <w:rPr>
                <w:rFonts w:hint="cs"/>
                <w:rtl/>
              </w:rPr>
              <w:t xml:space="preserve"> سابقاً)</w:t>
            </w:r>
          </w:p>
        </w:tc>
        <w:tc>
          <w:tcPr>
            <w:tcW w:w="2792" w:type="pct"/>
            <w:tcBorders>
              <w:left w:val="single" w:sz="6" w:space="0" w:color="auto"/>
              <w:right w:val="single" w:sz="6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4D7FA82" w14:textId="77777777" w:rsidR="000129EB" w:rsidRPr="000129EB" w:rsidRDefault="000129EB" w:rsidP="00D57E73">
            <w:pPr>
              <w:pStyle w:val="Tabletexte"/>
              <w:spacing w:line="240" w:lineRule="exact"/>
              <w:rPr>
                <w:lang w:val="ar-SA"/>
              </w:rPr>
            </w:pPr>
            <w:r w:rsidRPr="000129EB">
              <w:rPr>
                <w:rtl/>
                <w:lang w:bidi="ar-SA"/>
              </w:rPr>
              <w:t>إطار لتقييم مستوى الثقة من أجل التوصيل الشبكي الجدير بالثقة</w:t>
            </w:r>
          </w:p>
        </w:tc>
        <w:tc>
          <w:tcPr>
            <w:tcW w:w="1039" w:type="pct"/>
            <w:tcBorders>
              <w:left w:val="single" w:sz="6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4252751" w14:textId="1A5AEFB5" w:rsidR="000129EB" w:rsidRPr="000129EB" w:rsidRDefault="000129EB" w:rsidP="00D57E73">
            <w:pPr>
              <w:pStyle w:val="Tabletexte"/>
              <w:spacing w:line="240" w:lineRule="exact"/>
              <w:jc w:val="left"/>
              <w:rPr>
                <w:rtl/>
              </w:rPr>
            </w:pPr>
            <w:r w:rsidRPr="000129EB">
              <w:rPr>
                <w:rtl/>
                <w:lang w:bidi="ar-SA"/>
              </w:rPr>
              <w:t>تمت الموافقة عليها</w:t>
            </w:r>
            <w:r w:rsidR="00097B79">
              <w:rPr>
                <w:rtl/>
              </w:rPr>
              <w:br/>
            </w:r>
            <w:r w:rsidRPr="000129EB">
              <w:rPr>
                <w:rFonts w:hint="cs"/>
                <w:rtl/>
              </w:rPr>
              <w:t>(6 نوفمبر 2025)</w:t>
            </w:r>
          </w:p>
        </w:tc>
      </w:tr>
    </w:tbl>
    <w:p w14:paraId="6A37D4DD" w14:textId="633F5006" w:rsidR="000129EB" w:rsidRPr="000129EB" w:rsidRDefault="000129EB" w:rsidP="000129EB">
      <w:pPr>
        <w:rPr>
          <w:lang w:val="ar-SA" w:bidi="ar-SY"/>
        </w:rPr>
      </w:pPr>
      <w:r w:rsidRPr="000129EB">
        <w:rPr>
          <w:rFonts w:hint="cs"/>
          <w:rtl/>
        </w:rPr>
        <w:lastRenderedPageBreak/>
        <w:t>2</w:t>
      </w:r>
      <w:r w:rsidRPr="000129EB">
        <w:rPr>
          <w:rtl/>
        </w:rPr>
        <w:tab/>
        <w:t xml:space="preserve">ويمكن النفاذ إلى المعلومات المتاحة بشأن البراءات عبر الإنترنت من خلال </w:t>
      </w:r>
      <w:hyperlink r:id="rId16" w:history="1">
        <w:r w:rsidRPr="000129EB">
          <w:rPr>
            <w:rStyle w:val="Hyperlink"/>
            <w:rtl/>
          </w:rPr>
          <w:t>الموقع الإلكتروني لقطاع تقييس الاتصالات</w:t>
        </w:r>
      </w:hyperlink>
      <w:r w:rsidRPr="000129EB">
        <w:rPr>
          <w:rtl/>
        </w:rPr>
        <w:t>.</w:t>
      </w:r>
    </w:p>
    <w:p w14:paraId="7AEE1D3D" w14:textId="5C427FD9" w:rsidR="000129EB" w:rsidRPr="000129EB" w:rsidRDefault="000129EB" w:rsidP="000129EB">
      <w:pPr>
        <w:rPr>
          <w:lang w:val="ar-SA" w:bidi="ar-SY"/>
        </w:rPr>
      </w:pPr>
      <w:r w:rsidRPr="000129EB">
        <w:rPr>
          <w:rFonts w:hint="cs"/>
          <w:rtl/>
        </w:rPr>
        <w:t>3</w:t>
      </w:r>
      <w:r w:rsidRPr="000129EB">
        <w:rPr>
          <w:rtl/>
        </w:rPr>
        <w:tab/>
        <w:t xml:space="preserve">وستُتاح نصوص التوصيات بصيغتها السابقة للنشر في الموقع الإلكتروني لقطاع تقييس الاتصالات عبر الرابط </w:t>
      </w:r>
      <w:hyperlink r:id="rId17" w:history="1">
        <w:r w:rsidRPr="000129EB">
          <w:rPr>
            <w:rStyle w:val="Hyperlink"/>
            <w:lang w:val="en-GB" w:bidi="ar-SY"/>
          </w:rPr>
          <w:t>https://www.itu.int/itu-t/recommendations/</w:t>
        </w:r>
      </w:hyperlink>
      <w:r w:rsidRPr="000129EB">
        <w:rPr>
          <w:rFonts w:hint="cs"/>
          <w:rtl/>
        </w:rPr>
        <w:t>.</w:t>
      </w:r>
    </w:p>
    <w:p w14:paraId="1BE4B023" w14:textId="77777777" w:rsidR="000129EB" w:rsidRPr="000129EB" w:rsidRDefault="000129EB" w:rsidP="000129EB">
      <w:pPr>
        <w:rPr>
          <w:rtl/>
        </w:rPr>
      </w:pPr>
      <w:r w:rsidRPr="000129EB">
        <w:rPr>
          <w:rFonts w:hint="cs"/>
          <w:rtl/>
        </w:rPr>
        <w:t>4</w:t>
      </w:r>
      <w:r w:rsidRPr="000129EB">
        <w:rPr>
          <w:rtl/>
        </w:rPr>
        <w:tab/>
        <w:t>وسينشر الاتحاد</w:t>
      </w:r>
      <w:r w:rsidRPr="000129EB">
        <w:rPr>
          <w:rFonts w:hint="cs"/>
          <w:rtl/>
        </w:rPr>
        <w:t xml:space="preserve"> الدولي للاتصالات</w:t>
      </w:r>
      <w:r w:rsidRPr="000129EB">
        <w:rPr>
          <w:rtl/>
        </w:rPr>
        <w:t xml:space="preserve"> نص التوصيات الموافَق عليها في أقرب وقت ممكن.</w:t>
      </w:r>
    </w:p>
    <w:p w14:paraId="2DED01BD" w14:textId="5B07C761" w:rsidR="00E84438" w:rsidRPr="000129EB" w:rsidRDefault="001C5FB1" w:rsidP="00891703">
      <w:pPr>
        <w:spacing w:before="240"/>
        <w:jc w:val="left"/>
        <w:rPr>
          <w:rtl/>
          <w:lang w:bidi="ar-EG"/>
        </w:rPr>
      </w:pPr>
      <w:r>
        <w:rPr>
          <w:rFonts w:hint="cs"/>
          <w:noProof/>
          <w:rtl/>
          <w:lang w:val="ar-EG" w:bidi="ar-EG"/>
        </w:rPr>
        <w:drawing>
          <wp:anchor distT="0" distB="0" distL="114300" distR="114300" simplePos="0" relativeHeight="251658240" behindDoc="1" locked="0" layoutInCell="1" allowOverlap="1" wp14:anchorId="0668940D" wp14:editId="7E4F190A">
            <wp:simplePos x="0" y="0"/>
            <wp:positionH relativeFrom="column">
              <wp:posOffset>5331460</wp:posOffset>
            </wp:positionH>
            <wp:positionV relativeFrom="paragraph">
              <wp:posOffset>312420</wp:posOffset>
            </wp:positionV>
            <wp:extent cx="768389" cy="368319"/>
            <wp:effectExtent l="0" t="0" r="0" b="0"/>
            <wp:wrapNone/>
            <wp:docPr id="1022013863" name="Picture 1" descr="A black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013863" name="Picture 1" descr="A black and white text&#10;&#10;AI-generated content may b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89" cy="368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4438" w:rsidRPr="000129EB">
        <w:rPr>
          <w:rFonts w:hint="cs"/>
          <w:rtl/>
          <w:lang w:bidi="ar-EG"/>
        </w:rPr>
        <w:t>وتفضلوا بقبول فائق التقدير والاحترام.</w:t>
      </w:r>
    </w:p>
    <w:p w14:paraId="1B7DDFCB" w14:textId="52BDEBB1" w:rsidR="00DD6915" w:rsidRDefault="00807031" w:rsidP="0076062C">
      <w:pPr>
        <w:spacing w:before="720"/>
        <w:jc w:val="left"/>
        <w:rPr>
          <w:lang w:bidi="ar-EG"/>
        </w:rPr>
      </w:pPr>
      <w:r w:rsidRPr="000129EB">
        <w:rPr>
          <w:rFonts w:hint="cs"/>
          <w:rtl/>
          <w:lang w:bidi="ar-SY"/>
        </w:rPr>
        <w:t>سيزو أونوي</w:t>
      </w:r>
      <w:r w:rsidR="00E84438" w:rsidRPr="000129EB">
        <w:rPr>
          <w:rtl/>
          <w:lang w:bidi="ar-SY"/>
        </w:rPr>
        <w:br/>
      </w:r>
      <w:r w:rsidR="00E84438" w:rsidRPr="000129EB">
        <w:rPr>
          <w:rFonts w:hint="cs"/>
          <w:rtl/>
          <w:lang w:bidi="ar-SY"/>
        </w:rPr>
        <w:t>مدير</w:t>
      </w:r>
      <w:r w:rsidR="00E84438" w:rsidRPr="000129EB">
        <w:rPr>
          <w:rtl/>
          <w:lang w:bidi="ar-SY"/>
        </w:rPr>
        <w:t xml:space="preserve"> </w:t>
      </w:r>
      <w:r w:rsidR="00E84438" w:rsidRPr="000129EB">
        <w:rPr>
          <w:rFonts w:hint="cs"/>
          <w:rtl/>
          <w:lang w:bidi="ar-SY"/>
        </w:rPr>
        <w:t>مكتب</w:t>
      </w:r>
      <w:r w:rsidR="00E84438" w:rsidRPr="000129EB">
        <w:rPr>
          <w:rtl/>
          <w:lang w:bidi="ar-SY"/>
        </w:rPr>
        <w:t xml:space="preserve"> </w:t>
      </w:r>
      <w:r w:rsidR="00E84438" w:rsidRPr="000129EB">
        <w:rPr>
          <w:rFonts w:hint="cs"/>
          <w:rtl/>
          <w:lang w:bidi="ar-SY"/>
        </w:rPr>
        <w:t>تقييس</w:t>
      </w:r>
      <w:r w:rsidR="00E84438" w:rsidRPr="000129EB">
        <w:rPr>
          <w:rtl/>
          <w:lang w:bidi="ar-SY"/>
        </w:rPr>
        <w:t xml:space="preserve"> </w:t>
      </w:r>
      <w:r w:rsidR="00E84438" w:rsidRPr="000129EB">
        <w:rPr>
          <w:rFonts w:hint="cs"/>
          <w:rtl/>
          <w:lang w:bidi="ar-SY"/>
        </w:rPr>
        <w:t>الاتصالات</w:t>
      </w:r>
    </w:p>
    <w:sectPr w:rsidR="00DD6915" w:rsidSect="006C3242">
      <w:headerReference w:type="default" r:id="rId19"/>
      <w:footerReference w:type="first" r:id="rId20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22A8D" w14:textId="77777777" w:rsidR="00140880" w:rsidRDefault="00140880" w:rsidP="006C3242">
      <w:pPr>
        <w:spacing w:before="0" w:line="240" w:lineRule="auto"/>
      </w:pPr>
      <w:r>
        <w:separator/>
      </w:r>
    </w:p>
  </w:endnote>
  <w:endnote w:type="continuationSeparator" w:id="0">
    <w:p w14:paraId="3B0F2DBC" w14:textId="77777777" w:rsidR="00140880" w:rsidRDefault="00140880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E8B64" w14:textId="77777777" w:rsidR="00926F44" w:rsidRPr="00926F44" w:rsidRDefault="00926F44" w:rsidP="00926F44">
    <w:pPr>
      <w:tabs>
        <w:tab w:val="left" w:pos="1191"/>
        <w:tab w:val="left" w:pos="1588"/>
        <w:tab w:val="left" w:pos="1985"/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  <w:rPr>
        <w:rFonts w:ascii="Calibri" w:eastAsia="Times New Roman" w:hAnsi="Calibri" w:cs="Times New Roman"/>
        <w:caps/>
        <w:noProof/>
        <w:sz w:val="16"/>
        <w:szCs w:val="20"/>
        <w:lang w:val="en-GB" w:eastAsia="en-US"/>
      </w:rPr>
    </w:pP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International Telecommunication Union • Place des Nations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CH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noBreakHyphen/>
      <w:t xml:space="preserve">1211 Geneva 20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Switzerland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br/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Tel: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 +41 22 730 5111 • 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Fax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: +41 22 733 7256 • E-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mail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: </w:t>
    </w:r>
    <w:hyperlink r:id="rId1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itumail@itu.int</w:t>
      </w:r>
    </w:hyperlink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• </w:t>
    </w:r>
    <w:hyperlink r:id="rId2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C320E" w14:textId="77777777" w:rsidR="00140880" w:rsidRDefault="00140880" w:rsidP="006C3242">
      <w:pPr>
        <w:spacing w:before="0" w:line="240" w:lineRule="auto"/>
      </w:pPr>
      <w:r>
        <w:separator/>
      </w:r>
    </w:p>
  </w:footnote>
  <w:footnote w:type="continuationSeparator" w:id="0">
    <w:p w14:paraId="3A36C954" w14:textId="77777777" w:rsidR="00140880" w:rsidRDefault="00140880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C03AE" w14:textId="5C72BB18" w:rsidR="00447F32" w:rsidRPr="00596808" w:rsidRDefault="00596808" w:rsidP="00B916A7">
    <w:pPr>
      <w:pStyle w:val="Header"/>
      <w:spacing w:after="240" w:line="192" w:lineRule="auto"/>
      <w:jc w:val="center"/>
    </w:pPr>
    <w:r w:rsidRPr="00596808">
      <w:rPr>
        <w:sz w:val="20"/>
        <w:szCs w:val="20"/>
      </w:rPr>
      <w:t xml:space="preserve">- </w:t>
    </w:r>
    <w:r w:rsidRPr="00596808">
      <w:rPr>
        <w:sz w:val="20"/>
        <w:szCs w:val="20"/>
      </w:rPr>
      <w:fldChar w:fldCharType="begin"/>
    </w:r>
    <w:r w:rsidRPr="00596808">
      <w:rPr>
        <w:sz w:val="20"/>
        <w:szCs w:val="20"/>
      </w:rPr>
      <w:instrText xml:space="preserve"> PAGE </w:instrText>
    </w:r>
    <w:r w:rsidRPr="00596808">
      <w:rPr>
        <w:sz w:val="20"/>
        <w:szCs w:val="20"/>
      </w:rPr>
      <w:fldChar w:fldCharType="separate"/>
    </w:r>
    <w:r w:rsidRPr="00596808">
      <w:rPr>
        <w:sz w:val="20"/>
        <w:szCs w:val="20"/>
      </w:rPr>
      <w:t>2</w:t>
    </w:r>
    <w:r w:rsidRPr="00596808">
      <w:rPr>
        <w:sz w:val="20"/>
        <w:szCs w:val="20"/>
      </w:rPr>
      <w:fldChar w:fldCharType="end"/>
    </w:r>
    <w:r w:rsidRPr="00596808">
      <w:rPr>
        <w:sz w:val="20"/>
        <w:szCs w:val="20"/>
      </w:rPr>
      <w:t xml:space="preserve"> -</w:t>
    </w:r>
    <w:r w:rsidR="00E84438">
      <w:rPr>
        <w:sz w:val="20"/>
        <w:szCs w:val="20"/>
        <w:rtl/>
      </w:rPr>
      <w:br/>
    </w:r>
    <w:r w:rsidR="007139D8">
      <w:rPr>
        <w:sz w:val="20"/>
        <w:szCs w:val="20"/>
        <w:lang w:bidi="ar-EG"/>
      </w:rPr>
      <w:t xml:space="preserve">TSB Circular </w:t>
    </w:r>
    <w:r w:rsidR="000129EB">
      <w:rPr>
        <w:sz w:val="20"/>
        <w:szCs w:val="20"/>
        <w:lang w:bidi="ar-EG"/>
      </w:rPr>
      <w:t>89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3831882">
    <w:abstractNumId w:val="9"/>
  </w:num>
  <w:num w:numId="2" w16cid:durableId="1921328497">
    <w:abstractNumId w:val="7"/>
  </w:num>
  <w:num w:numId="3" w16cid:durableId="1622371522">
    <w:abstractNumId w:val="6"/>
  </w:num>
  <w:num w:numId="4" w16cid:durableId="1460339227">
    <w:abstractNumId w:val="5"/>
  </w:num>
  <w:num w:numId="5" w16cid:durableId="833106561">
    <w:abstractNumId w:val="4"/>
  </w:num>
  <w:num w:numId="6" w16cid:durableId="1092124584">
    <w:abstractNumId w:val="8"/>
  </w:num>
  <w:num w:numId="7" w16cid:durableId="1713459371">
    <w:abstractNumId w:val="3"/>
  </w:num>
  <w:num w:numId="8" w16cid:durableId="127281750">
    <w:abstractNumId w:val="2"/>
  </w:num>
  <w:num w:numId="9" w16cid:durableId="1162307757">
    <w:abstractNumId w:val="1"/>
  </w:num>
  <w:num w:numId="10" w16cid:durableId="707528317">
    <w:abstractNumId w:val="0"/>
  </w:num>
  <w:num w:numId="11" w16cid:durableId="21335562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EB"/>
    <w:rsid w:val="00002A63"/>
    <w:rsid w:val="000129EB"/>
    <w:rsid w:val="0006468A"/>
    <w:rsid w:val="00090574"/>
    <w:rsid w:val="00097B79"/>
    <w:rsid w:val="000C1C0E"/>
    <w:rsid w:val="000C548A"/>
    <w:rsid w:val="000D74F9"/>
    <w:rsid w:val="000E327F"/>
    <w:rsid w:val="00140880"/>
    <w:rsid w:val="00146FE2"/>
    <w:rsid w:val="001513B1"/>
    <w:rsid w:val="001C0169"/>
    <w:rsid w:val="001C5FB1"/>
    <w:rsid w:val="001C78BE"/>
    <w:rsid w:val="001D1D50"/>
    <w:rsid w:val="001D6745"/>
    <w:rsid w:val="001E2788"/>
    <w:rsid w:val="001E446E"/>
    <w:rsid w:val="001F4353"/>
    <w:rsid w:val="002154EE"/>
    <w:rsid w:val="002276D2"/>
    <w:rsid w:val="0023283D"/>
    <w:rsid w:val="0026373E"/>
    <w:rsid w:val="00271C43"/>
    <w:rsid w:val="00290728"/>
    <w:rsid w:val="002978F4"/>
    <w:rsid w:val="002A09D5"/>
    <w:rsid w:val="002B028D"/>
    <w:rsid w:val="002D0B6C"/>
    <w:rsid w:val="002E196B"/>
    <w:rsid w:val="002E6541"/>
    <w:rsid w:val="00334924"/>
    <w:rsid w:val="003409BC"/>
    <w:rsid w:val="00351F61"/>
    <w:rsid w:val="00357185"/>
    <w:rsid w:val="003641F3"/>
    <w:rsid w:val="00372F67"/>
    <w:rsid w:val="00383829"/>
    <w:rsid w:val="003A3046"/>
    <w:rsid w:val="003C7EDF"/>
    <w:rsid w:val="003F4B29"/>
    <w:rsid w:val="003F6C4F"/>
    <w:rsid w:val="00400EC6"/>
    <w:rsid w:val="0042686F"/>
    <w:rsid w:val="004317D8"/>
    <w:rsid w:val="00434183"/>
    <w:rsid w:val="00443869"/>
    <w:rsid w:val="00447F32"/>
    <w:rsid w:val="004E11DC"/>
    <w:rsid w:val="00511272"/>
    <w:rsid w:val="00525DDD"/>
    <w:rsid w:val="005409AC"/>
    <w:rsid w:val="0055516A"/>
    <w:rsid w:val="005731DD"/>
    <w:rsid w:val="0058491B"/>
    <w:rsid w:val="00592EA5"/>
    <w:rsid w:val="00595B52"/>
    <w:rsid w:val="00596808"/>
    <w:rsid w:val="005A3170"/>
    <w:rsid w:val="005F56F6"/>
    <w:rsid w:val="006019C6"/>
    <w:rsid w:val="006144C6"/>
    <w:rsid w:val="006635B2"/>
    <w:rsid w:val="00677396"/>
    <w:rsid w:val="0069200F"/>
    <w:rsid w:val="006A65CB"/>
    <w:rsid w:val="006C1530"/>
    <w:rsid w:val="006C3242"/>
    <w:rsid w:val="006C7CC0"/>
    <w:rsid w:val="006E1BAD"/>
    <w:rsid w:val="006E6264"/>
    <w:rsid w:val="006F63F7"/>
    <w:rsid w:val="007025C7"/>
    <w:rsid w:val="00706D7A"/>
    <w:rsid w:val="007139D8"/>
    <w:rsid w:val="007150B8"/>
    <w:rsid w:val="00722F0D"/>
    <w:rsid w:val="0074420E"/>
    <w:rsid w:val="0076062C"/>
    <w:rsid w:val="00783E26"/>
    <w:rsid w:val="007C3BC7"/>
    <w:rsid w:val="007C3BCD"/>
    <w:rsid w:val="007D4ACF"/>
    <w:rsid w:val="007F0787"/>
    <w:rsid w:val="00807031"/>
    <w:rsid w:val="00810B7B"/>
    <w:rsid w:val="0082358A"/>
    <w:rsid w:val="008235CD"/>
    <w:rsid w:val="008247DE"/>
    <w:rsid w:val="00840B10"/>
    <w:rsid w:val="008513CB"/>
    <w:rsid w:val="00873469"/>
    <w:rsid w:val="00877F4B"/>
    <w:rsid w:val="00891703"/>
    <w:rsid w:val="008A7F84"/>
    <w:rsid w:val="0091702E"/>
    <w:rsid w:val="00923B0C"/>
    <w:rsid w:val="00926F44"/>
    <w:rsid w:val="0094021C"/>
    <w:rsid w:val="0094432F"/>
    <w:rsid w:val="00952F86"/>
    <w:rsid w:val="00982B28"/>
    <w:rsid w:val="009D313F"/>
    <w:rsid w:val="009F17C2"/>
    <w:rsid w:val="00A47A5A"/>
    <w:rsid w:val="00A52482"/>
    <w:rsid w:val="00A6683B"/>
    <w:rsid w:val="00A77C90"/>
    <w:rsid w:val="00A9156F"/>
    <w:rsid w:val="00A97F94"/>
    <w:rsid w:val="00AA7EA2"/>
    <w:rsid w:val="00AB0BC9"/>
    <w:rsid w:val="00AF6B5C"/>
    <w:rsid w:val="00B03099"/>
    <w:rsid w:val="00B05BC8"/>
    <w:rsid w:val="00B64B47"/>
    <w:rsid w:val="00B916A7"/>
    <w:rsid w:val="00BB0F08"/>
    <w:rsid w:val="00BD7D0D"/>
    <w:rsid w:val="00C002DE"/>
    <w:rsid w:val="00C221AE"/>
    <w:rsid w:val="00C53BF8"/>
    <w:rsid w:val="00C66157"/>
    <w:rsid w:val="00C674FE"/>
    <w:rsid w:val="00C67501"/>
    <w:rsid w:val="00C75633"/>
    <w:rsid w:val="00CE1C08"/>
    <w:rsid w:val="00CE2EE1"/>
    <w:rsid w:val="00CE3349"/>
    <w:rsid w:val="00CE36E5"/>
    <w:rsid w:val="00CF27F5"/>
    <w:rsid w:val="00CF3FFD"/>
    <w:rsid w:val="00CF7491"/>
    <w:rsid w:val="00D10CCF"/>
    <w:rsid w:val="00D22846"/>
    <w:rsid w:val="00D517B2"/>
    <w:rsid w:val="00D57E73"/>
    <w:rsid w:val="00D70893"/>
    <w:rsid w:val="00D76170"/>
    <w:rsid w:val="00D77D0F"/>
    <w:rsid w:val="00DA1CF0"/>
    <w:rsid w:val="00DC1E02"/>
    <w:rsid w:val="00DC24B4"/>
    <w:rsid w:val="00DC341A"/>
    <w:rsid w:val="00DC5FB0"/>
    <w:rsid w:val="00DD1EBB"/>
    <w:rsid w:val="00DD6915"/>
    <w:rsid w:val="00DF16DC"/>
    <w:rsid w:val="00E45211"/>
    <w:rsid w:val="00E473C5"/>
    <w:rsid w:val="00E84438"/>
    <w:rsid w:val="00E92863"/>
    <w:rsid w:val="00EB796D"/>
    <w:rsid w:val="00F058DC"/>
    <w:rsid w:val="00F24FC4"/>
    <w:rsid w:val="00F2676C"/>
    <w:rsid w:val="00F52941"/>
    <w:rsid w:val="00F84366"/>
    <w:rsid w:val="00F85089"/>
    <w:rsid w:val="00F974C5"/>
    <w:rsid w:val="00FA6F46"/>
    <w:rsid w:val="00FE34F2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0348F"/>
  <w15:chartTrackingRefBased/>
  <w15:docId w15:val="{EC2DE095-B9AE-440E-A5AF-9A2B0224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7C2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5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517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C341A"/>
    <w:pPr>
      <w:spacing w:after="0" w:line="240" w:lineRule="auto"/>
    </w:pPr>
    <w:rPr>
      <w:rFonts w:ascii="Dubai" w:hAnsi="Dubai" w:cs="Dubai"/>
    </w:rPr>
  </w:style>
  <w:style w:type="character" w:styleId="FollowedHyperlink">
    <w:name w:val="FollowedHyperlink"/>
    <w:basedOn w:val="DefaultParagraphFont"/>
    <w:uiPriority w:val="99"/>
    <w:semiHidden/>
    <w:unhideWhenUsed/>
    <w:rsid w:val="001C78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ITU-T/workprog/wp_item.aspx?isn=21526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itu.int/md/T25-TSB-CIR-0065/en" TargetMode="External"/><Relationship Id="rId17" Type="http://schemas.openxmlformats.org/officeDocument/2006/relationships/hyperlink" Target="https://www.itu.int/itu-t/recommendation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tu.int/net4/ipr/search.aspx?sector=ITU&amp;class=P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T25-TSB-CIR-0065/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ITU-T/workprog/wp_item.aspx?isn=21429" TargetMode="External"/><Relationship Id="rId10" Type="http://schemas.openxmlformats.org/officeDocument/2006/relationships/hyperlink" Target="https://www.itu.int/md/T25-TSB-CIR-0059/en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sbsg13@itu.int" TargetMode="External"/><Relationship Id="rId14" Type="http://schemas.openxmlformats.org/officeDocument/2006/relationships/hyperlink" Target="https://www.itu.int/ITU-T/workprog/wp_item.aspx?isn=21519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Pool\Templates\Arabic%20Templates%202025\ITU-T%20(TSB)\PA_TSB%20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5ACAA-6FD6-4240-BAC0-B9DF3F61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PA_TSB Circ.dotx</Template>
  <TotalTime>30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Kamaleldin, Mohamed</dc:creator>
  <cp:keywords/>
  <dc:description/>
  <cp:lastModifiedBy>Braud, Olivia</cp:lastModifiedBy>
  <cp:revision>5</cp:revision>
  <cp:lastPrinted>2025-12-02T10:04:00Z</cp:lastPrinted>
  <dcterms:created xsi:type="dcterms:W3CDTF">2025-11-24T08:26:00Z</dcterms:created>
  <dcterms:modified xsi:type="dcterms:W3CDTF">2025-12-02T10:04:00Z</dcterms:modified>
</cp:coreProperties>
</file>