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11"/>
        <w:tblW w:w="9990" w:type="dxa"/>
        <w:tblLayout w:type="fixed"/>
        <w:tblCellMar>
          <w:left w:w="0" w:type="dxa"/>
          <w:right w:w="0" w:type="dxa"/>
        </w:tblCellMar>
        <w:tblLook w:val="0000" w:firstRow="0" w:lastRow="0" w:firstColumn="0" w:lastColumn="0" w:noHBand="0" w:noVBand="0"/>
      </w:tblPr>
      <w:tblGrid>
        <w:gridCol w:w="1260"/>
        <w:gridCol w:w="6537"/>
        <w:gridCol w:w="2193"/>
      </w:tblGrid>
      <w:tr w:rsidR="00054866" w:rsidRPr="007F0DEF" w14:paraId="52AEE062" w14:textId="77777777" w:rsidTr="00054866">
        <w:trPr>
          <w:cantSplit/>
        </w:trPr>
        <w:tc>
          <w:tcPr>
            <w:tcW w:w="1260" w:type="dxa"/>
            <w:vAlign w:val="center"/>
          </w:tcPr>
          <w:p w14:paraId="3DE01FC6" w14:textId="77777777" w:rsidR="00054866" w:rsidRPr="007F0DEF" w:rsidRDefault="00054866" w:rsidP="00054866">
            <w:pPr>
              <w:tabs>
                <w:tab w:val="right" w:pos="8732"/>
              </w:tabs>
              <w:spacing w:before="0"/>
              <w:rPr>
                <w:b/>
                <w:bCs/>
                <w:iCs/>
                <w:color w:val="FFFFFF"/>
                <w:sz w:val="30"/>
                <w:szCs w:val="30"/>
                <w:lang w:val="es-ES"/>
              </w:rPr>
            </w:pPr>
            <w:r w:rsidRPr="007F0DEF">
              <w:rPr>
                <w:noProof/>
                <w:lang w:val="es-ES" w:eastAsia="zh-CN"/>
              </w:rPr>
              <w:drawing>
                <wp:inline distT="0" distB="0" distL="0" distR="0" wp14:anchorId="19E2FDE6" wp14:editId="3433226B">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37" w:type="dxa"/>
            <w:vAlign w:val="center"/>
          </w:tcPr>
          <w:p w14:paraId="5A2FBE64" w14:textId="77777777" w:rsidR="00054866" w:rsidRPr="007F0DEF" w:rsidRDefault="00054866" w:rsidP="00054866">
            <w:pPr>
              <w:spacing w:before="0"/>
              <w:rPr>
                <w:rFonts w:cs="Times New Roman Bold"/>
                <w:b/>
                <w:bCs/>
                <w:smallCaps/>
                <w:sz w:val="26"/>
                <w:szCs w:val="26"/>
                <w:lang w:val="es-ES"/>
              </w:rPr>
            </w:pPr>
            <w:r w:rsidRPr="007F0DEF">
              <w:rPr>
                <w:rFonts w:cs="Times New Roman Bold"/>
                <w:b/>
                <w:bCs/>
                <w:smallCaps/>
                <w:sz w:val="36"/>
                <w:szCs w:val="36"/>
                <w:lang w:val="es-ES"/>
              </w:rPr>
              <w:t>Unión Internacional de Telecomunicaciones</w:t>
            </w:r>
          </w:p>
          <w:p w14:paraId="74A7E12F" w14:textId="77777777" w:rsidR="00054866" w:rsidRPr="007F0DEF" w:rsidRDefault="00054866" w:rsidP="00054866">
            <w:pPr>
              <w:tabs>
                <w:tab w:val="right" w:pos="8732"/>
              </w:tabs>
              <w:spacing w:before="0"/>
              <w:rPr>
                <w:b/>
                <w:bCs/>
                <w:iCs/>
                <w:color w:val="FFFFFF"/>
                <w:sz w:val="30"/>
                <w:szCs w:val="30"/>
                <w:lang w:val="es-ES"/>
              </w:rPr>
            </w:pPr>
            <w:r w:rsidRPr="007F0DEF">
              <w:rPr>
                <w:rFonts w:cs="Times New Roman Bold"/>
                <w:b/>
                <w:bCs/>
                <w:iCs/>
                <w:smallCaps/>
                <w:sz w:val="28"/>
                <w:szCs w:val="28"/>
                <w:lang w:val="es-ES"/>
              </w:rPr>
              <w:t>Oficina de Normalización de las Telecomunicaciones</w:t>
            </w:r>
          </w:p>
        </w:tc>
        <w:tc>
          <w:tcPr>
            <w:tcW w:w="2193" w:type="dxa"/>
            <w:vAlign w:val="center"/>
          </w:tcPr>
          <w:p w14:paraId="6776C6A0" w14:textId="77777777" w:rsidR="00054866" w:rsidRPr="007F0DEF" w:rsidRDefault="00054866" w:rsidP="00054866">
            <w:pPr>
              <w:spacing w:before="0"/>
              <w:jc w:val="right"/>
              <w:rPr>
                <w:color w:val="FFFFFF"/>
                <w:sz w:val="26"/>
                <w:szCs w:val="26"/>
                <w:lang w:val="es-ES"/>
              </w:rPr>
            </w:pPr>
          </w:p>
        </w:tc>
      </w:tr>
    </w:tbl>
    <w:p w14:paraId="1D715E74" w14:textId="77777777" w:rsidR="002545AA" w:rsidRPr="00054866" w:rsidRDefault="002545AA" w:rsidP="00054866">
      <w:pPr>
        <w:spacing w:before="0"/>
        <w:rPr>
          <w:sz w:val="4"/>
          <w:szCs w:val="2"/>
          <w:lang w:val="es-ES"/>
        </w:rPr>
      </w:pPr>
    </w:p>
    <w:tbl>
      <w:tblPr>
        <w:tblW w:w="10080" w:type="dxa"/>
        <w:tblInd w:w="-90" w:type="dxa"/>
        <w:tblLayout w:type="fixed"/>
        <w:tblCellMar>
          <w:left w:w="0" w:type="dxa"/>
          <w:right w:w="0" w:type="dxa"/>
        </w:tblCellMar>
        <w:tblLook w:val="0000" w:firstRow="0" w:lastRow="0" w:firstColumn="0" w:lastColumn="0" w:noHBand="0" w:noVBand="0"/>
      </w:tblPr>
      <w:tblGrid>
        <w:gridCol w:w="1350"/>
        <w:gridCol w:w="3240"/>
        <w:gridCol w:w="5490"/>
      </w:tblGrid>
      <w:tr w:rsidR="002545AA" w:rsidRPr="007F0DEF" w14:paraId="5BAED284" w14:textId="77777777" w:rsidTr="00054866">
        <w:trPr>
          <w:cantSplit/>
          <w:trHeight w:val="531"/>
        </w:trPr>
        <w:tc>
          <w:tcPr>
            <w:tcW w:w="1350" w:type="dxa"/>
          </w:tcPr>
          <w:p w14:paraId="21415219" w14:textId="77777777" w:rsidR="002545AA" w:rsidRPr="007F0DEF" w:rsidRDefault="002545AA" w:rsidP="002C58A4">
            <w:pPr>
              <w:tabs>
                <w:tab w:val="left" w:pos="4111"/>
              </w:tabs>
              <w:spacing w:before="10"/>
              <w:ind w:left="57"/>
              <w:rPr>
                <w:szCs w:val="24"/>
                <w:lang w:val="es-ES"/>
              </w:rPr>
            </w:pPr>
          </w:p>
        </w:tc>
        <w:tc>
          <w:tcPr>
            <w:tcW w:w="3240" w:type="dxa"/>
          </w:tcPr>
          <w:p w14:paraId="61F74745" w14:textId="77777777" w:rsidR="002545AA" w:rsidRPr="007F0DEF" w:rsidRDefault="002545AA" w:rsidP="002C58A4">
            <w:pPr>
              <w:tabs>
                <w:tab w:val="left" w:pos="4111"/>
              </w:tabs>
              <w:spacing w:before="10"/>
              <w:ind w:left="57"/>
              <w:rPr>
                <w:b/>
                <w:lang w:val="es-ES"/>
              </w:rPr>
            </w:pPr>
          </w:p>
        </w:tc>
        <w:tc>
          <w:tcPr>
            <w:tcW w:w="5490" w:type="dxa"/>
          </w:tcPr>
          <w:p w14:paraId="66761920" w14:textId="428E87EE" w:rsidR="002545AA" w:rsidRPr="007F0DEF" w:rsidRDefault="002545AA" w:rsidP="00054866">
            <w:pPr>
              <w:pStyle w:val="Tabletext0"/>
              <w:tabs>
                <w:tab w:val="clear" w:pos="1134"/>
                <w:tab w:val="clear" w:pos="2268"/>
                <w:tab w:val="left" w:pos="794"/>
                <w:tab w:val="left" w:pos="1191"/>
                <w:tab w:val="left" w:pos="1588"/>
              </w:tabs>
              <w:spacing w:before="120" w:after="60"/>
              <w:rPr>
                <w:bCs/>
                <w:lang w:val="es-ES"/>
              </w:rPr>
            </w:pPr>
            <w:r w:rsidRPr="007F0DEF">
              <w:rPr>
                <w:lang w:val="es-ES"/>
              </w:rPr>
              <w:t xml:space="preserve">Ginebra, </w:t>
            </w:r>
            <w:r w:rsidR="001D1E64" w:rsidRPr="007F0DEF">
              <w:rPr>
                <w:lang w:val="es-ES"/>
              </w:rPr>
              <w:t>27 de octubre de 2025</w:t>
            </w:r>
          </w:p>
        </w:tc>
      </w:tr>
      <w:tr w:rsidR="002545AA" w:rsidRPr="007F0DEF" w14:paraId="031E6D64" w14:textId="77777777" w:rsidTr="00054866">
        <w:trPr>
          <w:cantSplit/>
          <w:trHeight w:val="649"/>
        </w:trPr>
        <w:tc>
          <w:tcPr>
            <w:tcW w:w="1350" w:type="dxa"/>
          </w:tcPr>
          <w:p w14:paraId="5CCEEF63" w14:textId="77777777" w:rsidR="002545AA" w:rsidRPr="007F0DEF" w:rsidRDefault="002545AA" w:rsidP="00054866">
            <w:pPr>
              <w:tabs>
                <w:tab w:val="left" w:pos="4111"/>
              </w:tabs>
              <w:spacing w:before="40" w:after="40"/>
              <w:ind w:left="90"/>
              <w:rPr>
                <w:szCs w:val="24"/>
                <w:lang w:val="es-ES"/>
              </w:rPr>
            </w:pPr>
            <w:r w:rsidRPr="00054866">
              <w:rPr>
                <w:b/>
                <w:bCs/>
                <w:szCs w:val="24"/>
                <w:lang w:val="es-ES"/>
              </w:rPr>
              <w:t>Ref</w:t>
            </w:r>
            <w:r w:rsidRPr="007F0DEF">
              <w:rPr>
                <w:szCs w:val="24"/>
                <w:lang w:val="es-ES"/>
              </w:rPr>
              <w:t>.:</w:t>
            </w:r>
          </w:p>
        </w:tc>
        <w:tc>
          <w:tcPr>
            <w:tcW w:w="3240" w:type="dxa"/>
          </w:tcPr>
          <w:p w14:paraId="09C29637" w14:textId="2DC8F77D" w:rsidR="002545AA" w:rsidRPr="007F0DEF" w:rsidRDefault="001D1E64" w:rsidP="002C58A4">
            <w:pPr>
              <w:tabs>
                <w:tab w:val="left" w:pos="4111"/>
              </w:tabs>
              <w:spacing w:before="40" w:after="40"/>
              <w:ind w:left="57"/>
              <w:rPr>
                <w:b/>
                <w:szCs w:val="24"/>
                <w:lang w:val="es-ES"/>
              </w:rPr>
            </w:pPr>
            <w:r w:rsidRPr="007F0DEF">
              <w:rPr>
                <w:b/>
                <w:lang w:val="es-ES"/>
              </w:rPr>
              <w:t>Circular</w:t>
            </w:r>
            <w:r w:rsidR="002545AA" w:rsidRPr="007F0DEF">
              <w:rPr>
                <w:b/>
                <w:lang w:val="es-ES"/>
              </w:rPr>
              <w:t xml:space="preserve"> TSB </w:t>
            </w:r>
            <w:r w:rsidRPr="007F0DEF">
              <w:rPr>
                <w:b/>
                <w:lang w:val="es-ES"/>
              </w:rPr>
              <w:t>83</w:t>
            </w:r>
          </w:p>
          <w:p w14:paraId="09096904" w14:textId="73311912" w:rsidR="002545AA" w:rsidRPr="007F0DEF" w:rsidRDefault="002545AA" w:rsidP="002C58A4">
            <w:pPr>
              <w:tabs>
                <w:tab w:val="left" w:pos="4111"/>
              </w:tabs>
              <w:spacing w:before="0" w:after="40"/>
              <w:ind w:left="57"/>
              <w:rPr>
                <w:u w:val="single"/>
                <w:lang w:val="es-ES"/>
              </w:rPr>
            </w:pPr>
            <w:bookmarkStart w:id="0" w:name="lt_pId018"/>
            <w:r w:rsidRPr="007F0DEF">
              <w:rPr>
                <w:lang w:val="es-ES"/>
              </w:rPr>
              <w:t>CE </w:t>
            </w:r>
            <w:r w:rsidR="001D1E64" w:rsidRPr="007F0DEF">
              <w:rPr>
                <w:lang w:val="es-ES"/>
              </w:rPr>
              <w:t>17</w:t>
            </w:r>
            <w:r w:rsidRPr="007F0DEF">
              <w:rPr>
                <w:lang w:val="es-ES"/>
              </w:rPr>
              <w:t>/XY</w:t>
            </w:r>
            <w:bookmarkEnd w:id="0"/>
          </w:p>
        </w:tc>
        <w:tc>
          <w:tcPr>
            <w:tcW w:w="5490" w:type="dxa"/>
            <w:vMerge w:val="restart"/>
          </w:tcPr>
          <w:p w14:paraId="7FDAD930" w14:textId="77777777" w:rsidR="001D1E64" w:rsidRPr="007F0DEF" w:rsidRDefault="001D1E64" w:rsidP="00054866">
            <w:pPr>
              <w:pStyle w:val="Tabletext0"/>
              <w:spacing w:before="20"/>
              <w:rPr>
                <w:szCs w:val="22"/>
                <w:lang w:val="es-ES"/>
              </w:rPr>
            </w:pPr>
            <w:r w:rsidRPr="007F0DEF">
              <w:rPr>
                <w:b/>
                <w:szCs w:val="22"/>
                <w:lang w:val="es-ES"/>
              </w:rPr>
              <w:t>A:</w:t>
            </w:r>
          </w:p>
          <w:p w14:paraId="09CB0080" w14:textId="632FD62D" w:rsidR="001D1E64" w:rsidRPr="007F0DEF" w:rsidRDefault="001D1E64" w:rsidP="00054866">
            <w:pPr>
              <w:pStyle w:val="Tabletext0"/>
              <w:tabs>
                <w:tab w:val="clear" w:pos="567"/>
                <w:tab w:val="clear" w:pos="851"/>
              </w:tabs>
              <w:spacing w:before="20"/>
              <w:ind w:left="220" w:hanging="141"/>
              <w:rPr>
                <w:szCs w:val="22"/>
                <w:lang w:val="es-ES"/>
              </w:rPr>
            </w:pPr>
            <w:r w:rsidRPr="007F0DEF">
              <w:rPr>
                <w:szCs w:val="22"/>
                <w:lang w:val="es-ES"/>
              </w:rPr>
              <w:t>–</w:t>
            </w:r>
            <w:r w:rsidRPr="007F0DEF">
              <w:rPr>
                <w:szCs w:val="22"/>
                <w:lang w:val="es-ES"/>
              </w:rPr>
              <w:tab/>
              <w:t>las Administraciones de los Estados Miembros de la Unión</w:t>
            </w:r>
          </w:p>
          <w:p w14:paraId="4BDEDDEE" w14:textId="3F8628F2" w:rsidR="001D1E64" w:rsidRPr="007F0DEF" w:rsidRDefault="001D1E64" w:rsidP="00054866">
            <w:pPr>
              <w:pStyle w:val="Tabletext0"/>
              <w:tabs>
                <w:tab w:val="clear" w:pos="567"/>
                <w:tab w:val="clear" w:pos="851"/>
              </w:tabs>
              <w:spacing w:before="20"/>
              <w:ind w:left="220" w:hanging="141"/>
              <w:rPr>
                <w:szCs w:val="22"/>
                <w:lang w:val="es-ES"/>
              </w:rPr>
            </w:pPr>
            <w:r w:rsidRPr="007F0DEF">
              <w:rPr>
                <w:szCs w:val="22"/>
                <w:lang w:val="es-ES"/>
              </w:rPr>
              <w:t>–</w:t>
            </w:r>
            <w:r w:rsidRPr="007F0DEF">
              <w:rPr>
                <w:szCs w:val="22"/>
                <w:lang w:val="es-ES"/>
              </w:rPr>
              <w:tab/>
              <w:t>el Estado de Palestina (Res. 99 (Rev. Dubái, 2018)</w:t>
            </w:r>
            <w:r w:rsidR="007F0DEF">
              <w:rPr>
                <w:szCs w:val="22"/>
                <w:lang w:val="es-ES"/>
              </w:rPr>
              <w:t>)</w:t>
            </w:r>
          </w:p>
          <w:p w14:paraId="3FF4CC7A" w14:textId="77777777" w:rsidR="001D1E64" w:rsidRPr="007F0DEF" w:rsidRDefault="001D1E64" w:rsidP="00054866">
            <w:pPr>
              <w:pStyle w:val="Tabletext0"/>
              <w:spacing w:before="20"/>
              <w:rPr>
                <w:szCs w:val="22"/>
                <w:lang w:val="es-ES"/>
              </w:rPr>
            </w:pPr>
            <w:r w:rsidRPr="007F0DEF">
              <w:rPr>
                <w:b/>
                <w:szCs w:val="22"/>
                <w:lang w:val="es-ES"/>
              </w:rPr>
              <w:t>Copia a:</w:t>
            </w:r>
          </w:p>
          <w:p w14:paraId="2D553612" w14:textId="77719DCF" w:rsidR="001D1E64" w:rsidRPr="007F0DEF" w:rsidRDefault="001D1E64" w:rsidP="00054866">
            <w:pPr>
              <w:pStyle w:val="Tabletext0"/>
              <w:tabs>
                <w:tab w:val="clear" w:pos="567"/>
                <w:tab w:val="clear" w:pos="851"/>
              </w:tabs>
              <w:spacing w:before="20"/>
              <w:ind w:left="220" w:hanging="141"/>
              <w:rPr>
                <w:szCs w:val="22"/>
                <w:lang w:val="es-ES"/>
              </w:rPr>
            </w:pPr>
            <w:r w:rsidRPr="007F0DEF">
              <w:rPr>
                <w:szCs w:val="22"/>
                <w:lang w:val="es-ES"/>
              </w:rPr>
              <w:t>–</w:t>
            </w:r>
            <w:r w:rsidRPr="007F0DEF">
              <w:rPr>
                <w:szCs w:val="22"/>
                <w:lang w:val="es-ES"/>
              </w:rPr>
              <w:tab/>
            </w:r>
            <w:r w:rsidRPr="007F0DEF">
              <w:rPr>
                <w:szCs w:val="18"/>
                <w:lang w:val="es-ES"/>
              </w:rPr>
              <w:t xml:space="preserve">los </w:t>
            </w:r>
            <w:r w:rsidRPr="007F0DEF">
              <w:rPr>
                <w:szCs w:val="22"/>
                <w:lang w:val="es-ES"/>
              </w:rPr>
              <w:t>Miembros</w:t>
            </w:r>
            <w:r w:rsidRPr="007F0DEF">
              <w:rPr>
                <w:szCs w:val="18"/>
                <w:lang w:val="es-ES"/>
              </w:rPr>
              <w:t xml:space="preserve"> </w:t>
            </w:r>
            <w:r w:rsidRPr="007F0DEF">
              <w:rPr>
                <w:szCs w:val="22"/>
                <w:lang w:val="es-ES"/>
              </w:rPr>
              <w:t>de</w:t>
            </w:r>
            <w:r w:rsidRPr="007F0DEF">
              <w:rPr>
                <w:szCs w:val="18"/>
                <w:lang w:val="es-ES"/>
              </w:rPr>
              <w:t xml:space="preserve"> Sector del UIT</w:t>
            </w:r>
            <w:r w:rsidRPr="007F0DEF">
              <w:rPr>
                <w:szCs w:val="22"/>
                <w:lang w:val="es-ES"/>
              </w:rPr>
              <w:t>-T;</w:t>
            </w:r>
          </w:p>
          <w:p w14:paraId="39080A89" w14:textId="4DECE310" w:rsidR="001D1E64" w:rsidRPr="007F0DEF" w:rsidRDefault="001D1E64" w:rsidP="00054866">
            <w:pPr>
              <w:pStyle w:val="Tabletext0"/>
              <w:tabs>
                <w:tab w:val="clear" w:pos="567"/>
                <w:tab w:val="clear" w:pos="851"/>
              </w:tabs>
              <w:spacing w:before="20"/>
              <w:ind w:left="220" w:hanging="141"/>
              <w:rPr>
                <w:szCs w:val="22"/>
                <w:lang w:val="es-ES"/>
              </w:rPr>
            </w:pPr>
            <w:r w:rsidRPr="007F0DEF">
              <w:rPr>
                <w:szCs w:val="22"/>
                <w:lang w:val="es-ES"/>
              </w:rPr>
              <w:t>–</w:t>
            </w:r>
            <w:r w:rsidRPr="007F0DEF">
              <w:rPr>
                <w:szCs w:val="22"/>
                <w:lang w:val="es-ES"/>
              </w:rPr>
              <w:tab/>
            </w:r>
            <w:r w:rsidRPr="007F0DEF">
              <w:rPr>
                <w:szCs w:val="18"/>
                <w:lang w:val="es-ES"/>
              </w:rPr>
              <w:t xml:space="preserve">los </w:t>
            </w:r>
            <w:r w:rsidRPr="007F0DEF">
              <w:rPr>
                <w:szCs w:val="22"/>
                <w:lang w:val="es-ES"/>
              </w:rPr>
              <w:t>Asociados</w:t>
            </w:r>
            <w:r w:rsidRPr="007F0DEF">
              <w:rPr>
                <w:szCs w:val="18"/>
                <w:lang w:val="es-ES"/>
              </w:rPr>
              <w:t xml:space="preserve"> de la Comisión de Estudio 17 del </w:t>
            </w:r>
            <w:r w:rsidRPr="007F0DEF">
              <w:rPr>
                <w:szCs w:val="22"/>
                <w:lang w:val="es-ES"/>
              </w:rPr>
              <w:t>UIT</w:t>
            </w:r>
            <w:r w:rsidRPr="007F0DEF">
              <w:rPr>
                <w:szCs w:val="18"/>
                <w:lang w:val="es-ES"/>
              </w:rPr>
              <w:t>-T</w:t>
            </w:r>
            <w:r w:rsidRPr="007F0DEF">
              <w:rPr>
                <w:szCs w:val="22"/>
                <w:lang w:val="es-ES"/>
              </w:rPr>
              <w:t>;</w:t>
            </w:r>
          </w:p>
          <w:p w14:paraId="0488F3E1" w14:textId="22EC92DA" w:rsidR="001D1E64" w:rsidRPr="007F0DEF" w:rsidRDefault="001D1E64" w:rsidP="00054866">
            <w:pPr>
              <w:pStyle w:val="Tabletext0"/>
              <w:tabs>
                <w:tab w:val="clear" w:pos="567"/>
                <w:tab w:val="clear" w:pos="851"/>
              </w:tabs>
              <w:spacing w:before="20"/>
              <w:ind w:left="220" w:hanging="141"/>
              <w:rPr>
                <w:szCs w:val="22"/>
                <w:lang w:val="es-ES"/>
              </w:rPr>
            </w:pPr>
            <w:r w:rsidRPr="007F0DEF">
              <w:rPr>
                <w:szCs w:val="22"/>
                <w:lang w:val="es-ES"/>
              </w:rPr>
              <w:t>–</w:t>
            </w:r>
            <w:r w:rsidRPr="007F0DEF">
              <w:rPr>
                <w:szCs w:val="22"/>
                <w:lang w:val="es-ES"/>
              </w:rPr>
              <w:tab/>
            </w:r>
            <w:r w:rsidRPr="007F0DEF">
              <w:rPr>
                <w:szCs w:val="18"/>
                <w:lang w:val="es-ES"/>
              </w:rPr>
              <w:t xml:space="preserve">las </w:t>
            </w:r>
            <w:r w:rsidRPr="007F0DEF">
              <w:rPr>
                <w:szCs w:val="22"/>
                <w:lang w:val="es-ES"/>
              </w:rPr>
              <w:t>Instituciones</w:t>
            </w:r>
            <w:r w:rsidRPr="007F0DEF">
              <w:rPr>
                <w:szCs w:val="18"/>
                <w:lang w:val="es-ES"/>
              </w:rPr>
              <w:t xml:space="preserve"> Académicas de la UIT;</w:t>
            </w:r>
          </w:p>
          <w:p w14:paraId="1500A481" w14:textId="389FBA56" w:rsidR="001D1E64" w:rsidRPr="007F0DEF" w:rsidRDefault="001D1E64" w:rsidP="00054866">
            <w:pPr>
              <w:pStyle w:val="Tabletext0"/>
              <w:tabs>
                <w:tab w:val="clear" w:pos="567"/>
                <w:tab w:val="clear" w:pos="851"/>
              </w:tabs>
              <w:spacing w:before="20"/>
              <w:ind w:left="220" w:hanging="141"/>
              <w:rPr>
                <w:szCs w:val="22"/>
                <w:lang w:val="es-ES"/>
              </w:rPr>
            </w:pPr>
            <w:r w:rsidRPr="007F0DEF">
              <w:rPr>
                <w:szCs w:val="22"/>
                <w:lang w:val="es-ES"/>
              </w:rPr>
              <w:t>–</w:t>
            </w:r>
            <w:r w:rsidRPr="007F0DEF">
              <w:rPr>
                <w:szCs w:val="22"/>
                <w:lang w:val="es-ES"/>
              </w:rPr>
              <w:tab/>
            </w:r>
            <w:r w:rsidRPr="007F0DEF">
              <w:rPr>
                <w:szCs w:val="18"/>
                <w:lang w:val="es-ES"/>
              </w:rPr>
              <w:t xml:space="preserve">el </w:t>
            </w:r>
            <w:proofErr w:type="gramStart"/>
            <w:r w:rsidRPr="00885AA7">
              <w:rPr>
                <w:szCs w:val="22"/>
                <w:lang w:val="es-ES"/>
              </w:rPr>
              <w:t>Presidente</w:t>
            </w:r>
            <w:proofErr w:type="gramEnd"/>
            <w:r w:rsidRPr="007F0DEF">
              <w:rPr>
                <w:szCs w:val="18"/>
                <w:lang w:val="es-ES"/>
              </w:rPr>
              <w:t xml:space="preserve"> y el </w:t>
            </w:r>
            <w:proofErr w:type="gramStart"/>
            <w:r w:rsidRPr="007F0DEF">
              <w:rPr>
                <w:szCs w:val="18"/>
                <w:lang w:val="es-ES"/>
              </w:rPr>
              <w:t>Vicepresidente</w:t>
            </w:r>
            <w:proofErr w:type="gramEnd"/>
            <w:r w:rsidRPr="007F0DEF">
              <w:rPr>
                <w:szCs w:val="18"/>
                <w:lang w:val="es-ES"/>
              </w:rPr>
              <w:t xml:space="preserve"> de la </w:t>
            </w:r>
            <w:r w:rsidRPr="007F0DEF">
              <w:rPr>
                <w:szCs w:val="22"/>
                <w:lang w:val="es-ES"/>
              </w:rPr>
              <w:t>Comisión</w:t>
            </w:r>
            <w:r w:rsidRPr="007F0DEF">
              <w:rPr>
                <w:szCs w:val="18"/>
                <w:lang w:val="es-ES"/>
              </w:rPr>
              <w:t xml:space="preserve"> de </w:t>
            </w:r>
            <w:r w:rsidRPr="007F0DEF">
              <w:rPr>
                <w:szCs w:val="22"/>
                <w:lang w:val="es-ES"/>
              </w:rPr>
              <w:t>Estudio</w:t>
            </w:r>
            <w:r w:rsidRPr="007F0DEF">
              <w:rPr>
                <w:szCs w:val="18"/>
                <w:lang w:val="es-ES"/>
              </w:rPr>
              <w:t> 17 del UIT-T</w:t>
            </w:r>
            <w:r w:rsidRPr="007F0DEF">
              <w:rPr>
                <w:szCs w:val="22"/>
                <w:lang w:val="es-ES"/>
              </w:rPr>
              <w:t>;</w:t>
            </w:r>
          </w:p>
          <w:p w14:paraId="54B3B151" w14:textId="6E15C015" w:rsidR="001D1E64" w:rsidRPr="007F0DEF" w:rsidRDefault="001D1E64" w:rsidP="00054866">
            <w:pPr>
              <w:pStyle w:val="Tabletext0"/>
              <w:tabs>
                <w:tab w:val="clear" w:pos="567"/>
                <w:tab w:val="clear" w:pos="851"/>
              </w:tabs>
              <w:spacing w:before="20"/>
              <w:ind w:left="220" w:hanging="141"/>
              <w:rPr>
                <w:szCs w:val="22"/>
                <w:lang w:val="es-ES"/>
              </w:rPr>
            </w:pPr>
            <w:r w:rsidRPr="007F0DEF">
              <w:rPr>
                <w:szCs w:val="22"/>
                <w:lang w:val="es-ES"/>
              </w:rPr>
              <w:t>–</w:t>
            </w:r>
            <w:r w:rsidRPr="007F0DEF">
              <w:rPr>
                <w:szCs w:val="22"/>
                <w:lang w:val="es-ES"/>
              </w:rPr>
              <w:tab/>
            </w:r>
            <w:r w:rsidRPr="007F0DEF">
              <w:rPr>
                <w:szCs w:val="18"/>
                <w:lang w:val="es-ES"/>
              </w:rPr>
              <w:t xml:space="preserve">el </w:t>
            </w:r>
            <w:proofErr w:type="gramStart"/>
            <w:r w:rsidRPr="007F0DEF">
              <w:rPr>
                <w:szCs w:val="22"/>
                <w:lang w:val="es-ES"/>
              </w:rPr>
              <w:t>Director</w:t>
            </w:r>
            <w:proofErr w:type="gramEnd"/>
            <w:r w:rsidRPr="007F0DEF">
              <w:rPr>
                <w:szCs w:val="18"/>
                <w:lang w:val="es-ES"/>
              </w:rPr>
              <w:t xml:space="preserve"> de la Oficina de Desarrollo de las Telecomunicaciones</w:t>
            </w:r>
            <w:r w:rsidRPr="007F0DEF">
              <w:rPr>
                <w:szCs w:val="22"/>
                <w:lang w:val="es-ES"/>
              </w:rPr>
              <w:t>;</w:t>
            </w:r>
          </w:p>
          <w:p w14:paraId="4D1D965E" w14:textId="107EEF08" w:rsidR="002545AA" w:rsidRPr="007F0DEF" w:rsidRDefault="001D1E64" w:rsidP="00054866">
            <w:pPr>
              <w:pStyle w:val="Tabletext0"/>
              <w:tabs>
                <w:tab w:val="clear" w:pos="567"/>
                <w:tab w:val="clear" w:pos="851"/>
              </w:tabs>
              <w:spacing w:before="20"/>
              <w:ind w:left="220" w:hanging="141"/>
              <w:rPr>
                <w:bCs/>
                <w:lang w:val="es-ES"/>
              </w:rPr>
            </w:pPr>
            <w:r w:rsidRPr="007F0DEF">
              <w:rPr>
                <w:szCs w:val="22"/>
                <w:lang w:val="es-ES"/>
              </w:rPr>
              <w:t>–</w:t>
            </w:r>
            <w:r w:rsidRPr="007F0DEF">
              <w:rPr>
                <w:szCs w:val="22"/>
                <w:lang w:val="es-ES"/>
              </w:rPr>
              <w:tab/>
            </w:r>
            <w:r w:rsidRPr="007F0DEF">
              <w:rPr>
                <w:szCs w:val="18"/>
                <w:lang w:val="es-ES"/>
              </w:rPr>
              <w:t xml:space="preserve">el </w:t>
            </w:r>
            <w:proofErr w:type="gramStart"/>
            <w:r w:rsidRPr="007F0DEF">
              <w:rPr>
                <w:szCs w:val="22"/>
                <w:lang w:val="es-ES"/>
              </w:rPr>
              <w:t>Director</w:t>
            </w:r>
            <w:proofErr w:type="gramEnd"/>
            <w:r w:rsidRPr="007F0DEF">
              <w:rPr>
                <w:szCs w:val="18"/>
                <w:lang w:val="es-ES"/>
              </w:rPr>
              <w:t xml:space="preserve"> de la Oficina de </w:t>
            </w:r>
            <w:r w:rsidRPr="007F0DEF">
              <w:rPr>
                <w:szCs w:val="22"/>
                <w:lang w:val="es-ES"/>
              </w:rPr>
              <w:t>Radiocomunicaciones</w:t>
            </w:r>
          </w:p>
        </w:tc>
      </w:tr>
      <w:tr w:rsidR="002545AA" w:rsidRPr="007F0DEF" w14:paraId="2EF8A298" w14:textId="77777777" w:rsidTr="00054866">
        <w:trPr>
          <w:cantSplit/>
          <w:trHeight w:val="390"/>
        </w:trPr>
        <w:tc>
          <w:tcPr>
            <w:tcW w:w="1350" w:type="dxa"/>
          </w:tcPr>
          <w:p w14:paraId="4157559E" w14:textId="77777777" w:rsidR="002545AA" w:rsidRPr="007F0DEF" w:rsidRDefault="002545AA" w:rsidP="00054866">
            <w:pPr>
              <w:tabs>
                <w:tab w:val="left" w:pos="4111"/>
              </w:tabs>
              <w:spacing w:before="40" w:after="40"/>
              <w:ind w:left="90"/>
              <w:rPr>
                <w:szCs w:val="24"/>
                <w:lang w:val="es-ES"/>
              </w:rPr>
            </w:pPr>
            <w:r w:rsidRPr="007F0DEF">
              <w:rPr>
                <w:szCs w:val="24"/>
                <w:lang w:val="es-ES"/>
              </w:rPr>
              <w:t>Tel.:</w:t>
            </w:r>
          </w:p>
        </w:tc>
        <w:tc>
          <w:tcPr>
            <w:tcW w:w="3240" w:type="dxa"/>
          </w:tcPr>
          <w:p w14:paraId="4E7C6265" w14:textId="6D9617BD" w:rsidR="002545AA" w:rsidRPr="007F0DEF" w:rsidRDefault="002545AA" w:rsidP="002C58A4">
            <w:pPr>
              <w:tabs>
                <w:tab w:val="left" w:pos="4111"/>
              </w:tabs>
              <w:spacing w:before="40" w:after="40"/>
              <w:ind w:left="57"/>
              <w:rPr>
                <w:lang w:val="es-ES"/>
              </w:rPr>
            </w:pPr>
            <w:r w:rsidRPr="007F0DEF">
              <w:rPr>
                <w:lang w:val="es-ES"/>
              </w:rPr>
              <w:t xml:space="preserve">+41 22 730 </w:t>
            </w:r>
            <w:r w:rsidR="001D1E64" w:rsidRPr="007F0DEF">
              <w:rPr>
                <w:lang w:val="es-ES"/>
              </w:rPr>
              <w:t>6206</w:t>
            </w:r>
          </w:p>
        </w:tc>
        <w:tc>
          <w:tcPr>
            <w:tcW w:w="5490" w:type="dxa"/>
            <w:vMerge/>
          </w:tcPr>
          <w:p w14:paraId="14D79EED" w14:textId="77777777" w:rsidR="002545AA" w:rsidRPr="007F0DEF" w:rsidRDefault="002545AA" w:rsidP="002C58A4">
            <w:pPr>
              <w:tabs>
                <w:tab w:val="left" w:pos="4111"/>
              </w:tabs>
              <w:spacing w:beforeLines="40" w:before="96" w:after="40"/>
              <w:ind w:left="57"/>
              <w:rPr>
                <w:bCs/>
                <w:lang w:val="es-ES"/>
              </w:rPr>
            </w:pPr>
          </w:p>
        </w:tc>
      </w:tr>
      <w:tr w:rsidR="002545AA" w:rsidRPr="007F0DEF" w14:paraId="00AB7670" w14:textId="77777777" w:rsidTr="00054866">
        <w:trPr>
          <w:cantSplit/>
          <w:trHeight w:val="431"/>
        </w:trPr>
        <w:tc>
          <w:tcPr>
            <w:tcW w:w="1350" w:type="dxa"/>
          </w:tcPr>
          <w:p w14:paraId="1382796A" w14:textId="77777777" w:rsidR="002545AA" w:rsidRPr="007F0DEF" w:rsidRDefault="002545AA" w:rsidP="00054866">
            <w:pPr>
              <w:tabs>
                <w:tab w:val="left" w:pos="4111"/>
              </w:tabs>
              <w:spacing w:before="40" w:after="40"/>
              <w:ind w:left="90"/>
              <w:rPr>
                <w:szCs w:val="24"/>
                <w:lang w:val="es-ES"/>
              </w:rPr>
            </w:pPr>
            <w:r w:rsidRPr="007F0DEF">
              <w:rPr>
                <w:szCs w:val="24"/>
                <w:lang w:val="es-ES"/>
              </w:rPr>
              <w:t>Fax:</w:t>
            </w:r>
          </w:p>
        </w:tc>
        <w:tc>
          <w:tcPr>
            <w:tcW w:w="3240" w:type="dxa"/>
          </w:tcPr>
          <w:p w14:paraId="0F7882F8" w14:textId="77777777" w:rsidR="002545AA" w:rsidRPr="007F0DEF" w:rsidRDefault="002545AA" w:rsidP="002C58A4">
            <w:pPr>
              <w:tabs>
                <w:tab w:val="left" w:pos="4111"/>
              </w:tabs>
              <w:spacing w:before="40" w:after="40"/>
              <w:ind w:left="57"/>
              <w:rPr>
                <w:lang w:val="es-ES"/>
              </w:rPr>
            </w:pPr>
            <w:r w:rsidRPr="007F0DEF">
              <w:rPr>
                <w:lang w:val="es-ES"/>
              </w:rPr>
              <w:t>+41 22 730 5853</w:t>
            </w:r>
          </w:p>
        </w:tc>
        <w:tc>
          <w:tcPr>
            <w:tcW w:w="5490" w:type="dxa"/>
            <w:vMerge/>
          </w:tcPr>
          <w:p w14:paraId="1D45250F" w14:textId="77777777" w:rsidR="002545AA" w:rsidRPr="007F0DEF" w:rsidRDefault="002545AA" w:rsidP="002C58A4">
            <w:pPr>
              <w:tabs>
                <w:tab w:val="left" w:pos="4111"/>
              </w:tabs>
              <w:spacing w:beforeLines="40" w:before="96" w:after="40"/>
              <w:ind w:left="57"/>
              <w:rPr>
                <w:bCs/>
                <w:lang w:val="es-ES"/>
              </w:rPr>
            </w:pPr>
          </w:p>
        </w:tc>
      </w:tr>
      <w:tr w:rsidR="002545AA" w:rsidRPr="007F0DEF" w14:paraId="347CD68B" w14:textId="77777777" w:rsidTr="00054866">
        <w:trPr>
          <w:cantSplit/>
        </w:trPr>
        <w:tc>
          <w:tcPr>
            <w:tcW w:w="1350" w:type="dxa"/>
          </w:tcPr>
          <w:p w14:paraId="4CEB4CD3" w14:textId="77777777" w:rsidR="002545AA" w:rsidRPr="007F0DEF" w:rsidRDefault="002545AA" w:rsidP="00054866">
            <w:pPr>
              <w:tabs>
                <w:tab w:val="left" w:pos="4111"/>
              </w:tabs>
              <w:spacing w:before="40" w:after="40"/>
              <w:ind w:left="90"/>
              <w:rPr>
                <w:szCs w:val="24"/>
                <w:lang w:val="es-ES"/>
              </w:rPr>
            </w:pPr>
            <w:r w:rsidRPr="007F0DEF">
              <w:rPr>
                <w:szCs w:val="24"/>
                <w:lang w:val="es-ES"/>
              </w:rPr>
              <w:t>Correo-e:</w:t>
            </w:r>
          </w:p>
        </w:tc>
        <w:tc>
          <w:tcPr>
            <w:tcW w:w="3240" w:type="dxa"/>
          </w:tcPr>
          <w:p w14:paraId="79EF25F3" w14:textId="18133D95" w:rsidR="002545AA" w:rsidRPr="007F0DEF" w:rsidRDefault="001D1E64" w:rsidP="002C58A4">
            <w:pPr>
              <w:tabs>
                <w:tab w:val="left" w:pos="4111"/>
              </w:tabs>
              <w:spacing w:before="40" w:after="40"/>
              <w:ind w:left="57"/>
              <w:rPr>
                <w:lang w:val="es-ES"/>
              </w:rPr>
            </w:pPr>
            <w:hyperlink r:id="rId9" w:history="1">
              <w:r w:rsidRPr="007F0DEF">
                <w:rPr>
                  <w:rStyle w:val="Hyperlink"/>
                  <w:szCs w:val="22"/>
                  <w:lang w:val="es-ES"/>
                </w:rPr>
                <w:t>tsbsg17@itu.int</w:t>
              </w:r>
            </w:hyperlink>
          </w:p>
        </w:tc>
        <w:tc>
          <w:tcPr>
            <w:tcW w:w="5490" w:type="dxa"/>
            <w:vMerge/>
          </w:tcPr>
          <w:p w14:paraId="668FC4C6" w14:textId="77777777" w:rsidR="002545AA" w:rsidRPr="007F0DEF" w:rsidRDefault="002545AA" w:rsidP="002C58A4">
            <w:pPr>
              <w:tabs>
                <w:tab w:val="left" w:pos="4111"/>
              </w:tabs>
              <w:spacing w:beforeLines="40" w:before="96" w:after="40"/>
              <w:ind w:left="57"/>
              <w:rPr>
                <w:lang w:val="es-ES"/>
              </w:rPr>
            </w:pPr>
          </w:p>
        </w:tc>
      </w:tr>
      <w:tr w:rsidR="002545AA" w:rsidRPr="007F0DEF" w14:paraId="2D49493A" w14:textId="77777777" w:rsidTr="00054866">
        <w:trPr>
          <w:cantSplit/>
        </w:trPr>
        <w:tc>
          <w:tcPr>
            <w:tcW w:w="1350" w:type="dxa"/>
          </w:tcPr>
          <w:p w14:paraId="343F5A94" w14:textId="3219A0FA" w:rsidR="002545AA" w:rsidRPr="007F0DEF" w:rsidRDefault="002545AA" w:rsidP="00054866">
            <w:pPr>
              <w:tabs>
                <w:tab w:val="left" w:pos="4111"/>
              </w:tabs>
              <w:spacing w:before="40" w:after="40"/>
              <w:ind w:left="90"/>
              <w:rPr>
                <w:szCs w:val="24"/>
                <w:lang w:val="es-ES"/>
              </w:rPr>
            </w:pPr>
          </w:p>
        </w:tc>
        <w:tc>
          <w:tcPr>
            <w:tcW w:w="3240" w:type="dxa"/>
          </w:tcPr>
          <w:p w14:paraId="7D82AF90" w14:textId="77777777" w:rsidR="002545AA" w:rsidRPr="007F0DEF" w:rsidRDefault="002545AA" w:rsidP="002C58A4">
            <w:pPr>
              <w:tabs>
                <w:tab w:val="left" w:pos="4111"/>
              </w:tabs>
              <w:spacing w:before="40" w:after="40"/>
              <w:ind w:left="57"/>
              <w:rPr>
                <w:lang w:val="es-ES"/>
              </w:rPr>
            </w:pPr>
          </w:p>
        </w:tc>
        <w:tc>
          <w:tcPr>
            <w:tcW w:w="5490" w:type="dxa"/>
            <w:vMerge/>
          </w:tcPr>
          <w:p w14:paraId="19961250" w14:textId="77777777" w:rsidR="002545AA" w:rsidRPr="007F0DEF" w:rsidRDefault="002545AA" w:rsidP="002C58A4">
            <w:pPr>
              <w:tabs>
                <w:tab w:val="left" w:pos="4111"/>
              </w:tabs>
              <w:spacing w:beforeLines="40" w:before="96" w:after="40"/>
              <w:ind w:left="57"/>
              <w:rPr>
                <w:lang w:val="es-ES"/>
              </w:rPr>
            </w:pPr>
          </w:p>
        </w:tc>
      </w:tr>
      <w:tr w:rsidR="002545AA" w:rsidRPr="007F0DEF" w14:paraId="2C82981D" w14:textId="77777777" w:rsidTr="00054866">
        <w:trPr>
          <w:cantSplit/>
          <w:trHeight w:val="680"/>
        </w:trPr>
        <w:tc>
          <w:tcPr>
            <w:tcW w:w="1350" w:type="dxa"/>
          </w:tcPr>
          <w:p w14:paraId="6F8AF874" w14:textId="77777777" w:rsidR="002545AA" w:rsidRPr="007F0DEF" w:rsidRDefault="002545AA" w:rsidP="00054866">
            <w:pPr>
              <w:tabs>
                <w:tab w:val="left" w:pos="4111"/>
              </w:tabs>
              <w:spacing w:before="40" w:after="40"/>
              <w:ind w:left="90"/>
              <w:rPr>
                <w:szCs w:val="24"/>
                <w:lang w:val="es-ES"/>
              </w:rPr>
            </w:pPr>
            <w:r w:rsidRPr="00054866">
              <w:rPr>
                <w:b/>
                <w:bCs/>
                <w:szCs w:val="24"/>
                <w:lang w:val="es-ES"/>
              </w:rPr>
              <w:t>Asunto</w:t>
            </w:r>
            <w:r w:rsidRPr="007F0DEF">
              <w:rPr>
                <w:szCs w:val="24"/>
                <w:lang w:val="es-ES"/>
              </w:rPr>
              <w:t>:</w:t>
            </w:r>
          </w:p>
        </w:tc>
        <w:tc>
          <w:tcPr>
            <w:tcW w:w="8730" w:type="dxa"/>
            <w:gridSpan w:val="2"/>
          </w:tcPr>
          <w:p w14:paraId="416A77CC" w14:textId="40D997DA" w:rsidR="002545AA" w:rsidRPr="007F0DEF" w:rsidRDefault="001D1E64" w:rsidP="002C58A4">
            <w:pPr>
              <w:tabs>
                <w:tab w:val="left" w:pos="4111"/>
              </w:tabs>
              <w:spacing w:before="40" w:after="40"/>
              <w:ind w:left="57"/>
              <w:rPr>
                <w:b/>
                <w:bCs/>
                <w:lang w:val="es-ES"/>
              </w:rPr>
            </w:pPr>
            <w:bookmarkStart w:id="1" w:name="_Hlk115258431"/>
            <w:r w:rsidRPr="007F0DEF">
              <w:rPr>
                <w:b/>
                <w:bCs/>
                <w:szCs w:val="18"/>
                <w:lang w:val="es-ES"/>
              </w:rPr>
              <w:t xml:space="preserve">Consulta a los Estados Miembros sobre el proyecto de Recomendación </w:t>
            </w:r>
            <w:bookmarkStart w:id="2" w:name="_Hlk113369711"/>
            <w:r w:rsidRPr="007F0DEF">
              <w:rPr>
                <w:b/>
                <w:bCs/>
                <w:szCs w:val="18"/>
                <w:lang w:val="es-ES"/>
              </w:rPr>
              <w:t xml:space="preserve">revisada </w:t>
            </w:r>
            <w:r w:rsidRPr="007F0DEF">
              <w:rPr>
                <w:b/>
                <w:szCs w:val="22"/>
                <w:lang w:val="es-ES"/>
              </w:rPr>
              <w:t>UIT-T X.1058 | ISO/CEI 2915</w:t>
            </w:r>
            <w:r w:rsidRPr="007F0DEF">
              <w:rPr>
                <w:b/>
                <w:bCs/>
                <w:szCs w:val="18"/>
                <w:lang w:val="es-ES"/>
              </w:rPr>
              <w:t xml:space="preserve"> determinada</w:t>
            </w:r>
            <w:r w:rsidRPr="007F0DEF">
              <w:rPr>
                <w:b/>
                <w:szCs w:val="22"/>
                <w:lang w:val="es-ES"/>
              </w:rPr>
              <w:t xml:space="preserve">, propuesto para su aprobación en la reunión de la Comisión </w:t>
            </w:r>
            <w:bookmarkEnd w:id="2"/>
            <w:r w:rsidRPr="007F0DEF">
              <w:rPr>
                <w:b/>
                <w:szCs w:val="22"/>
                <w:lang w:val="es-ES"/>
              </w:rPr>
              <w:t xml:space="preserve">de Estudio 17 del UIT-T </w:t>
            </w:r>
            <w:bookmarkEnd w:id="1"/>
            <w:r w:rsidRPr="007F0DEF">
              <w:rPr>
                <w:b/>
                <w:szCs w:val="22"/>
                <w:lang w:val="es-ES"/>
              </w:rPr>
              <w:t>(virtual, 6 de febrero de 2026)</w:t>
            </w:r>
          </w:p>
        </w:tc>
      </w:tr>
    </w:tbl>
    <w:p w14:paraId="50E8E2BF" w14:textId="0F7C230D" w:rsidR="001D1E64" w:rsidRPr="007F0DEF" w:rsidRDefault="001D1E64" w:rsidP="00054866">
      <w:pPr>
        <w:pStyle w:val="Normalaftertitle"/>
        <w:spacing w:before="120"/>
        <w:rPr>
          <w:szCs w:val="22"/>
          <w:lang w:val="es-ES"/>
        </w:rPr>
      </w:pPr>
      <w:bookmarkStart w:id="3" w:name="ditulogo"/>
      <w:bookmarkEnd w:id="3"/>
      <w:r w:rsidRPr="007F0DEF">
        <w:rPr>
          <w:lang w:val="es-ES"/>
        </w:rPr>
        <w:t>Estimado Señor/Estimada Señora</w:t>
      </w:r>
      <w:r w:rsidR="00054866">
        <w:rPr>
          <w:lang w:val="es-ES"/>
        </w:rPr>
        <w:t>,</w:t>
      </w:r>
    </w:p>
    <w:p w14:paraId="114FA523" w14:textId="6FDEF072" w:rsidR="001D1E64" w:rsidRPr="007F0DEF" w:rsidRDefault="001D1E64" w:rsidP="00E24A90">
      <w:pPr>
        <w:rPr>
          <w:szCs w:val="22"/>
          <w:lang w:val="es-ES"/>
        </w:rPr>
      </w:pPr>
      <w:r w:rsidRPr="007F0DEF">
        <w:rPr>
          <w:bCs/>
          <w:szCs w:val="22"/>
          <w:lang w:val="es-ES"/>
        </w:rPr>
        <w:t>1</w:t>
      </w:r>
      <w:r w:rsidRPr="007F0DEF">
        <w:rPr>
          <w:szCs w:val="22"/>
          <w:lang w:val="es-ES"/>
        </w:rPr>
        <w:tab/>
      </w:r>
      <w:proofErr w:type="gramStart"/>
      <w:r w:rsidRPr="007F0DEF">
        <w:rPr>
          <w:lang w:val="es-ES"/>
        </w:rPr>
        <w:t>La</w:t>
      </w:r>
      <w:proofErr w:type="gramEnd"/>
      <w:r w:rsidRPr="007F0DEF">
        <w:rPr>
          <w:lang w:val="es-ES"/>
        </w:rPr>
        <w:t xml:space="preserve"> Comisión de Estudio 17 (Seguridad) tiene previsto aplicar el procedimiento de aprobación tradicional descrito en la Sección 9 de la Resolución 1 (Rev. Ginebra, 2022) de la AMNT a efectos de la aprobación del proyecto de Recomendación indicado más arriba durante la sesión plenaria virtual de la CE 17 que se celebrará el </w:t>
      </w:r>
      <w:r w:rsidRPr="007F0DEF">
        <w:rPr>
          <w:szCs w:val="22"/>
          <w:lang w:val="es-ES"/>
        </w:rPr>
        <w:t xml:space="preserve">6 de febrero de 2026 y que se ha convocado únicamente con este propósito. </w:t>
      </w:r>
      <w:r w:rsidRPr="007F0DEF">
        <w:rPr>
          <w:lang w:val="es-ES"/>
        </w:rPr>
        <w:t>El orden del día y toda la información pertinente sobre la reunión de la Comisión de Estudio 17 del UIT</w:t>
      </w:r>
      <w:r w:rsidRPr="007F0DEF">
        <w:rPr>
          <w:lang w:val="es-ES"/>
        </w:rPr>
        <w:noBreakHyphen/>
        <w:t>T figurarán en la Carta Colectiva </w:t>
      </w:r>
      <w:hyperlink r:id="rId10" w:history="1">
        <w:r w:rsidRPr="007F0DEF">
          <w:rPr>
            <w:rStyle w:val="Hyperlink"/>
            <w:rFonts w:cstheme="minorHAnsi"/>
            <w:szCs w:val="22"/>
            <w:lang w:val="es-ES"/>
          </w:rPr>
          <w:t>5/</w:t>
        </w:r>
        <w:r w:rsidRPr="007F0DEF">
          <w:rPr>
            <w:rStyle w:val="Hyperlink"/>
            <w:rFonts w:cstheme="minorHAnsi"/>
            <w:szCs w:val="22"/>
            <w:lang w:val="es-ES"/>
          </w:rPr>
          <w:t>1</w:t>
        </w:r>
        <w:r w:rsidRPr="007F0DEF">
          <w:rPr>
            <w:rStyle w:val="Hyperlink"/>
            <w:rFonts w:cstheme="minorHAnsi"/>
            <w:szCs w:val="22"/>
            <w:lang w:val="es-ES"/>
          </w:rPr>
          <w:t>7</w:t>
        </w:r>
      </w:hyperlink>
      <w:r w:rsidRPr="007F0DEF">
        <w:rPr>
          <w:szCs w:val="22"/>
          <w:lang w:val="es-ES"/>
        </w:rPr>
        <w:t>.</w:t>
      </w:r>
    </w:p>
    <w:p w14:paraId="377EEAD6" w14:textId="77777777" w:rsidR="001D1E64" w:rsidRPr="007F0DEF" w:rsidRDefault="001D1E64" w:rsidP="00E24A90">
      <w:pPr>
        <w:rPr>
          <w:szCs w:val="22"/>
          <w:lang w:val="es-ES"/>
        </w:rPr>
      </w:pPr>
      <w:r w:rsidRPr="007F0DEF">
        <w:rPr>
          <w:bCs/>
          <w:szCs w:val="22"/>
          <w:lang w:val="es-ES"/>
        </w:rPr>
        <w:t>2</w:t>
      </w:r>
      <w:r w:rsidRPr="007F0DEF">
        <w:rPr>
          <w:szCs w:val="22"/>
          <w:lang w:val="es-ES"/>
        </w:rPr>
        <w:tab/>
      </w:r>
      <w:proofErr w:type="gramStart"/>
      <w:r w:rsidRPr="007F0DEF">
        <w:rPr>
          <w:szCs w:val="18"/>
          <w:lang w:val="es-ES"/>
        </w:rPr>
        <w:t>El</w:t>
      </w:r>
      <w:proofErr w:type="gramEnd"/>
      <w:r w:rsidRPr="007F0DEF">
        <w:rPr>
          <w:szCs w:val="18"/>
          <w:lang w:val="es-ES"/>
        </w:rPr>
        <w:t xml:space="preserve"> </w:t>
      </w:r>
      <w:r w:rsidRPr="007F0DEF">
        <w:rPr>
          <w:b/>
          <w:bCs/>
          <w:szCs w:val="18"/>
          <w:lang w:val="es-ES"/>
        </w:rPr>
        <w:t>Anexo 1</w:t>
      </w:r>
      <w:r w:rsidRPr="007F0DEF">
        <w:rPr>
          <w:szCs w:val="18"/>
          <w:lang w:val="es-ES"/>
        </w:rPr>
        <w:t xml:space="preserve"> contiene el título, resumen y ubicación del proyecto de Recomendación UIT-T propuesto para aprobación</w:t>
      </w:r>
      <w:r w:rsidRPr="007F0DEF">
        <w:rPr>
          <w:szCs w:val="22"/>
          <w:lang w:val="es-ES"/>
        </w:rPr>
        <w:t>.</w:t>
      </w:r>
    </w:p>
    <w:p w14:paraId="1B03D349" w14:textId="4B0E5DBE" w:rsidR="001D1E64" w:rsidRPr="007F0DEF" w:rsidRDefault="001D1E64" w:rsidP="00E24A90">
      <w:pPr>
        <w:pStyle w:val="Note"/>
        <w:rPr>
          <w:szCs w:val="22"/>
          <w:lang w:val="es-ES"/>
        </w:rPr>
      </w:pPr>
      <w:r w:rsidRPr="007F0DEF">
        <w:rPr>
          <w:lang w:val="es-ES"/>
        </w:rPr>
        <w:t>NOTA 1 de la TSB – No se ha presentado un documento justificativo de la Recomendación UIT</w:t>
      </w:r>
      <w:r w:rsidRPr="007F0DEF">
        <w:rPr>
          <w:lang w:val="es-ES"/>
        </w:rPr>
        <w:noBreakHyphen/>
        <w:t>T A.5 para este texto determinado</w:t>
      </w:r>
      <w:r w:rsidRPr="007F0DEF">
        <w:rPr>
          <w:szCs w:val="22"/>
          <w:lang w:val="es-ES"/>
        </w:rPr>
        <w:t>.</w:t>
      </w:r>
    </w:p>
    <w:p w14:paraId="7CCD4C31" w14:textId="4CA4E952" w:rsidR="001D1E64" w:rsidRPr="007F0DEF" w:rsidRDefault="001D1E64" w:rsidP="00E24A90">
      <w:pPr>
        <w:pStyle w:val="Note"/>
        <w:rPr>
          <w:szCs w:val="22"/>
          <w:lang w:val="es-ES"/>
        </w:rPr>
      </w:pPr>
      <w:r w:rsidRPr="007F0DEF">
        <w:rPr>
          <w:szCs w:val="18"/>
          <w:lang w:val="es-ES"/>
        </w:rPr>
        <w:t xml:space="preserve">NOTA 2 de la TSB – En la fecha de la presente Circular, la TSB no había recibido ninguna declaración relativa a los derechos de propiedad intelectual (DPI) en relación con estos textos determinados. Para obtener información actualizada, se invita a los miembros a consultar la base de datos de DPI en </w:t>
      </w:r>
      <w:hyperlink r:id="rId11" w:history="1">
        <w:r w:rsidRPr="007F0DEF">
          <w:rPr>
            <w:rStyle w:val="Hyperlink"/>
            <w:szCs w:val="22"/>
            <w:lang w:val="es-ES"/>
          </w:rPr>
          <w:t>w</w:t>
        </w:r>
        <w:r w:rsidRPr="007F0DEF">
          <w:rPr>
            <w:rStyle w:val="Hyperlink"/>
            <w:szCs w:val="22"/>
            <w:lang w:val="es-ES"/>
          </w:rPr>
          <w:t>w</w:t>
        </w:r>
        <w:r w:rsidRPr="007F0DEF">
          <w:rPr>
            <w:rStyle w:val="Hyperlink"/>
            <w:szCs w:val="22"/>
            <w:lang w:val="es-ES"/>
          </w:rPr>
          <w:t>w.itu.int/ipr/</w:t>
        </w:r>
      </w:hyperlink>
      <w:r w:rsidRPr="007F0DEF">
        <w:rPr>
          <w:szCs w:val="22"/>
          <w:lang w:val="es-ES"/>
        </w:rPr>
        <w:t>.</w:t>
      </w:r>
    </w:p>
    <w:p w14:paraId="49E598B8" w14:textId="77777777" w:rsidR="00054866" w:rsidRDefault="001D1E64" w:rsidP="00054866">
      <w:pPr>
        <w:rPr>
          <w:szCs w:val="22"/>
          <w:lang w:val="es-ES"/>
        </w:rPr>
      </w:pPr>
      <w:r w:rsidRPr="007F0DEF">
        <w:rPr>
          <w:bCs/>
          <w:szCs w:val="22"/>
          <w:lang w:val="es-ES"/>
        </w:rPr>
        <w:t>3</w:t>
      </w:r>
      <w:r w:rsidRPr="007F0DEF">
        <w:rPr>
          <w:szCs w:val="22"/>
          <w:lang w:val="es-ES"/>
        </w:rPr>
        <w:tab/>
      </w:r>
      <w:proofErr w:type="gramStart"/>
      <w:r w:rsidRPr="007F0DEF">
        <w:rPr>
          <w:szCs w:val="18"/>
          <w:lang w:val="es-ES"/>
        </w:rPr>
        <w:t>Con</w:t>
      </w:r>
      <w:proofErr w:type="gramEnd"/>
      <w:r w:rsidRPr="007F0DEF">
        <w:rPr>
          <w:szCs w:val="18"/>
          <w:lang w:val="es-ES"/>
        </w:rPr>
        <w:t xml:space="preserve"> esta Circular se inicia la consulta oficial con los Estados Miembros de la UIT sobre si este texto puede considerarse para su aprobación en la próxima reunión, de acuerdo con la cláusula 9.4 de la Resolución 1. Se ruega a los Estados Miembros que cumplimenten y devuelvan el formulario incluido en el </w:t>
      </w:r>
      <w:r w:rsidRPr="007F0DEF">
        <w:rPr>
          <w:b/>
          <w:bCs/>
          <w:szCs w:val="18"/>
          <w:lang w:val="es-ES"/>
        </w:rPr>
        <w:t>Anexo 2</w:t>
      </w:r>
      <w:r w:rsidRPr="007F0DEF">
        <w:rPr>
          <w:szCs w:val="18"/>
          <w:lang w:val="es-ES"/>
        </w:rPr>
        <w:t xml:space="preserve"> antes de las 23.59 horas UTC del</w:t>
      </w:r>
      <w:r w:rsidRPr="007F0DEF">
        <w:rPr>
          <w:b/>
          <w:bCs/>
          <w:szCs w:val="18"/>
          <w:lang w:val="es-ES"/>
        </w:rPr>
        <w:t xml:space="preserve"> </w:t>
      </w:r>
      <w:r w:rsidRPr="007F0DEF">
        <w:rPr>
          <w:b/>
          <w:szCs w:val="22"/>
          <w:lang w:val="es-ES"/>
        </w:rPr>
        <w:t>27 de enero de 2026</w:t>
      </w:r>
      <w:r w:rsidRPr="007F0DEF">
        <w:rPr>
          <w:rFonts w:cstheme="minorHAnsi"/>
          <w:b/>
          <w:bCs/>
          <w:szCs w:val="22"/>
          <w:lang w:val="es-ES"/>
        </w:rPr>
        <w:t>.</w:t>
      </w:r>
    </w:p>
    <w:p w14:paraId="3E0F397F" w14:textId="27ACB338" w:rsidR="00054866" w:rsidRDefault="001D1E64" w:rsidP="00054866">
      <w:pPr>
        <w:rPr>
          <w:szCs w:val="22"/>
          <w:lang w:val="es-ES"/>
        </w:rPr>
      </w:pPr>
      <w:r w:rsidRPr="007F0DEF">
        <w:rPr>
          <w:bCs/>
          <w:szCs w:val="22"/>
          <w:lang w:val="es-ES"/>
        </w:rPr>
        <w:t>4</w:t>
      </w:r>
      <w:r w:rsidRPr="007F0DEF">
        <w:rPr>
          <w:szCs w:val="22"/>
          <w:lang w:val="es-ES"/>
        </w:rPr>
        <w:tab/>
      </w:r>
      <w:proofErr w:type="gramStart"/>
      <w:r w:rsidRPr="007F0DEF">
        <w:rPr>
          <w:szCs w:val="18"/>
          <w:lang w:val="es-ES"/>
        </w:rPr>
        <w:t>Si</w:t>
      </w:r>
      <w:proofErr w:type="gramEnd"/>
      <w:r w:rsidRPr="007F0DEF">
        <w:rPr>
          <w:szCs w:val="18"/>
          <w:lang w:val="es-ES"/>
        </w:rPr>
        <w:t xml:space="preserve"> el 70 % como mínimo de las respuestas de los Estados Miembros es favorable a que se considere la aprobación, se dedicará una sesión plenaria a la aplicación del procedimiento de aprobación. Los Estados Miembros que no otorguen autoridad para proceder deben informar al </w:t>
      </w:r>
      <w:proofErr w:type="gramStart"/>
      <w:r w:rsidRPr="007F0DEF">
        <w:rPr>
          <w:szCs w:val="18"/>
          <w:lang w:val="es-ES"/>
        </w:rPr>
        <w:t>Director</w:t>
      </w:r>
      <w:proofErr w:type="gramEnd"/>
      <w:r w:rsidRPr="007F0DEF">
        <w:rPr>
          <w:szCs w:val="18"/>
          <w:lang w:val="es-ES"/>
        </w:rPr>
        <w:t xml:space="preserve"> de la TSB de los motivos de su decisión e indicar cualquier posible cambio que haría posible el avance de los trabajos</w:t>
      </w:r>
      <w:r w:rsidRPr="007F0DEF">
        <w:rPr>
          <w:szCs w:val="22"/>
          <w:lang w:val="es-ES"/>
        </w:rPr>
        <w:t>.</w:t>
      </w:r>
    </w:p>
    <w:p w14:paraId="3688B596" w14:textId="407A6BA3" w:rsidR="00054866" w:rsidRPr="00054866" w:rsidRDefault="001D1E64" w:rsidP="00054866">
      <w:pPr>
        <w:rPr>
          <w:lang w:val="es-ES"/>
        </w:rPr>
      </w:pPr>
      <w:r w:rsidRPr="007F0DEF">
        <w:rPr>
          <w:lang w:val="es-ES"/>
        </w:rPr>
        <w:t>Atentamente,</w:t>
      </w:r>
    </w:p>
    <w:p w14:paraId="2B184B70" w14:textId="33802FDF" w:rsidR="001D1E64" w:rsidRPr="007F0DEF" w:rsidRDefault="00D43C27" w:rsidP="00054866">
      <w:pPr>
        <w:spacing w:before="600"/>
        <w:rPr>
          <w:szCs w:val="22"/>
          <w:lang w:val="es-ES"/>
        </w:rPr>
      </w:pPr>
      <w:r>
        <w:rPr>
          <w:noProof/>
          <w:lang w:val="es-ES"/>
        </w:rPr>
        <w:drawing>
          <wp:anchor distT="0" distB="0" distL="114300" distR="114300" simplePos="0" relativeHeight="251658240" behindDoc="1" locked="0" layoutInCell="1" allowOverlap="1" wp14:anchorId="0B2B0B6C" wp14:editId="1E76B942">
            <wp:simplePos x="0" y="0"/>
            <wp:positionH relativeFrom="column">
              <wp:posOffset>-34290</wp:posOffset>
            </wp:positionH>
            <wp:positionV relativeFrom="paragraph">
              <wp:posOffset>50800</wp:posOffset>
            </wp:positionV>
            <wp:extent cx="692150" cy="276860"/>
            <wp:effectExtent l="0" t="0" r="0" b="8890"/>
            <wp:wrapNone/>
            <wp:docPr id="45999828"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9828" name="Picture 2" descr="A black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92150" cy="276860"/>
                    </a:xfrm>
                    <a:prstGeom prst="rect">
                      <a:avLst/>
                    </a:prstGeom>
                  </pic:spPr>
                </pic:pic>
              </a:graphicData>
            </a:graphic>
            <wp14:sizeRelH relativeFrom="margin">
              <wp14:pctWidth>0</wp14:pctWidth>
            </wp14:sizeRelH>
            <wp14:sizeRelV relativeFrom="margin">
              <wp14:pctHeight>0</wp14:pctHeight>
            </wp14:sizeRelV>
          </wp:anchor>
        </w:drawing>
      </w:r>
      <w:r w:rsidR="001D1E64" w:rsidRPr="007F0DEF">
        <w:rPr>
          <w:szCs w:val="18"/>
          <w:lang w:val="es-ES"/>
        </w:rPr>
        <w:t>Seizo Onoe</w:t>
      </w:r>
      <w:r w:rsidR="001D1E64" w:rsidRPr="007F0DEF">
        <w:rPr>
          <w:szCs w:val="18"/>
          <w:lang w:val="es-ES"/>
        </w:rPr>
        <w:br/>
      </w:r>
      <w:proofErr w:type="gramStart"/>
      <w:r w:rsidR="001D1E64" w:rsidRPr="007F0DEF">
        <w:rPr>
          <w:szCs w:val="22"/>
          <w:lang w:val="es-ES"/>
        </w:rPr>
        <w:t>Director</w:t>
      </w:r>
      <w:proofErr w:type="gramEnd"/>
      <w:r w:rsidR="001D1E64" w:rsidRPr="007F0DEF">
        <w:rPr>
          <w:szCs w:val="22"/>
          <w:lang w:val="es-ES"/>
        </w:rPr>
        <w:t xml:space="preserve"> de la Oficina de </w:t>
      </w:r>
      <w:r w:rsidR="001D1E64" w:rsidRPr="007F0DEF">
        <w:rPr>
          <w:szCs w:val="22"/>
          <w:lang w:val="es-ES"/>
        </w:rPr>
        <w:br/>
        <w:t>Normalización de las Telecomunicaciones</w:t>
      </w:r>
    </w:p>
    <w:p w14:paraId="5E12DFE0" w14:textId="59256D10" w:rsidR="00834287" w:rsidRPr="007F0DEF" w:rsidRDefault="001D1E64" w:rsidP="00834287">
      <w:pPr>
        <w:tabs>
          <w:tab w:val="clear" w:pos="794"/>
        </w:tabs>
        <w:spacing w:before="240"/>
        <w:rPr>
          <w:bCs/>
          <w:szCs w:val="22"/>
          <w:lang w:val="es-ES"/>
        </w:rPr>
      </w:pPr>
      <w:r w:rsidRPr="007F0DEF">
        <w:rPr>
          <w:b/>
          <w:szCs w:val="22"/>
          <w:lang w:val="es-ES"/>
        </w:rPr>
        <w:t>Anexos:</w:t>
      </w:r>
      <w:r w:rsidRPr="007F0DEF">
        <w:rPr>
          <w:b/>
          <w:szCs w:val="22"/>
          <w:lang w:val="es-ES"/>
        </w:rPr>
        <w:tab/>
      </w:r>
      <w:r w:rsidRPr="007F0DEF">
        <w:rPr>
          <w:bCs/>
          <w:szCs w:val="22"/>
          <w:lang w:val="es-ES"/>
        </w:rPr>
        <w:t>2</w:t>
      </w:r>
    </w:p>
    <w:p w14:paraId="15238C90" w14:textId="77777777" w:rsidR="001D1E64" w:rsidRPr="007F0DEF" w:rsidRDefault="001D1E64" w:rsidP="001D1E64">
      <w:pPr>
        <w:pStyle w:val="Annextitle0"/>
        <w:spacing w:before="120" w:after="120"/>
        <w:rPr>
          <w:rFonts w:cstheme="minorHAnsi"/>
          <w:szCs w:val="22"/>
          <w:lang w:val="es-ES"/>
        </w:rPr>
      </w:pPr>
      <w:r w:rsidRPr="007F0DEF">
        <w:rPr>
          <w:lang w:val="es-ES"/>
        </w:rPr>
        <w:lastRenderedPageBreak/>
        <w:t>Anexo 1</w:t>
      </w:r>
      <w:r w:rsidRPr="007F0DEF">
        <w:rPr>
          <w:lang w:val="es-ES"/>
        </w:rPr>
        <w:br/>
        <w:t xml:space="preserve">Resumen y ubicación del proyecto de Recomendación revisada </w:t>
      </w:r>
      <w:r w:rsidRPr="007F0DEF">
        <w:rPr>
          <w:lang w:val="es-ES"/>
        </w:rPr>
        <w:br/>
      </w:r>
      <w:r w:rsidRPr="007F0DEF">
        <w:rPr>
          <w:rFonts w:cstheme="minorHAnsi"/>
          <w:szCs w:val="22"/>
          <w:lang w:val="es-ES"/>
        </w:rPr>
        <w:t xml:space="preserve">UIT-T X.1058 | ISO/CEI 2915 </w:t>
      </w:r>
      <w:r w:rsidRPr="007F0DEF">
        <w:rPr>
          <w:lang w:val="es-ES"/>
        </w:rPr>
        <w:t>determinada</w:t>
      </w:r>
    </w:p>
    <w:p w14:paraId="0FD43147" w14:textId="26247CE2" w:rsidR="001D1E64" w:rsidRPr="007F0DEF" w:rsidRDefault="00834287" w:rsidP="00834287">
      <w:pPr>
        <w:pStyle w:val="Heading1"/>
        <w:rPr>
          <w:sz w:val="24"/>
          <w:szCs w:val="24"/>
          <w:lang w:val="es-ES"/>
        </w:rPr>
      </w:pPr>
      <w:r w:rsidRPr="007F0DEF">
        <w:rPr>
          <w:lang w:val="es-ES"/>
        </w:rPr>
        <w:t>1</w:t>
      </w:r>
      <w:r w:rsidRPr="007F0DEF">
        <w:rPr>
          <w:lang w:val="es-ES"/>
        </w:rPr>
        <w:tab/>
      </w:r>
      <w:proofErr w:type="gramStart"/>
      <w:r w:rsidR="001D1E64" w:rsidRPr="007F0DEF">
        <w:rPr>
          <w:lang w:val="es-ES"/>
        </w:rPr>
        <w:t>Proyecto</w:t>
      </w:r>
      <w:proofErr w:type="gramEnd"/>
      <w:r w:rsidR="001D1E64" w:rsidRPr="007F0DEF">
        <w:rPr>
          <w:lang w:val="es-ES"/>
        </w:rPr>
        <w:t xml:space="preserve"> de Recomendación revisada UIT-T X.1058 | ISO/CEI 2915 [</w:t>
      </w:r>
      <w:hyperlink r:id="rId13" w:history="1">
        <w:r w:rsidR="001D1E64" w:rsidRPr="007F0DEF">
          <w:rPr>
            <w:rStyle w:val="Hyperlink"/>
            <w:bCs/>
            <w:sz w:val="24"/>
            <w:szCs w:val="24"/>
            <w:lang w:val="es-ES"/>
          </w:rPr>
          <w:t>SG17-</w:t>
        </w:r>
        <w:r w:rsidR="001D1E64" w:rsidRPr="007F0DEF">
          <w:rPr>
            <w:rStyle w:val="Hyperlink"/>
            <w:bCs/>
            <w:sz w:val="24"/>
            <w:szCs w:val="24"/>
            <w:lang w:val="es-ES"/>
          </w:rPr>
          <w:t>R</w:t>
        </w:r>
        <w:r w:rsidR="001D1E64" w:rsidRPr="007F0DEF">
          <w:rPr>
            <w:rStyle w:val="Hyperlink"/>
            <w:bCs/>
            <w:sz w:val="24"/>
            <w:szCs w:val="24"/>
            <w:lang w:val="es-ES"/>
          </w:rPr>
          <w:t>18</w:t>
        </w:r>
      </w:hyperlink>
      <w:r w:rsidR="001D1E64" w:rsidRPr="007F0DEF">
        <w:rPr>
          <w:lang w:val="es-ES"/>
        </w:rPr>
        <w:t>]</w:t>
      </w:r>
    </w:p>
    <w:p w14:paraId="5A7336C6" w14:textId="5BABF8A4" w:rsidR="001D1E64" w:rsidRPr="007F0DEF" w:rsidRDefault="001D1E64" w:rsidP="00834287">
      <w:pPr>
        <w:rPr>
          <w:lang w:val="es-ES"/>
        </w:rPr>
      </w:pPr>
      <w:bookmarkStart w:id="4" w:name="_Hlk211443504"/>
      <w:r w:rsidRPr="007F0DEF">
        <w:rPr>
          <w:lang w:val="es-ES"/>
        </w:rPr>
        <w:t>Seguridad de la información, ciberseguridad y protección de la privacidad – Controles, requisitos y orientación para la protección de la información de identificación personal</w:t>
      </w:r>
      <w:r w:rsidR="00D55955" w:rsidRPr="007F0DEF">
        <w:rPr>
          <w:lang w:val="es-ES"/>
        </w:rPr>
        <w:t>.</w:t>
      </w:r>
    </w:p>
    <w:bookmarkEnd w:id="4"/>
    <w:p w14:paraId="11093CCC" w14:textId="77777777" w:rsidR="001D1E64" w:rsidRPr="007F0DEF" w:rsidRDefault="001D1E64" w:rsidP="00834287">
      <w:pPr>
        <w:pStyle w:val="headingb"/>
        <w:rPr>
          <w:lang w:val="es-ES"/>
        </w:rPr>
      </w:pPr>
      <w:r w:rsidRPr="007F0DEF">
        <w:rPr>
          <w:lang w:val="es-ES"/>
        </w:rPr>
        <w:t>Resumen</w:t>
      </w:r>
    </w:p>
    <w:p w14:paraId="2A6E230C" w14:textId="77777777" w:rsidR="001D1E64" w:rsidRPr="007F0DEF" w:rsidRDefault="001D1E64" w:rsidP="001D1E64">
      <w:pPr>
        <w:rPr>
          <w:lang w:val="es-ES"/>
        </w:rPr>
      </w:pPr>
      <w:r w:rsidRPr="007F0DEF">
        <w:rPr>
          <w:lang w:val="es-ES"/>
        </w:rPr>
        <w:t>Cada vez más organizaciones participan en el procesamiento de la información de identificación personal (PII), y el volumen de PII que manejan es cada vez mayor. Al mismo tiempo, las expectativas de la sociedad respecto de la protección de la PII y la seguridad de los datos personales también están aumentando. Numerosos países están mejorando su legislación para hacer frente al número cada vez mayor de filtraciones de datos de alto nivel.</w:t>
      </w:r>
    </w:p>
    <w:p w14:paraId="5E433B08" w14:textId="77777777" w:rsidR="001D1E64" w:rsidRPr="007F0DEF" w:rsidRDefault="001D1E64" w:rsidP="001D1E64">
      <w:pPr>
        <w:rPr>
          <w:lang w:val="es-ES"/>
        </w:rPr>
      </w:pPr>
      <w:r w:rsidRPr="007F0DEF">
        <w:rPr>
          <w:lang w:val="es-ES"/>
        </w:rPr>
        <w:t>A medida que aumenta el número de filtraciones de PII, las organizaciones que llevan a cabo la recopilación o el procesamiento de la PII necesitarán cada vez más directrices relativas a la forma de protegerla con objeto de reducir el riesgo de violación de la privacidad y disminuir la incidencia de las infracciones en la organización y en las personas afectadas. Este documento describe ese tipo de directrices.</w:t>
      </w:r>
    </w:p>
    <w:p w14:paraId="543C7A2C" w14:textId="77777777" w:rsidR="001D1E64" w:rsidRPr="007F0DEF" w:rsidRDefault="001D1E64" w:rsidP="001D1E64">
      <w:pPr>
        <w:rPr>
          <w:lang w:val="es-ES"/>
        </w:rPr>
      </w:pPr>
      <w:r w:rsidRPr="007F0DEF">
        <w:rPr>
          <w:lang w:val="es-ES"/>
        </w:rPr>
        <w:t>El presente documento ofrece directrices para los controladores de PII en una amplia gama de controles de la seguridad de la información y la protección de la PII que se aplican de forma habitual en diferentes organizaciones encargadas de la protección de la PII. Otras normas internacionales que facilitan directrices o describen requisitos con respecto a otros aspectos del proceso general de protección de la PII son las siguientes:</w:t>
      </w:r>
    </w:p>
    <w:p w14:paraId="2F27C2C7" w14:textId="0F292FCA" w:rsidR="001D1E64" w:rsidRPr="007F0DEF" w:rsidRDefault="00834287" w:rsidP="00834287">
      <w:pPr>
        <w:pStyle w:val="enumlev1"/>
        <w:rPr>
          <w:lang w:val="es-ES"/>
        </w:rPr>
      </w:pPr>
      <w:r w:rsidRPr="007F0DEF">
        <w:rPr>
          <w:lang w:val="es-ES"/>
        </w:rPr>
        <w:t>–</w:t>
      </w:r>
      <w:r w:rsidR="001D1E64" w:rsidRPr="007F0DEF">
        <w:rPr>
          <w:lang w:val="es-ES"/>
        </w:rPr>
        <w:tab/>
      </w:r>
      <w:bookmarkStart w:id="5" w:name="_Hlk212628938"/>
      <w:r w:rsidR="001D1E64" w:rsidRPr="007F0DEF">
        <w:rPr>
          <w:lang w:val="es-ES"/>
        </w:rPr>
        <w:t>ISO/CEI 27001 especifica un sistema de gestión de la seguridad de la información que constituye una base adecuada para la protección de cualquier tipo de información, en particular la PII.</w:t>
      </w:r>
      <w:bookmarkEnd w:id="5"/>
    </w:p>
    <w:p w14:paraId="23680923" w14:textId="1F7D1434" w:rsidR="001D1E64" w:rsidRPr="007F0DEF" w:rsidRDefault="00834287" w:rsidP="00834287">
      <w:pPr>
        <w:pStyle w:val="enumlev1"/>
        <w:rPr>
          <w:lang w:val="es-ES"/>
        </w:rPr>
      </w:pPr>
      <w:r w:rsidRPr="007F0DEF">
        <w:rPr>
          <w:lang w:val="es-ES"/>
        </w:rPr>
        <w:t>–</w:t>
      </w:r>
      <w:r w:rsidRPr="007F0DEF">
        <w:rPr>
          <w:lang w:val="es-ES"/>
        </w:rPr>
        <w:tab/>
      </w:r>
      <w:r w:rsidR="001D1E64" w:rsidRPr="007F0DEF">
        <w:rPr>
          <w:lang w:val="es-ES"/>
        </w:rPr>
        <w:t>ISO/CEI 27002 proporciona directrices para los controles de seguridad de la información física y tecnológica institucional relacionada con las personas, que pueden utilizarse para proteger todo tipo de información, en particular la PII.</w:t>
      </w:r>
    </w:p>
    <w:p w14:paraId="69334A12" w14:textId="1C7CC24B" w:rsidR="001D1E64" w:rsidRPr="007F0DEF" w:rsidRDefault="00834287" w:rsidP="00834287">
      <w:pPr>
        <w:pStyle w:val="enumlev1"/>
        <w:rPr>
          <w:lang w:val="es-ES"/>
        </w:rPr>
      </w:pPr>
      <w:r w:rsidRPr="007F0DEF">
        <w:rPr>
          <w:lang w:val="es-ES"/>
        </w:rPr>
        <w:t>–</w:t>
      </w:r>
      <w:r w:rsidRPr="007F0DEF">
        <w:rPr>
          <w:lang w:val="es-ES"/>
        </w:rPr>
        <w:tab/>
      </w:r>
      <w:r w:rsidR="001D1E64" w:rsidRPr="007F0DEF">
        <w:rPr>
          <w:lang w:val="es-ES"/>
        </w:rPr>
        <w:t>ISO/CEI 27005 proporciona directrices para ayudar a las organizaciones a abordar los riesgos para la seguridad de la información y realizar actividades de gestión de dichos riesgos relacionadas específicamente con su evaluación y el tratamiento.</w:t>
      </w:r>
    </w:p>
    <w:p w14:paraId="6FAD83E1" w14:textId="793681F2" w:rsidR="001D1E64" w:rsidRPr="007F0DEF" w:rsidRDefault="00834287" w:rsidP="00834287">
      <w:pPr>
        <w:pStyle w:val="enumlev1"/>
        <w:rPr>
          <w:lang w:val="es-ES"/>
        </w:rPr>
      </w:pPr>
      <w:r w:rsidRPr="007F0DEF">
        <w:rPr>
          <w:lang w:val="es-ES"/>
        </w:rPr>
        <w:t>–</w:t>
      </w:r>
      <w:r w:rsidRPr="007F0DEF">
        <w:rPr>
          <w:lang w:val="es-ES"/>
        </w:rPr>
        <w:tab/>
      </w:r>
      <w:r w:rsidR="001D1E64" w:rsidRPr="007F0DEF">
        <w:rPr>
          <w:lang w:val="es-ES"/>
        </w:rPr>
        <w:t>ISO/CEI 27018 proporciona directrices a las organizaciones que cumplen la función de procesadores de PII cuando ofrecen capacidades de procesamiento como servicios en la nube.</w:t>
      </w:r>
    </w:p>
    <w:p w14:paraId="6EA94BCB" w14:textId="3B2424CA" w:rsidR="001D1E64" w:rsidRPr="007F0DEF" w:rsidRDefault="00834287" w:rsidP="00834287">
      <w:pPr>
        <w:pStyle w:val="enumlev1"/>
        <w:rPr>
          <w:lang w:val="es-ES"/>
        </w:rPr>
      </w:pPr>
      <w:r w:rsidRPr="007F0DEF">
        <w:rPr>
          <w:lang w:val="es-ES"/>
        </w:rPr>
        <w:t>–</w:t>
      </w:r>
      <w:r w:rsidRPr="007F0DEF">
        <w:rPr>
          <w:lang w:val="es-ES"/>
        </w:rPr>
        <w:tab/>
      </w:r>
      <w:r w:rsidR="001D1E64" w:rsidRPr="007F0DEF">
        <w:rPr>
          <w:lang w:val="es-ES"/>
        </w:rPr>
        <w:t>ISO/CEI 27701 especifica los requisitos y proporciona directrices para establecer, implantar, mantener y mejorar en todo momento un sistema de gestión de la información sobre privacidad (SGIP).</w:t>
      </w:r>
    </w:p>
    <w:p w14:paraId="6FCD8ABA" w14:textId="74A4273B" w:rsidR="001D1E64" w:rsidRPr="007F0DEF" w:rsidRDefault="00834287" w:rsidP="00834287">
      <w:pPr>
        <w:pStyle w:val="enumlev1"/>
        <w:rPr>
          <w:lang w:val="es-ES"/>
        </w:rPr>
      </w:pPr>
      <w:r w:rsidRPr="007F0DEF">
        <w:rPr>
          <w:lang w:val="es-ES"/>
        </w:rPr>
        <w:t>–</w:t>
      </w:r>
      <w:r w:rsidRPr="007F0DEF">
        <w:rPr>
          <w:lang w:val="es-ES"/>
        </w:rPr>
        <w:tab/>
      </w:r>
      <w:r w:rsidR="001D1E64" w:rsidRPr="007F0DEF">
        <w:rPr>
          <w:lang w:val="es-ES"/>
        </w:rPr>
        <w:t>ISO/CEI 29100 proporciona un marco de privacidad que especifica una terminología común sobre privacidad, establece los agentes y sus funciones en el procesamiento de la información de identificación personal (PII), describe consideraciones relativas a la protección de la privacidad y facilita referencias a principios de privacidad conocidos para la tecnología de la información.</w:t>
      </w:r>
    </w:p>
    <w:p w14:paraId="3B4FF5A3" w14:textId="5881F812" w:rsidR="001D1E64" w:rsidRPr="007F0DEF" w:rsidRDefault="00834287" w:rsidP="00834287">
      <w:pPr>
        <w:pStyle w:val="enumlev1"/>
        <w:rPr>
          <w:lang w:val="es-ES"/>
        </w:rPr>
      </w:pPr>
      <w:r w:rsidRPr="007F0DEF">
        <w:rPr>
          <w:lang w:val="es-ES"/>
        </w:rPr>
        <w:t>–</w:t>
      </w:r>
      <w:r w:rsidRPr="007F0DEF">
        <w:rPr>
          <w:lang w:val="es-ES"/>
        </w:rPr>
        <w:tab/>
      </w:r>
      <w:r w:rsidR="001D1E64" w:rsidRPr="007F0DEF">
        <w:rPr>
          <w:lang w:val="es-ES"/>
        </w:rPr>
        <w:t xml:space="preserve">ISO/CEI 29134 proporciona directrices para evaluar las posibles repercusiones en la privacidad de los procesos, sistemas de información, programas, módulos de </w:t>
      </w:r>
      <w:r w:rsidR="001D1E64" w:rsidRPr="007F0DEF">
        <w:rPr>
          <w:i/>
          <w:iCs/>
          <w:lang w:val="es-ES"/>
        </w:rPr>
        <w:t>software</w:t>
      </w:r>
      <w:r w:rsidR="001D1E64" w:rsidRPr="007F0DEF">
        <w:rPr>
          <w:lang w:val="es-ES"/>
        </w:rPr>
        <w:t>, dispositivos u otras iniciativas que procesan PII, mientras que las normas ISO/CEI 27001 e ISO/CEI 27005 proporcionan directrices para realizar actividades de gestión de los riesgos para la seguridad de la información.</w:t>
      </w:r>
    </w:p>
    <w:p w14:paraId="058F2FA2" w14:textId="147C5486" w:rsidR="00054866" w:rsidRDefault="001D1E64" w:rsidP="001D1E64">
      <w:pPr>
        <w:rPr>
          <w:lang w:val="es-ES"/>
        </w:rPr>
      </w:pPr>
      <w:r w:rsidRPr="007F0DEF">
        <w:rPr>
          <w:lang w:val="es-ES"/>
        </w:rPr>
        <w:t>Los controles se eligen teniendo en cuenta los riesgos identificados como resultado de un análisis, con objeto de elaborar un sistema integral y coherente de controles. Los controles se adaptan al contexto del procesamiento particular de la PII.</w:t>
      </w:r>
    </w:p>
    <w:p w14:paraId="00C34531" w14:textId="77777777" w:rsidR="00054866" w:rsidRDefault="00054866">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6122FCEB" w14:textId="77777777" w:rsidR="001D1E64" w:rsidRPr="007F0DEF" w:rsidRDefault="001D1E64" w:rsidP="001D1E64">
      <w:pPr>
        <w:rPr>
          <w:lang w:val="es-ES"/>
        </w:rPr>
      </w:pPr>
      <w:r w:rsidRPr="007F0DEF">
        <w:rPr>
          <w:lang w:val="es-ES"/>
        </w:rPr>
        <w:lastRenderedPageBreak/>
        <w:t>El presente documento consta de dos partes:</w:t>
      </w:r>
    </w:p>
    <w:p w14:paraId="164D9D83" w14:textId="39B56303" w:rsidR="001D1E64" w:rsidRPr="007F0DEF" w:rsidRDefault="00834287" w:rsidP="00834287">
      <w:pPr>
        <w:pStyle w:val="enumlev1"/>
        <w:rPr>
          <w:lang w:val="es-ES"/>
        </w:rPr>
      </w:pPr>
      <w:r w:rsidRPr="007F0DEF">
        <w:rPr>
          <w:lang w:val="es-ES"/>
        </w:rPr>
        <w:t>–</w:t>
      </w:r>
      <w:r w:rsidRPr="007F0DEF">
        <w:rPr>
          <w:lang w:val="es-ES"/>
        </w:rPr>
        <w:tab/>
      </w:r>
      <w:r w:rsidR="001D1E64" w:rsidRPr="007F0DEF">
        <w:rPr>
          <w:lang w:val="es-ES"/>
        </w:rPr>
        <w:t>el texto principal, integrado por las cláusulas 1 a 8;</w:t>
      </w:r>
    </w:p>
    <w:p w14:paraId="3AA071C6" w14:textId="01A9A252" w:rsidR="001D1E64" w:rsidRPr="007F0DEF" w:rsidRDefault="00834287" w:rsidP="00834287">
      <w:pPr>
        <w:pStyle w:val="enumlev1"/>
        <w:rPr>
          <w:lang w:val="es-ES"/>
        </w:rPr>
      </w:pPr>
      <w:r w:rsidRPr="007F0DEF">
        <w:rPr>
          <w:lang w:val="es-ES"/>
        </w:rPr>
        <w:t>–</w:t>
      </w:r>
      <w:r w:rsidRPr="007F0DEF">
        <w:rPr>
          <w:lang w:val="es-ES"/>
        </w:rPr>
        <w:tab/>
      </w:r>
      <w:r w:rsidR="001D1E64" w:rsidRPr="007F0DEF">
        <w:rPr>
          <w:lang w:val="es-ES"/>
        </w:rPr>
        <w:t xml:space="preserve">los </w:t>
      </w:r>
      <w:r w:rsidR="00D07867" w:rsidRPr="007F0DEF">
        <w:rPr>
          <w:lang w:val="es-ES"/>
        </w:rPr>
        <w:t>A</w:t>
      </w:r>
      <w:r w:rsidR="001D1E64" w:rsidRPr="007F0DEF">
        <w:rPr>
          <w:lang w:val="es-ES"/>
        </w:rPr>
        <w:t>nexos A y B.</w:t>
      </w:r>
    </w:p>
    <w:p w14:paraId="383981D6" w14:textId="77777777" w:rsidR="001D1E64" w:rsidRPr="007F0DEF" w:rsidRDefault="001D1E64" w:rsidP="001D1E64">
      <w:pPr>
        <w:rPr>
          <w:lang w:val="es-ES"/>
        </w:rPr>
      </w:pPr>
      <w:r w:rsidRPr="007F0DEF">
        <w:rPr>
          <w:lang w:val="es-ES"/>
        </w:rPr>
        <w:br w:type="page"/>
      </w:r>
    </w:p>
    <w:p w14:paraId="1136BE78" w14:textId="77777777" w:rsidR="001D1E64" w:rsidRPr="007F0DEF" w:rsidRDefault="001D1E64" w:rsidP="00834287">
      <w:pPr>
        <w:pStyle w:val="Annextitle0"/>
        <w:spacing w:after="600"/>
        <w:rPr>
          <w:rFonts w:cstheme="minorHAnsi"/>
          <w:szCs w:val="22"/>
          <w:lang w:val="es-ES"/>
        </w:rPr>
      </w:pPr>
      <w:r w:rsidRPr="007F0DEF">
        <w:rPr>
          <w:lang w:val="es-ES"/>
        </w:rPr>
        <w:lastRenderedPageBreak/>
        <w:t>Anexo 2</w:t>
      </w:r>
      <w:r w:rsidRPr="007F0DEF">
        <w:rPr>
          <w:lang w:val="es-ES"/>
        </w:rPr>
        <w:br/>
        <w:t>Asunto: Respuesta de los Estados Miembros a la Circular TSB 83:</w:t>
      </w:r>
      <w:r w:rsidRPr="007F0DEF">
        <w:rPr>
          <w:lang w:val="es-ES"/>
        </w:rPr>
        <w:br/>
      </w:r>
      <w:r w:rsidRPr="007F0DEF">
        <w:rPr>
          <w:rFonts w:cstheme="minorHAnsi"/>
          <w:szCs w:val="22"/>
          <w:lang w:val="es-ES"/>
        </w:rPr>
        <w:t xml:space="preserve">Consulta sobre el proyecto de Recomendación revisada </w:t>
      </w:r>
      <w:r w:rsidRPr="007F0DEF">
        <w:rPr>
          <w:rFonts w:cstheme="minorHAnsi"/>
          <w:szCs w:val="22"/>
          <w:lang w:val="es-ES"/>
        </w:rPr>
        <w:br/>
        <w:t>UIT-T X.1058 | ISO/IEC 2915 determinada</w:t>
      </w:r>
    </w:p>
    <w:tbl>
      <w:tblPr>
        <w:tblW w:w="9957" w:type="dxa"/>
        <w:tblInd w:w="-176" w:type="dxa"/>
        <w:tblLayout w:type="fixed"/>
        <w:tblLook w:val="04A0" w:firstRow="1" w:lastRow="0" w:firstColumn="1" w:lastColumn="0" w:noHBand="0" w:noVBand="1"/>
      </w:tblPr>
      <w:tblGrid>
        <w:gridCol w:w="1169"/>
        <w:gridCol w:w="4252"/>
        <w:gridCol w:w="1134"/>
        <w:gridCol w:w="3402"/>
      </w:tblGrid>
      <w:tr w:rsidR="001D1E64" w:rsidRPr="007F0DEF" w14:paraId="6561496D" w14:textId="77777777" w:rsidTr="00834287">
        <w:tc>
          <w:tcPr>
            <w:tcW w:w="1169" w:type="dxa"/>
          </w:tcPr>
          <w:p w14:paraId="0A84434A" w14:textId="77777777" w:rsidR="001D1E64" w:rsidRPr="007F0DEF" w:rsidRDefault="001D1E64" w:rsidP="00834287">
            <w:pPr>
              <w:spacing w:before="0"/>
              <w:jc w:val="right"/>
              <w:rPr>
                <w:szCs w:val="24"/>
                <w:lang w:val="es-ES"/>
              </w:rPr>
            </w:pPr>
            <w:r w:rsidRPr="007F0DEF">
              <w:rPr>
                <w:b/>
                <w:bCs/>
                <w:szCs w:val="24"/>
                <w:lang w:val="es-ES"/>
              </w:rPr>
              <w:t>A</w:t>
            </w:r>
            <w:r w:rsidRPr="007F0DEF">
              <w:rPr>
                <w:szCs w:val="24"/>
                <w:lang w:val="es-ES"/>
              </w:rPr>
              <w:t>:</w:t>
            </w:r>
          </w:p>
        </w:tc>
        <w:tc>
          <w:tcPr>
            <w:tcW w:w="4252" w:type="dxa"/>
            <w:tcBorders>
              <w:right w:val="single" w:sz="8" w:space="0" w:color="auto"/>
            </w:tcBorders>
          </w:tcPr>
          <w:p w14:paraId="0F163046" w14:textId="77777777" w:rsidR="001D1E64" w:rsidRPr="007F0DEF" w:rsidRDefault="001D1E64" w:rsidP="00B77ED2">
            <w:pPr>
              <w:spacing w:before="0"/>
              <w:rPr>
                <w:rFonts w:cstheme="minorHAnsi"/>
                <w:szCs w:val="22"/>
                <w:lang w:val="es-ES"/>
              </w:rPr>
            </w:pPr>
            <w:r w:rsidRPr="007F0DEF">
              <w:rPr>
                <w:rFonts w:cstheme="minorHAnsi"/>
                <w:szCs w:val="22"/>
                <w:lang w:val="es-ES"/>
              </w:rPr>
              <w:t xml:space="preserve">El </w:t>
            </w:r>
            <w:proofErr w:type="gramStart"/>
            <w:r w:rsidRPr="007F0DEF">
              <w:rPr>
                <w:rFonts w:cstheme="minorHAnsi"/>
                <w:szCs w:val="22"/>
                <w:lang w:val="es-ES"/>
              </w:rPr>
              <w:t>Director</w:t>
            </w:r>
            <w:proofErr w:type="gramEnd"/>
            <w:r w:rsidRPr="007F0DEF">
              <w:rPr>
                <w:rFonts w:cstheme="minorHAnsi"/>
                <w:szCs w:val="22"/>
                <w:lang w:val="es-ES"/>
              </w:rPr>
              <w:t xml:space="preserve"> de la</w:t>
            </w:r>
            <w:r w:rsidRPr="007F0DEF">
              <w:rPr>
                <w:rFonts w:cstheme="minorHAnsi"/>
                <w:szCs w:val="22"/>
                <w:lang w:val="es-ES"/>
              </w:rPr>
              <w:br/>
              <w:t>Oficina de Normalización de las Telecomunicaciones,</w:t>
            </w:r>
            <w:r w:rsidRPr="007F0DEF">
              <w:rPr>
                <w:rFonts w:cstheme="minorHAnsi"/>
                <w:szCs w:val="22"/>
                <w:lang w:val="es-ES"/>
              </w:rPr>
              <w:br/>
              <w:t>Unión Internacional de Telecomunicaciones</w:t>
            </w:r>
            <w:r w:rsidRPr="007F0DEF">
              <w:rPr>
                <w:rFonts w:cstheme="minorHAnsi"/>
                <w:szCs w:val="22"/>
                <w:lang w:val="es-ES"/>
              </w:rPr>
              <w:br/>
              <w:t>Place des Nations</w:t>
            </w:r>
            <w:r w:rsidRPr="007F0DEF">
              <w:rPr>
                <w:rFonts w:cstheme="minorHAnsi"/>
                <w:szCs w:val="22"/>
                <w:lang w:val="es-ES"/>
              </w:rPr>
              <w:br/>
              <w:t>CH 1211 Ginebra 20, Suiza</w:t>
            </w:r>
          </w:p>
        </w:tc>
        <w:tc>
          <w:tcPr>
            <w:tcW w:w="1134" w:type="dxa"/>
            <w:tcBorders>
              <w:left w:val="single" w:sz="8" w:space="0" w:color="auto"/>
            </w:tcBorders>
          </w:tcPr>
          <w:p w14:paraId="61469E5B" w14:textId="77777777" w:rsidR="001D1E64" w:rsidRPr="007F0DEF" w:rsidRDefault="001D1E64" w:rsidP="00B77ED2">
            <w:pPr>
              <w:jc w:val="right"/>
              <w:rPr>
                <w:szCs w:val="22"/>
                <w:lang w:val="es-ES"/>
              </w:rPr>
            </w:pPr>
            <w:r w:rsidRPr="007F0DEF">
              <w:rPr>
                <w:b/>
                <w:bCs/>
                <w:szCs w:val="22"/>
                <w:lang w:val="es-ES"/>
              </w:rPr>
              <w:t>De</w:t>
            </w:r>
            <w:r w:rsidRPr="007F0DEF">
              <w:rPr>
                <w:szCs w:val="22"/>
                <w:lang w:val="es-ES"/>
              </w:rPr>
              <w:t>:</w:t>
            </w:r>
          </w:p>
        </w:tc>
        <w:tc>
          <w:tcPr>
            <w:tcW w:w="3402" w:type="dxa"/>
          </w:tcPr>
          <w:p w14:paraId="6D35FA59" w14:textId="77777777" w:rsidR="001D1E64" w:rsidRPr="007F0DEF" w:rsidRDefault="001D1E64" w:rsidP="00B77ED2">
            <w:pPr>
              <w:rPr>
                <w:szCs w:val="22"/>
                <w:highlight w:val="green"/>
                <w:lang w:val="es-ES"/>
              </w:rPr>
            </w:pPr>
            <w:r w:rsidRPr="007F0DEF">
              <w:rPr>
                <w:szCs w:val="22"/>
                <w:highlight w:val="green"/>
                <w:lang w:val="es-ES"/>
              </w:rPr>
              <w:t>[Nombre]</w:t>
            </w:r>
          </w:p>
          <w:p w14:paraId="4AD21ABF" w14:textId="77777777" w:rsidR="001D1E64" w:rsidRPr="007F0DEF" w:rsidRDefault="001D1E64" w:rsidP="00B77ED2">
            <w:pPr>
              <w:spacing w:before="0"/>
              <w:rPr>
                <w:szCs w:val="22"/>
                <w:highlight w:val="green"/>
                <w:lang w:val="es-ES"/>
              </w:rPr>
            </w:pPr>
            <w:r w:rsidRPr="007F0DEF">
              <w:rPr>
                <w:szCs w:val="22"/>
                <w:highlight w:val="green"/>
                <w:lang w:val="es-ES"/>
              </w:rPr>
              <w:t>[Cargo oficial/título]</w:t>
            </w:r>
          </w:p>
          <w:p w14:paraId="7958F94F" w14:textId="77777777" w:rsidR="001D1E64" w:rsidRPr="007F0DEF" w:rsidRDefault="001D1E64" w:rsidP="00B77ED2">
            <w:pPr>
              <w:spacing w:before="0"/>
              <w:rPr>
                <w:szCs w:val="22"/>
                <w:lang w:val="es-ES"/>
              </w:rPr>
            </w:pPr>
            <w:r w:rsidRPr="007F0DEF">
              <w:rPr>
                <w:szCs w:val="22"/>
                <w:highlight w:val="green"/>
                <w:lang w:val="es-ES"/>
              </w:rPr>
              <w:t>[Dirección]</w:t>
            </w:r>
          </w:p>
        </w:tc>
      </w:tr>
      <w:tr w:rsidR="001D1E64" w:rsidRPr="007F0DEF" w14:paraId="2241ECB0" w14:textId="77777777" w:rsidTr="00834287">
        <w:tc>
          <w:tcPr>
            <w:tcW w:w="1169" w:type="dxa"/>
          </w:tcPr>
          <w:p w14:paraId="604AD301" w14:textId="77777777" w:rsidR="001D1E64" w:rsidRPr="007F0DEF" w:rsidRDefault="001D1E64" w:rsidP="00B77ED2">
            <w:pPr>
              <w:spacing w:before="0"/>
              <w:jc w:val="right"/>
              <w:rPr>
                <w:szCs w:val="24"/>
                <w:lang w:val="es-ES"/>
              </w:rPr>
            </w:pPr>
            <w:r w:rsidRPr="007F0DEF">
              <w:rPr>
                <w:b/>
                <w:bCs/>
                <w:szCs w:val="24"/>
                <w:lang w:val="es-ES"/>
              </w:rPr>
              <w:t>Fax</w:t>
            </w:r>
            <w:r w:rsidRPr="007F0DEF">
              <w:rPr>
                <w:szCs w:val="24"/>
                <w:lang w:val="es-ES"/>
              </w:rPr>
              <w:t>:</w:t>
            </w:r>
          </w:p>
        </w:tc>
        <w:tc>
          <w:tcPr>
            <w:tcW w:w="4252" w:type="dxa"/>
            <w:tcBorders>
              <w:right w:val="single" w:sz="8" w:space="0" w:color="auto"/>
            </w:tcBorders>
          </w:tcPr>
          <w:p w14:paraId="318DC998" w14:textId="77777777" w:rsidR="001D1E64" w:rsidRPr="007F0DEF" w:rsidRDefault="001D1E64" w:rsidP="00B77ED2">
            <w:pPr>
              <w:spacing w:before="0"/>
              <w:rPr>
                <w:rFonts w:cstheme="minorHAnsi"/>
                <w:szCs w:val="22"/>
                <w:lang w:val="es-ES"/>
              </w:rPr>
            </w:pPr>
            <w:r w:rsidRPr="007F0DEF">
              <w:rPr>
                <w:rFonts w:cstheme="minorHAnsi"/>
                <w:szCs w:val="22"/>
                <w:lang w:val="es-ES"/>
              </w:rPr>
              <w:t>+41-22-730-5853</w:t>
            </w:r>
          </w:p>
        </w:tc>
        <w:tc>
          <w:tcPr>
            <w:tcW w:w="1134" w:type="dxa"/>
            <w:tcBorders>
              <w:left w:val="single" w:sz="8" w:space="0" w:color="auto"/>
            </w:tcBorders>
          </w:tcPr>
          <w:p w14:paraId="277BAC34" w14:textId="77777777" w:rsidR="001D1E64" w:rsidRPr="007F0DEF" w:rsidRDefault="001D1E64" w:rsidP="00B77ED2">
            <w:pPr>
              <w:spacing w:before="0"/>
              <w:jc w:val="right"/>
              <w:rPr>
                <w:szCs w:val="22"/>
                <w:lang w:val="es-ES"/>
              </w:rPr>
            </w:pPr>
            <w:r w:rsidRPr="007F0DEF">
              <w:rPr>
                <w:b/>
                <w:bCs/>
                <w:szCs w:val="22"/>
                <w:lang w:val="es-ES"/>
              </w:rPr>
              <w:t>Fax</w:t>
            </w:r>
            <w:r w:rsidRPr="007F0DEF">
              <w:rPr>
                <w:szCs w:val="22"/>
                <w:lang w:val="es-ES"/>
              </w:rPr>
              <w:t>:</w:t>
            </w:r>
          </w:p>
        </w:tc>
        <w:tc>
          <w:tcPr>
            <w:tcW w:w="3402" w:type="dxa"/>
          </w:tcPr>
          <w:p w14:paraId="4E8A1484" w14:textId="77777777" w:rsidR="001D1E64" w:rsidRPr="007F0DEF" w:rsidRDefault="001D1E64" w:rsidP="00B77ED2">
            <w:pPr>
              <w:spacing w:before="0"/>
              <w:rPr>
                <w:rFonts w:cstheme="minorHAnsi"/>
                <w:szCs w:val="22"/>
                <w:lang w:val="es-ES"/>
              </w:rPr>
            </w:pPr>
          </w:p>
        </w:tc>
      </w:tr>
      <w:tr w:rsidR="001D1E64" w:rsidRPr="007F0DEF" w14:paraId="38D8D155" w14:textId="77777777" w:rsidTr="00834287">
        <w:tc>
          <w:tcPr>
            <w:tcW w:w="1169" w:type="dxa"/>
          </w:tcPr>
          <w:p w14:paraId="5621E285" w14:textId="77777777" w:rsidR="001D1E64" w:rsidRPr="007F0DEF" w:rsidRDefault="001D1E64" w:rsidP="00B77ED2">
            <w:pPr>
              <w:spacing w:before="0"/>
              <w:jc w:val="right"/>
              <w:rPr>
                <w:b/>
                <w:bCs/>
                <w:szCs w:val="24"/>
                <w:lang w:val="es-ES"/>
              </w:rPr>
            </w:pPr>
            <w:r w:rsidRPr="007F0DEF">
              <w:rPr>
                <w:b/>
                <w:bCs/>
                <w:szCs w:val="24"/>
                <w:lang w:val="es-ES"/>
              </w:rPr>
              <w:t>Correo-e</w:t>
            </w:r>
            <w:r w:rsidRPr="007F0DEF">
              <w:rPr>
                <w:szCs w:val="24"/>
                <w:lang w:val="es-ES"/>
              </w:rPr>
              <w:t>:</w:t>
            </w:r>
          </w:p>
        </w:tc>
        <w:tc>
          <w:tcPr>
            <w:tcW w:w="4252" w:type="dxa"/>
            <w:tcBorders>
              <w:right w:val="single" w:sz="8" w:space="0" w:color="auto"/>
            </w:tcBorders>
          </w:tcPr>
          <w:p w14:paraId="6CFBE633" w14:textId="77777777" w:rsidR="001D1E64" w:rsidRPr="007F0DEF" w:rsidRDefault="001D1E64" w:rsidP="00B77ED2">
            <w:pPr>
              <w:spacing w:before="0"/>
              <w:rPr>
                <w:rFonts w:cstheme="minorHAnsi"/>
                <w:szCs w:val="22"/>
                <w:lang w:val="es-ES"/>
              </w:rPr>
            </w:pPr>
            <w:hyperlink r:id="rId14" w:history="1">
              <w:r w:rsidRPr="007F0DEF">
                <w:rPr>
                  <w:rStyle w:val="Hyperlink"/>
                  <w:szCs w:val="22"/>
                  <w:lang w:val="es-ES"/>
                </w:rPr>
                <w:t>tsbdir@itu.int</w:t>
              </w:r>
            </w:hyperlink>
          </w:p>
        </w:tc>
        <w:tc>
          <w:tcPr>
            <w:tcW w:w="1134" w:type="dxa"/>
            <w:tcBorders>
              <w:left w:val="single" w:sz="8" w:space="0" w:color="auto"/>
            </w:tcBorders>
          </w:tcPr>
          <w:p w14:paraId="16BB2339" w14:textId="77777777" w:rsidR="001D1E64" w:rsidRPr="007F0DEF" w:rsidRDefault="001D1E64" w:rsidP="00B77ED2">
            <w:pPr>
              <w:spacing w:before="0"/>
              <w:jc w:val="right"/>
              <w:rPr>
                <w:b/>
                <w:bCs/>
                <w:szCs w:val="22"/>
                <w:lang w:val="es-ES"/>
              </w:rPr>
            </w:pPr>
            <w:r w:rsidRPr="007F0DEF">
              <w:rPr>
                <w:b/>
                <w:bCs/>
                <w:szCs w:val="22"/>
                <w:lang w:val="es-ES"/>
              </w:rPr>
              <w:t>Correo-e</w:t>
            </w:r>
            <w:r w:rsidRPr="007F0DEF">
              <w:rPr>
                <w:szCs w:val="22"/>
                <w:lang w:val="es-ES"/>
              </w:rPr>
              <w:t>:</w:t>
            </w:r>
          </w:p>
        </w:tc>
        <w:tc>
          <w:tcPr>
            <w:tcW w:w="3402" w:type="dxa"/>
          </w:tcPr>
          <w:p w14:paraId="2442FC61" w14:textId="77777777" w:rsidR="001D1E64" w:rsidRPr="007F0DEF" w:rsidRDefault="001D1E64" w:rsidP="00B77ED2">
            <w:pPr>
              <w:spacing w:before="0"/>
              <w:rPr>
                <w:rFonts w:cstheme="minorHAnsi"/>
                <w:szCs w:val="22"/>
                <w:lang w:val="es-ES"/>
              </w:rPr>
            </w:pPr>
          </w:p>
        </w:tc>
      </w:tr>
      <w:tr w:rsidR="001D1E64" w:rsidRPr="007F0DEF" w14:paraId="1AC638AA" w14:textId="77777777" w:rsidTr="00834287">
        <w:tc>
          <w:tcPr>
            <w:tcW w:w="1169" w:type="dxa"/>
          </w:tcPr>
          <w:p w14:paraId="70E37747" w14:textId="77777777" w:rsidR="001D1E64" w:rsidRPr="007F0DEF" w:rsidRDefault="001D1E64" w:rsidP="00B77ED2">
            <w:pPr>
              <w:spacing w:before="0"/>
              <w:jc w:val="right"/>
              <w:rPr>
                <w:szCs w:val="24"/>
                <w:lang w:val="es-ES"/>
              </w:rPr>
            </w:pPr>
          </w:p>
        </w:tc>
        <w:tc>
          <w:tcPr>
            <w:tcW w:w="4252" w:type="dxa"/>
            <w:tcBorders>
              <w:right w:val="single" w:sz="8" w:space="0" w:color="auto"/>
            </w:tcBorders>
          </w:tcPr>
          <w:p w14:paraId="6163D0FB" w14:textId="77777777" w:rsidR="001D1E64" w:rsidRPr="007F0DEF" w:rsidRDefault="001D1E64" w:rsidP="00B77ED2">
            <w:pPr>
              <w:spacing w:before="0"/>
              <w:rPr>
                <w:rFonts w:cstheme="minorHAnsi"/>
                <w:szCs w:val="22"/>
                <w:lang w:val="es-ES"/>
              </w:rPr>
            </w:pPr>
          </w:p>
        </w:tc>
        <w:tc>
          <w:tcPr>
            <w:tcW w:w="1134" w:type="dxa"/>
            <w:tcBorders>
              <w:left w:val="single" w:sz="8" w:space="0" w:color="auto"/>
            </w:tcBorders>
          </w:tcPr>
          <w:p w14:paraId="4D55267E" w14:textId="77777777" w:rsidR="001D1E64" w:rsidRPr="007F0DEF" w:rsidRDefault="001D1E64" w:rsidP="00B77ED2">
            <w:pPr>
              <w:spacing w:before="0"/>
              <w:jc w:val="right"/>
              <w:rPr>
                <w:szCs w:val="22"/>
                <w:lang w:val="es-ES"/>
              </w:rPr>
            </w:pPr>
            <w:r w:rsidRPr="007F0DEF">
              <w:rPr>
                <w:b/>
                <w:bCs/>
                <w:szCs w:val="22"/>
                <w:lang w:val="es-ES"/>
              </w:rPr>
              <w:t>Fecha</w:t>
            </w:r>
            <w:r w:rsidRPr="007F0DEF">
              <w:rPr>
                <w:szCs w:val="22"/>
                <w:lang w:val="es-ES"/>
              </w:rPr>
              <w:t>:</w:t>
            </w:r>
          </w:p>
        </w:tc>
        <w:tc>
          <w:tcPr>
            <w:tcW w:w="3402" w:type="dxa"/>
          </w:tcPr>
          <w:p w14:paraId="56B28C89" w14:textId="77777777" w:rsidR="001D1E64" w:rsidRPr="007F0DEF" w:rsidRDefault="001D1E64" w:rsidP="00B77ED2">
            <w:pPr>
              <w:spacing w:before="0"/>
              <w:rPr>
                <w:szCs w:val="22"/>
                <w:lang w:val="es-ES"/>
              </w:rPr>
            </w:pPr>
            <w:r w:rsidRPr="007F0DEF">
              <w:rPr>
                <w:szCs w:val="22"/>
                <w:highlight w:val="green"/>
                <w:lang w:val="es-ES"/>
              </w:rPr>
              <w:t>[Lugar,] [fecha]</w:t>
            </w:r>
          </w:p>
        </w:tc>
      </w:tr>
    </w:tbl>
    <w:p w14:paraId="4178A3E1" w14:textId="77777777" w:rsidR="001D1E64" w:rsidRPr="007F0DEF" w:rsidRDefault="001D1E64" w:rsidP="00834287">
      <w:pPr>
        <w:pStyle w:val="Normalaftertitle"/>
        <w:rPr>
          <w:szCs w:val="24"/>
          <w:lang w:val="es-ES"/>
        </w:rPr>
      </w:pPr>
      <w:r w:rsidRPr="007F0DEF">
        <w:rPr>
          <w:lang w:val="es-ES"/>
        </w:rPr>
        <w:t>Estimado Señor/Estimada Señora:</w:t>
      </w:r>
    </w:p>
    <w:p w14:paraId="4C33CB93" w14:textId="77777777" w:rsidR="001D1E64" w:rsidRPr="007F0DEF" w:rsidRDefault="001D1E64" w:rsidP="00834287">
      <w:pPr>
        <w:spacing w:after="360"/>
        <w:rPr>
          <w:lang w:val="es-ES"/>
        </w:rPr>
      </w:pPr>
      <w:r w:rsidRPr="007F0DEF">
        <w:rPr>
          <w:lang w:val="es-ES"/>
        </w:rPr>
        <w:t>En lo que respecta a la consulta a los Estados Miembros sobre los proyectos determinados que se enumeran en la Circular 83 de la TSB, deseo informarle de la opinión de esta Administración, que se refleja en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371"/>
      </w:tblGrid>
      <w:tr w:rsidR="001D1E64" w:rsidRPr="007F0DEF" w14:paraId="71F32227" w14:textId="77777777" w:rsidTr="00B77ED2">
        <w:trPr>
          <w:tblHeader/>
        </w:trPr>
        <w:tc>
          <w:tcPr>
            <w:tcW w:w="2258" w:type="dxa"/>
            <w:vAlign w:val="center"/>
          </w:tcPr>
          <w:p w14:paraId="2AFED8B5" w14:textId="77777777" w:rsidR="001D1E64" w:rsidRPr="007F0DEF" w:rsidRDefault="001D1E64" w:rsidP="00B77ED2">
            <w:pPr>
              <w:spacing w:after="120"/>
              <w:jc w:val="center"/>
              <w:rPr>
                <w:b/>
                <w:bCs/>
                <w:szCs w:val="24"/>
                <w:lang w:val="es-ES"/>
              </w:rPr>
            </w:pPr>
            <w:bookmarkStart w:id="6" w:name="_Hlk204005032"/>
          </w:p>
        </w:tc>
        <w:tc>
          <w:tcPr>
            <w:tcW w:w="7371" w:type="dxa"/>
            <w:vAlign w:val="center"/>
          </w:tcPr>
          <w:p w14:paraId="0DCC4EAE" w14:textId="77777777" w:rsidR="001D1E64" w:rsidRPr="007F0DEF" w:rsidRDefault="001D1E64" w:rsidP="00B77ED2">
            <w:pPr>
              <w:tabs>
                <w:tab w:val="clear" w:pos="794"/>
                <w:tab w:val="clear" w:pos="1191"/>
                <w:tab w:val="clear" w:pos="1588"/>
                <w:tab w:val="clear" w:pos="1985"/>
              </w:tabs>
              <w:spacing w:after="120"/>
              <w:ind w:left="939" w:hanging="459"/>
              <w:jc w:val="center"/>
              <w:rPr>
                <w:b/>
                <w:bCs/>
                <w:szCs w:val="24"/>
                <w:lang w:val="es-ES"/>
              </w:rPr>
            </w:pPr>
            <w:r w:rsidRPr="007F0DEF">
              <w:rPr>
                <w:b/>
                <w:bCs/>
                <w:szCs w:val="24"/>
                <w:lang w:val="es-ES"/>
              </w:rPr>
              <w:t>Seleccione una de las dos casillas</w:t>
            </w:r>
          </w:p>
        </w:tc>
      </w:tr>
      <w:bookmarkEnd w:id="6"/>
      <w:tr w:rsidR="001D1E64" w:rsidRPr="007F0DEF" w14:paraId="3C942851" w14:textId="77777777" w:rsidTr="00B77ED2">
        <w:trPr>
          <w:trHeight w:val="748"/>
        </w:trPr>
        <w:tc>
          <w:tcPr>
            <w:tcW w:w="2258" w:type="dxa"/>
            <w:vMerge w:val="restart"/>
            <w:vAlign w:val="center"/>
          </w:tcPr>
          <w:p w14:paraId="1772342C" w14:textId="63C4C26F" w:rsidR="001D1E64" w:rsidRPr="007F0DEF" w:rsidRDefault="001D1E64" w:rsidP="00B77ED2">
            <w:pPr>
              <w:spacing w:before="60" w:after="60"/>
              <w:jc w:val="center"/>
              <w:rPr>
                <w:b/>
                <w:bCs/>
                <w:szCs w:val="24"/>
                <w:lang w:val="es-ES"/>
              </w:rPr>
            </w:pPr>
            <w:r w:rsidRPr="007F0DEF">
              <w:rPr>
                <w:b/>
                <w:bCs/>
                <w:szCs w:val="24"/>
                <w:lang w:val="es-ES"/>
              </w:rPr>
              <w:t xml:space="preserve">Proyecto de Recomendación revisada </w:t>
            </w:r>
            <w:r w:rsidR="00D07867" w:rsidRPr="007F0DEF">
              <w:rPr>
                <w:b/>
                <w:bCs/>
                <w:szCs w:val="24"/>
                <w:lang w:val="es-ES"/>
              </w:rPr>
              <w:br/>
            </w:r>
            <w:r w:rsidRPr="007F0DEF">
              <w:rPr>
                <w:b/>
                <w:bCs/>
                <w:szCs w:val="24"/>
                <w:lang w:val="es-ES"/>
              </w:rPr>
              <w:t>UIT-T X.1058 | ISO/CEI 2915</w:t>
            </w:r>
          </w:p>
        </w:tc>
        <w:tc>
          <w:tcPr>
            <w:tcW w:w="7371" w:type="dxa"/>
          </w:tcPr>
          <w:p w14:paraId="13483528" w14:textId="77777777" w:rsidR="001D1E64" w:rsidRPr="007F0DEF" w:rsidRDefault="001D1E64" w:rsidP="00B77ED2">
            <w:pPr>
              <w:pStyle w:val="Tabletext0"/>
              <w:tabs>
                <w:tab w:val="clear" w:pos="284"/>
                <w:tab w:val="clear" w:pos="567"/>
                <w:tab w:val="left" w:pos="480"/>
              </w:tabs>
              <w:ind w:left="480" w:hanging="480"/>
              <w:rPr>
                <w:lang w:val="es-ES"/>
              </w:rPr>
            </w:pPr>
            <w:r w:rsidRPr="007F0DEF">
              <w:rPr>
                <w:szCs w:val="22"/>
                <w:lang w:val="es-ES"/>
              </w:rPr>
              <w:fldChar w:fldCharType="begin">
                <w:ffData>
                  <w:name w:val="Check1"/>
                  <w:enabled/>
                  <w:calcOnExit w:val="0"/>
                  <w:checkBox>
                    <w:sizeAuto/>
                    <w:default w:val="0"/>
                  </w:checkBox>
                </w:ffData>
              </w:fldChar>
            </w:r>
            <w:r w:rsidRPr="007F0DEF">
              <w:rPr>
                <w:szCs w:val="22"/>
                <w:lang w:val="es-ES"/>
              </w:rPr>
              <w:instrText xml:space="preserve"> FORMCHECKBOX </w:instrText>
            </w:r>
            <w:r w:rsidRPr="007F0DEF">
              <w:rPr>
                <w:szCs w:val="22"/>
                <w:lang w:val="es-ES"/>
              </w:rPr>
            </w:r>
            <w:r w:rsidRPr="007F0DEF">
              <w:rPr>
                <w:szCs w:val="22"/>
                <w:lang w:val="es-ES"/>
              </w:rPr>
              <w:fldChar w:fldCharType="separate"/>
            </w:r>
            <w:r w:rsidRPr="007F0DEF">
              <w:rPr>
                <w:szCs w:val="22"/>
                <w:lang w:val="es-ES"/>
              </w:rPr>
              <w:fldChar w:fldCharType="end"/>
            </w:r>
            <w:r w:rsidRPr="007F0DEF">
              <w:rPr>
                <w:lang w:val="es-ES"/>
              </w:rPr>
              <w:tab/>
            </w:r>
            <w:r w:rsidRPr="007F0DEF">
              <w:rPr>
                <w:b/>
                <w:bCs/>
                <w:lang w:val="es-ES"/>
              </w:rPr>
              <w:t>Otorga autoridad</w:t>
            </w:r>
            <w:r w:rsidRPr="007F0DEF">
              <w:rPr>
                <w:lang w:val="es-ES"/>
              </w:rPr>
              <w:t xml:space="preserve"> a la Comisión de Estudio 17 para examinar este texto para aprobación (en cuyo caso, seleccione una de las dos opciones ⃝):</w:t>
            </w:r>
          </w:p>
          <w:p w14:paraId="542C09B6" w14:textId="77777777" w:rsidR="001D1E64" w:rsidRPr="007F0DEF" w:rsidRDefault="001D1E64" w:rsidP="00B77ED2">
            <w:pPr>
              <w:pStyle w:val="Tabletext0"/>
              <w:tabs>
                <w:tab w:val="clear" w:pos="851"/>
                <w:tab w:val="left" w:pos="906"/>
              </w:tabs>
              <w:ind w:left="482"/>
              <w:rPr>
                <w:lang w:val="es-ES"/>
              </w:rPr>
            </w:pPr>
            <w:r w:rsidRPr="007F0DEF">
              <w:rPr>
                <w:lang w:val="es-ES"/>
              </w:rPr>
              <w:t>⃝</w:t>
            </w:r>
            <w:r w:rsidRPr="007F0DEF">
              <w:rPr>
                <w:lang w:val="es-ES"/>
              </w:rPr>
              <w:tab/>
              <w:t>Sin comentarios o cambios sugeridos</w:t>
            </w:r>
          </w:p>
          <w:p w14:paraId="387D5E37" w14:textId="77777777" w:rsidR="001D1E64" w:rsidRPr="007F0DEF" w:rsidRDefault="001D1E64" w:rsidP="00B77ED2">
            <w:pPr>
              <w:tabs>
                <w:tab w:val="clear" w:pos="794"/>
                <w:tab w:val="clear" w:pos="1191"/>
                <w:tab w:val="clear" w:pos="1588"/>
                <w:tab w:val="clear" w:pos="1985"/>
              </w:tabs>
              <w:spacing w:before="0"/>
              <w:ind w:left="939" w:hanging="459"/>
              <w:rPr>
                <w:szCs w:val="24"/>
                <w:lang w:val="es-ES"/>
              </w:rPr>
            </w:pPr>
            <w:r w:rsidRPr="007F0DEF">
              <w:rPr>
                <w:lang w:val="es-ES"/>
              </w:rPr>
              <w:t>⃝</w:t>
            </w:r>
            <w:r w:rsidRPr="007F0DEF">
              <w:rPr>
                <w:lang w:val="es-ES"/>
              </w:rPr>
              <w:tab/>
              <w:t>Se adjuntan los comentarios o cambios sugeridos</w:t>
            </w:r>
          </w:p>
        </w:tc>
      </w:tr>
      <w:tr w:rsidR="001D1E64" w:rsidRPr="007F0DEF" w14:paraId="6EE69681" w14:textId="77777777" w:rsidTr="00B77ED2">
        <w:trPr>
          <w:trHeight w:val="747"/>
        </w:trPr>
        <w:tc>
          <w:tcPr>
            <w:tcW w:w="2258" w:type="dxa"/>
            <w:vMerge/>
            <w:vAlign w:val="center"/>
          </w:tcPr>
          <w:p w14:paraId="1ADB7814" w14:textId="77777777" w:rsidR="001D1E64" w:rsidRPr="007F0DEF" w:rsidRDefault="001D1E64" w:rsidP="00B77ED2">
            <w:pPr>
              <w:spacing w:before="60" w:after="60"/>
              <w:jc w:val="center"/>
              <w:rPr>
                <w:b/>
                <w:bCs/>
                <w:szCs w:val="24"/>
                <w:lang w:val="es-ES"/>
              </w:rPr>
            </w:pPr>
          </w:p>
        </w:tc>
        <w:tc>
          <w:tcPr>
            <w:tcW w:w="7371" w:type="dxa"/>
          </w:tcPr>
          <w:p w14:paraId="709A6A22" w14:textId="77777777" w:rsidR="001D1E64" w:rsidRPr="007F0DEF" w:rsidRDefault="001D1E64" w:rsidP="00B77ED2">
            <w:pPr>
              <w:tabs>
                <w:tab w:val="clear" w:pos="794"/>
                <w:tab w:val="clear" w:pos="1191"/>
                <w:tab w:val="clear" w:pos="1588"/>
                <w:tab w:val="clear" w:pos="1985"/>
                <w:tab w:val="left" w:pos="250"/>
              </w:tabs>
              <w:spacing w:before="60" w:after="60"/>
              <w:ind w:left="459" w:hanging="459"/>
              <w:rPr>
                <w:sz w:val="20"/>
                <w:lang w:val="es-ES"/>
              </w:rPr>
            </w:pPr>
            <w:r w:rsidRPr="007F0DEF">
              <w:rPr>
                <w:szCs w:val="22"/>
                <w:lang w:val="es-ES"/>
              </w:rPr>
              <w:fldChar w:fldCharType="begin">
                <w:ffData>
                  <w:name w:val="Check1"/>
                  <w:enabled/>
                  <w:calcOnExit w:val="0"/>
                  <w:checkBox>
                    <w:sizeAuto/>
                    <w:default w:val="0"/>
                  </w:checkBox>
                </w:ffData>
              </w:fldChar>
            </w:r>
            <w:r w:rsidRPr="007F0DEF">
              <w:rPr>
                <w:szCs w:val="22"/>
                <w:lang w:val="es-ES"/>
              </w:rPr>
              <w:instrText xml:space="preserve"> FORMCHECKBOX </w:instrText>
            </w:r>
            <w:r w:rsidRPr="007F0DEF">
              <w:rPr>
                <w:szCs w:val="22"/>
                <w:lang w:val="es-ES"/>
              </w:rPr>
            </w:r>
            <w:r w:rsidRPr="007F0DEF">
              <w:rPr>
                <w:szCs w:val="22"/>
                <w:lang w:val="es-ES"/>
              </w:rPr>
              <w:fldChar w:fldCharType="separate"/>
            </w:r>
            <w:r w:rsidRPr="007F0DEF">
              <w:rPr>
                <w:szCs w:val="22"/>
                <w:lang w:val="es-ES"/>
              </w:rPr>
              <w:fldChar w:fldCharType="end"/>
            </w:r>
            <w:r w:rsidRPr="007F0DEF">
              <w:rPr>
                <w:lang w:val="es-ES"/>
              </w:rPr>
              <w:tab/>
            </w:r>
            <w:r w:rsidRPr="007F0DEF">
              <w:rPr>
                <w:b/>
                <w:bCs/>
                <w:lang w:val="es-ES"/>
              </w:rPr>
              <w:t xml:space="preserve">No otorga autoridad </w:t>
            </w:r>
            <w:r w:rsidRPr="007F0DEF">
              <w:rPr>
                <w:lang w:val="es-ES"/>
              </w:rPr>
              <w:t>a la Comisión de Estudio 17 a fin de examinar este texto para aprobación (se adjuntan los motivos de esta decisión y las posibles modificaciones que permitirían que prosiguieran los trabajos)</w:t>
            </w:r>
          </w:p>
        </w:tc>
      </w:tr>
    </w:tbl>
    <w:p w14:paraId="1F28D252" w14:textId="77777777" w:rsidR="001D1E64" w:rsidRPr="007F0DEF" w:rsidRDefault="001D1E64" w:rsidP="00123FC8">
      <w:pPr>
        <w:keepNext/>
        <w:keepLines/>
        <w:spacing w:before="240" w:after="120"/>
        <w:rPr>
          <w:lang w:val="es-ES"/>
        </w:rPr>
      </w:pPr>
      <w:r w:rsidRPr="007F0DEF">
        <w:rPr>
          <w:lang w:val="es-ES"/>
        </w:rPr>
        <w:t>Atentamente,</w:t>
      </w:r>
    </w:p>
    <w:p w14:paraId="7C194636" w14:textId="77777777" w:rsidR="001D1E64" w:rsidRPr="007F0DEF" w:rsidRDefault="001D1E64" w:rsidP="001D1E64">
      <w:pPr>
        <w:keepNext/>
        <w:keepLines/>
        <w:spacing w:before="240"/>
        <w:rPr>
          <w:szCs w:val="24"/>
          <w:highlight w:val="green"/>
          <w:lang w:val="es-ES"/>
        </w:rPr>
      </w:pPr>
      <w:r w:rsidRPr="007F0DEF">
        <w:rPr>
          <w:szCs w:val="24"/>
          <w:highlight w:val="green"/>
          <w:lang w:val="es-ES"/>
        </w:rPr>
        <w:t>[Nombre]</w:t>
      </w:r>
    </w:p>
    <w:p w14:paraId="70A78F2F" w14:textId="77777777" w:rsidR="001D1E64" w:rsidRPr="007F0DEF" w:rsidRDefault="001D1E64" w:rsidP="001D1E64">
      <w:pPr>
        <w:keepNext/>
        <w:keepLines/>
        <w:rPr>
          <w:szCs w:val="24"/>
          <w:lang w:val="es-ES"/>
        </w:rPr>
      </w:pPr>
      <w:r w:rsidRPr="007F0DEF">
        <w:rPr>
          <w:szCs w:val="24"/>
          <w:highlight w:val="green"/>
          <w:lang w:val="es-ES"/>
        </w:rPr>
        <w:t>[</w:t>
      </w:r>
      <w:r w:rsidRPr="007F0DEF">
        <w:rPr>
          <w:highlight w:val="green"/>
          <w:lang w:val="es-ES"/>
        </w:rPr>
        <w:t>Cargo oficial/título</w:t>
      </w:r>
      <w:r w:rsidRPr="007F0DEF">
        <w:rPr>
          <w:szCs w:val="24"/>
          <w:highlight w:val="green"/>
          <w:lang w:val="es-ES"/>
        </w:rPr>
        <w:t>]</w:t>
      </w:r>
    </w:p>
    <w:p w14:paraId="672CEACB" w14:textId="1AEA349C" w:rsidR="001D1E64" w:rsidRPr="007F0DEF" w:rsidRDefault="001D1E64" w:rsidP="001D1E64">
      <w:pPr>
        <w:keepNext/>
        <w:keepLines/>
        <w:rPr>
          <w:szCs w:val="24"/>
          <w:lang w:val="es-ES"/>
        </w:rPr>
      </w:pPr>
      <w:r w:rsidRPr="007F0DEF">
        <w:rPr>
          <w:lang w:val="es-ES"/>
        </w:rPr>
        <w:t xml:space="preserve">Administración de </w:t>
      </w:r>
      <w:r w:rsidRPr="007F0DEF">
        <w:rPr>
          <w:highlight w:val="green"/>
          <w:lang w:val="es-ES"/>
        </w:rPr>
        <w:t>[Estado Miembro</w:t>
      </w:r>
      <w:r w:rsidRPr="007F0DEF">
        <w:rPr>
          <w:szCs w:val="24"/>
          <w:highlight w:val="green"/>
          <w:lang w:val="es-ES"/>
        </w:rPr>
        <w:t>]</w:t>
      </w:r>
    </w:p>
    <w:p w14:paraId="29E52A89" w14:textId="77777777" w:rsidR="00123FC8" w:rsidRPr="007F0DEF" w:rsidRDefault="00123FC8" w:rsidP="00411C49">
      <w:pPr>
        <w:pStyle w:val="Reasons"/>
        <w:rPr>
          <w:lang w:val="es-ES"/>
        </w:rPr>
      </w:pPr>
    </w:p>
    <w:p w14:paraId="579DA063" w14:textId="77777777" w:rsidR="00123FC8" w:rsidRPr="007F0DEF" w:rsidRDefault="00123FC8">
      <w:pPr>
        <w:jc w:val="center"/>
        <w:rPr>
          <w:lang w:val="es-ES"/>
        </w:rPr>
      </w:pPr>
      <w:r w:rsidRPr="007F0DEF">
        <w:rPr>
          <w:lang w:val="es-ES"/>
        </w:rPr>
        <w:t>______________</w:t>
      </w:r>
    </w:p>
    <w:p w14:paraId="4051B564" w14:textId="77777777" w:rsidR="00C34772" w:rsidRPr="007F0DEF" w:rsidRDefault="00C34772" w:rsidP="001D1E64">
      <w:pPr>
        <w:pStyle w:val="ITUintr"/>
        <w:tabs>
          <w:tab w:val="clear" w:pos="737"/>
          <w:tab w:val="clear" w:pos="1134"/>
          <w:tab w:val="left" w:pos="794"/>
        </w:tabs>
        <w:spacing w:before="240" w:after="0"/>
        <w:ind w:right="91"/>
        <w:rPr>
          <w:sz w:val="4"/>
          <w:szCs w:val="4"/>
          <w:lang w:val="es-ES"/>
        </w:rPr>
      </w:pPr>
    </w:p>
    <w:sectPr w:rsidR="00C34772" w:rsidRPr="007F0DEF" w:rsidSect="00D43C27">
      <w:headerReference w:type="even" r:id="rId15"/>
      <w:headerReference w:type="default" r:id="rId16"/>
      <w:footerReference w:type="even" r:id="rId17"/>
      <w:footerReference w:type="default" r:id="rId18"/>
      <w:footerReference w:type="first" r:id="rId19"/>
      <w:pgSz w:w="11907" w:h="16840" w:code="9"/>
      <w:pgMar w:top="1134" w:right="1017" w:bottom="720" w:left="1134" w:header="567" w:footer="37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0BA5" w14:textId="77777777" w:rsidR="00141CB4" w:rsidRDefault="00141CB4">
      <w:r>
        <w:separator/>
      </w:r>
    </w:p>
  </w:endnote>
  <w:endnote w:type="continuationSeparator" w:id="0">
    <w:p w14:paraId="5BF76172" w14:textId="77777777"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D652" w14:textId="31B024BA" w:rsidR="00141CB4" w:rsidRPr="006B5061" w:rsidRDefault="00141CB4" w:rsidP="006B5061">
    <w:pPr>
      <w:pStyle w:val="Footer"/>
      <w:tabs>
        <w:tab w:val="center" w:pos="5387"/>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6C5" w14:textId="5DB9B182" w:rsidR="00141CB4" w:rsidRPr="006B5061" w:rsidRDefault="00141CB4" w:rsidP="006B5061">
    <w:pPr>
      <w:pStyle w:val="Footer"/>
      <w:tabs>
        <w:tab w:val="center" w:pos="5387"/>
      </w:tabs>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B48E"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 xml:space="preserve">Unión Internacional de Telecomunicaciones • Place des </w:t>
    </w:r>
    <w:proofErr w:type="spellStart"/>
    <w:r w:rsidRPr="00F834B9">
      <w:rPr>
        <w:color w:val="0070C0"/>
        <w:szCs w:val="18"/>
        <w:lang w:val="es-ES"/>
      </w:rPr>
      <w:t>Nations</w:t>
    </w:r>
    <w:proofErr w:type="spellEnd"/>
    <w:r w:rsidRPr="00F834B9">
      <w:rPr>
        <w:color w:val="0070C0"/>
        <w:szCs w:val="18"/>
        <w:lang w:val="es-ES"/>
      </w:rPr>
      <w:t>,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FCA3" w14:textId="77777777" w:rsidR="00141CB4" w:rsidRDefault="00141CB4">
      <w:r>
        <w:t>____________________</w:t>
      </w:r>
    </w:p>
  </w:footnote>
  <w:footnote w:type="continuationSeparator" w:id="0">
    <w:p w14:paraId="6AACE5AC" w14:textId="77777777" w:rsidR="00141CB4" w:rsidRDefault="001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22281329" w14:textId="38CD2DAC"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00E24A90">
          <w:rPr>
            <w:bCs/>
            <w:sz w:val="18"/>
            <w:szCs w:val="18"/>
          </w:rPr>
          <w:t>TSB Circular</w:t>
        </w:r>
        <w:r w:rsidRPr="001A50AB">
          <w:rPr>
            <w:bCs/>
            <w:sz w:val="18"/>
            <w:szCs w:val="18"/>
          </w:rPr>
          <w:t xml:space="preserve"> </w:t>
        </w:r>
        <w:r w:rsidR="00E24A90">
          <w:rPr>
            <w:bCs/>
            <w:sz w:val="18"/>
            <w:szCs w:val="18"/>
          </w:rPr>
          <w:t>83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sdt>
        <w:sdtPr>
          <w:id w:val="-1957549668"/>
          <w:docPartObj>
            <w:docPartGallery w:val="Page Numbers (Top of Page)"/>
            <w:docPartUnique/>
          </w:docPartObj>
        </w:sdtPr>
        <w:sdtEndPr>
          <w:rPr>
            <w:noProof/>
            <w:sz w:val="18"/>
            <w:szCs w:val="18"/>
          </w:rPr>
        </w:sdtEndPr>
        <w:sdtContent>
          <w:p w14:paraId="539DD8DF" w14:textId="57366F63" w:rsidR="00BC1FB8" w:rsidRPr="00BC1FB8" w:rsidRDefault="00834287" w:rsidP="00834287">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2</w:t>
            </w:r>
            <w:r w:rsidRPr="00F55157">
              <w:rPr>
                <w:noProof/>
                <w:sz w:val="18"/>
                <w:szCs w:val="18"/>
              </w:rPr>
              <w:fldChar w:fldCharType="end"/>
            </w:r>
            <w:r>
              <w:rPr>
                <w:noProof/>
                <w:sz w:val="18"/>
                <w:szCs w:val="18"/>
              </w:rPr>
              <w:t xml:space="preserve"> -</w:t>
            </w:r>
            <w:r>
              <w:rPr>
                <w:noProof/>
                <w:sz w:val="18"/>
                <w:szCs w:val="18"/>
              </w:rPr>
              <w:br/>
            </w:r>
            <w:r>
              <w:rPr>
                <w:bCs/>
                <w:sz w:val="18"/>
                <w:szCs w:val="18"/>
              </w:rPr>
              <w:t>TSB Circular</w:t>
            </w:r>
            <w:r w:rsidRPr="001A50AB">
              <w:rPr>
                <w:bCs/>
                <w:sz w:val="18"/>
                <w:szCs w:val="18"/>
              </w:rPr>
              <w:t xml:space="preserve"> </w:t>
            </w:r>
            <w:r>
              <w:rPr>
                <w:bCs/>
                <w:sz w:val="18"/>
                <w:szCs w:val="18"/>
              </w:rPr>
              <w:t>83</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6B1E3E"/>
    <w:multiLevelType w:val="hybridMultilevel"/>
    <w:tmpl w:val="54C0B476"/>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66792653">
    <w:abstractNumId w:val="0"/>
  </w:num>
  <w:num w:numId="2" w16cid:durableId="1950887997">
    <w:abstractNumId w:val="7"/>
  </w:num>
  <w:num w:numId="3" w16cid:durableId="1728139154">
    <w:abstractNumId w:val="5"/>
  </w:num>
  <w:num w:numId="4" w16cid:durableId="1447653604">
    <w:abstractNumId w:val="2"/>
  </w:num>
  <w:num w:numId="5" w16cid:durableId="1814443880">
    <w:abstractNumId w:val="3"/>
  </w:num>
  <w:num w:numId="6" w16cid:durableId="746927775">
    <w:abstractNumId w:val="4"/>
  </w:num>
  <w:num w:numId="7" w16cid:durableId="1883788690">
    <w:abstractNumId w:val="1"/>
  </w:num>
  <w:num w:numId="8" w16cid:durableId="54355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54866"/>
    <w:rsid w:val="000678BB"/>
    <w:rsid w:val="00080F6C"/>
    <w:rsid w:val="000C375D"/>
    <w:rsid w:val="000C382F"/>
    <w:rsid w:val="000F67AE"/>
    <w:rsid w:val="00114963"/>
    <w:rsid w:val="001173CC"/>
    <w:rsid w:val="00123FC8"/>
    <w:rsid w:val="00126D02"/>
    <w:rsid w:val="001344C2"/>
    <w:rsid w:val="00136FC2"/>
    <w:rsid w:val="00141CB4"/>
    <w:rsid w:val="001671BC"/>
    <w:rsid w:val="001A2905"/>
    <w:rsid w:val="001A54CC"/>
    <w:rsid w:val="001C2FAD"/>
    <w:rsid w:val="001D1BA9"/>
    <w:rsid w:val="001D1E64"/>
    <w:rsid w:val="001F0D48"/>
    <w:rsid w:val="002021BB"/>
    <w:rsid w:val="00212668"/>
    <w:rsid w:val="00221C83"/>
    <w:rsid w:val="002545AA"/>
    <w:rsid w:val="00257FB4"/>
    <w:rsid w:val="00271D3E"/>
    <w:rsid w:val="0027571F"/>
    <w:rsid w:val="002C1570"/>
    <w:rsid w:val="00303D62"/>
    <w:rsid w:val="00313DBB"/>
    <w:rsid w:val="00324783"/>
    <w:rsid w:val="00327BC9"/>
    <w:rsid w:val="00335367"/>
    <w:rsid w:val="0033768F"/>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6109C"/>
    <w:rsid w:val="0067009C"/>
    <w:rsid w:val="006760CF"/>
    <w:rsid w:val="006969B4"/>
    <w:rsid w:val="006A0C05"/>
    <w:rsid w:val="006A335A"/>
    <w:rsid w:val="006B5061"/>
    <w:rsid w:val="006E24F0"/>
    <w:rsid w:val="006F6581"/>
    <w:rsid w:val="007128A1"/>
    <w:rsid w:val="00715D93"/>
    <w:rsid w:val="00720BA2"/>
    <w:rsid w:val="00781E2A"/>
    <w:rsid w:val="007A6373"/>
    <w:rsid w:val="007B34FB"/>
    <w:rsid w:val="007F0DEF"/>
    <w:rsid w:val="008134A7"/>
    <w:rsid w:val="00823E22"/>
    <w:rsid w:val="008258C2"/>
    <w:rsid w:val="00833CCA"/>
    <w:rsid w:val="00834287"/>
    <w:rsid w:val="00846D89"/>
    <w:rsid w:val="008505BD"/>
    <w:rsid w:val="00850C78"/>
    <w:rsid w:val="00855B98"/>
    <w:rsid w:val="00885AA7"/>
    <w:rsid w:val="008C17AD"/>
    <w:rsid w:val="008D02CD"/>
    <w:rsid w:val="008F29BD"/>
    <w:rsid w:val="0091255A"/>
    <w:rsid w:val="00934054"/>
    <w:rsid w:val="0095172A"/>
    <w:rsid w:val="00963CD8"/>
    <w:rsid w:val="00975A06"/>
    <w:rsid w:val="009900B7"/>
    <w:rsid w:val="009D3E5C"/>
    <w:rsid w:val="009D4C42"/>
    <w:rsid w:val="009F0942"/>
    <w:rsid w:val="00A119A2"/>
    <w:rsid w:val="00A41330"/>
    <w:rsid w:val="00A42718"/>
    <w:rsid w:val="00A54E47"/>
    <w:rsid w:val="00A6120F"/>
    <w:rsid w:val="00A85283"/>
    <w:rsid w:val="00A9210B"/>
    <w:rsid w:val="00AA30D4"/>
    <w:rsid w:val="00AD1512"/>
    <w:rsid w:val="00AE7093"/>
    <w:rsid w:val="00AF276D"/>
    <w:rsid w:val="00B00CEC"/>
    <w:rsid w:val="00B07A99"/>
    <w:rsid w:val="00B17920"/>
    <w:rsid w:val="00B321C3"/>
    <w:rsid w:val="00B422BC"/>
    <w:rsid w:val="00B43F77"/>
    <w:rsid w:val="00B44D9D"/>
    <w:rsid w:val="00B616C2"/>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B3300"/>
    <w:rsid w:val="00CC1DE4"/>
    <w:rsid w:val="00CD4AE3"/>
    <w:rsid w:val="00D027A3"/>
    <w:rsid w:val="00D07867"/>
    <w:rsid w:val="00D119EC"/>
    <w:rsid w:val="00D43C27"/>
    <w:rsid w:val="00D55955"/>
    <w:rsid w:val="00DA16FC"/>
    <w:rsid w:val="00DA7E46"/>
    <w:rsid w:val="00DD77C9"/>
    <w:rsid w:val="00DD7900"/>
    <w:rsid w:val="00DF4D66"/>
    <w:rsid w:val="00DF5926"/>
    <w:rsid w:val="00DF61F3"/>
    <w:rsid w:val="00E24A90"/>
    <w:rsid w:val="00E25441"/>
    <w:rsid w:val="00E5040E"/>
    <w:rsid w:val="00E764E2"/>
    <w:rsid w:val="00E81A56"/>
    <w:rsid w:val="00E839B0"/>
    <w:rsid w:val="00E85734"/>
    <w:rsid w:val="00E92C09"/>
    <w:rsid w:val="00EA3374"/>
    <w:rsid w:val="00EB4E19"/>
    <w:rsid w:val="00EF4FA4"/>
    <w:rsid w:val="00F40F4E"/>
    <w:rsid w:val="00F453C5"/>
    <w:rsid w:val="00F52B11"/>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Annextitle0">
    <w:name w:val="Annex_title"/>
    <w:basedOn w:val="Normal"/>
    <w:next w:val="Normal"/>
    <w:rsid w:val="001D1E64"/>
    <w:pPr>
      <w:keepNext/>
      <w:keepLines/>
      <w:spacing w:before="240" w:after="280"/>
      <w:jc w:val="center"/>
    </w:pPr>
    <w:rPr>
      <w:rFonts w:ascii="Calibri" w:hAnsi="Calibri"/>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17-R-0018/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s/ITU-T/ipr/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T25-SG17-COL-0005/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mailto:tsbdir@itu.i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52</TotalTime>
  <Pages>4</Pages>
  <Words>1267</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8453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8</cp:revision>
  <cp:lastPrinted>2025-11-21T07:38:00Z</cp:lastPrinted>
  <dcterms:created xsi:type="dcterms:W3CDTF">2025-10-29T10:40:00Z</dcterms:created>
  <dcterms:modified xsi:type="dcterms:W3CDTF">2025-11-21T07:39:00Z</dcterms:modified>
</cp:coreProperties>
</file>