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510"/>
        <w:tblW w:w="9781" w:type="dxa"/>
        <w:tblLayout w:type="fixed"/>
        <w:tblLook w:val="0000" w:firstRow="0" w:lastRow="0" w:firstColumn="0" w:lastColumn="0" w:noHBand="0" w:noVBand="0"/>
      </w:tblPr>
      <w:tblGrid>
        <w:gridCol w:w="1276"/>
        <w:gridCol w:w="3544"/>
        <w:gridCol w:w="2977"/>
        <w:gridCol w:w="1984"/>
      </w:tblGrid>
      <w:tr w:rsidR="00852B82" w:rsidRPr="00C37279" w14:paraId="13E39A66" w14:textId="77777777" w:rsidTr="00593A95">
        <w:trPr>
          <w:trHeight w:val="1530"/>
        </w:trPr>
        <w:tc>
          <w:tcPr>
            <w:tcW w:w="1276" w:type="dxa"/>
            <w:tcMar>
              <w:left w:w="0" w:type="dxa"/>
              <w:right w:w="0" w:type="dxa"/>
            </w:tcMar>
            <w:vAlign w:val="center"/>
          </w:tcPr>
          <w:p w14:paraId="35E86636" w14:textId="77777777" w:rsidR="00852B82" w:rsidRPr="00C37279" w:rsidRDefault="00607E07" w:rsidP="009D2BA0">
            <w:pPr>
              <w:pStyle w:val="Tabletext"/>
              <w:jc w:val="center"/>
            </w:pPr>
            <w:r w:rsidRPr="00C37279">
              <w:rPr>
                <w:noProof/>
                <w:lang w:eastAsia="en-GB"/>
              </w:rPr>
              <w:drawing>
                <wp:inline distT="0" distB="0" distL="0" distR="0" wp14:anchorId="06306522" wp14:editId="09A47A6F">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tcMar>
              <w:left w:w="142" w:type="dxa"/>
            </w:tcMar>
            <w:vAlign w:val="center"/>
          </w:tcPr>
          <w:p w14:paraId="2FA5FD0F" w14:textId="77777777" w:rsidR="00852B82" w:rsidRPr="00C37279" w:rsidRDefault="00691DAA" w:rsidP="009D2BA0">
            <w:pPr>
              <w:spacing w:before="0"/>
              <w:rPr>
                <w:rFonts w:cs="Times New Roman Bold"/>
                <w:b/>
                <w:bCs/>
                <w:smallCaps/>
                <w:sz w:val="26"/>
                <w:szCs w:val="26"/>
              </w:rPr>
            </w:pPr>
            <w:r w:rsidRPr="00C37279">
              <w:rPr>
                <w:rFonts w:cs="Times New Roman Bold"/>
                <w:b/>
                <w:bCs/>
                <w:smallCaps/>
                <w:sz w:val="36"/>
                <w:szCs w:val="36"/>
              </w:rPr>
              <w:t>International telecommunication union</w:t>
            </w:r>
          </w:p>
          <w:p w14:paraId="0DEA0151" w14:textId="77777777" w:rsidR="00852B82" w:rsidRPr="00C37279" w:rsidRDefault="00691DAA" w:rsidP="009D2BA0">
            <w:pPr>
              <w:spacing w:before="0"/>
              <w:rPr>
                <w:rFonts w:ascii="Verdana" w:hAnsi="Verdana"/>
                <w:color w:val="FFFFFF"/>
                <w:sz w:val="26"/>
                <w:szCs w:val="26"/>
              </w:rPr>
            </w:pPr>
            <w:r w:rsidRPr="00C37279">
              <w:rPr>
                <w:rFonts w:cs="Times New Roman Bold"/>
                <w:b/>
                <w:bCs/>
                <w:iCs/>
                <w:smallCaps/>
                <w:sz w:val="28"/>
                <w:szCs w:val="28"/>
              </w:rPr>
              <w:t>Telecommunication Standardization Bureau</w:t>
            </w:r>
          </w:p>
        </w:tc>
        <w:tc>
          <w:tcPr>
            <w:tcW w:w="1984" w:type="dxa"/>
            <w:vAlign w:val="center"/>
          </w:tcPr>
          <w:p w14:paraId="6541443C" w14:textId="77777777" w:rsidR="00852B82" w:rsidRPr="00C37279" w:rsidRDefault="00852B82" w:rsidP="009D2BA0">
            <w:pPr>
              <w:spacing w:before="0"/>
              <w:jc w:val="right"/>
              <w:rPr>
                <w:rFonts w:ascii="Verdana" w:hAnsi="Verdana"/>
                <w:color w:val="FFFFFF"/>
                <w:sz w:val="26"/>
                <w:szCs w:val="26"/>
              </w:rPr>
            </w:pPr>
          </w:p>
        </w:tc>
      </w:tr>
      <w:tr w:rsidR="00852B82" w:rsidRPr="00C37279" w14:paraId="43C905BB" w14:textId="77777777" w:rsidTr="009D2BA0">
        <w:trPr>
          <w:trHeight w:val="80"/>
        </w:trPr>
        <w:tc>
          <w:tcPr>
            <w:tcW w:w="4820" w:type="dxa"/>
            <w:gridSpan w:val="2"/>
            <w:vAlign w:val="center"/>
          </w:tcPr>
          <w:p w14:paraId="1DA70469" w14:textId="77777777" w:rsidR="00852B82" w:rsidRPr="00C37279" w:rsidRDefault="00852B82" w:rsidP="009D2BA0">
            <w:pPr>
              <w:pStyle w:val="Tabletext"/>
              <w:spacing w:after="60"/>
              <w:jc w:val="right"/>
              <w:rPr>
                <w:sz w:val="22"/>
                <w:szCs w:val="22"/>
              </w:rPr>
            </w:pPr>
          </w:p>
        </w:tc>
        <w:tc>
          <w:tcPr>
            <w:tcW w:w="4961" w:type="dxa"/>
            <w:gridSpan w:val="2"/>
            <w:vAlign w:val="center"/>
          </w:tcPr>
          <w:p w14:paraId="2B610351" w14:textId="7AB38E9B" w:rsidR="00852B82" w:rsidRPr="00C37279" w:rsidRDefault="006E0B19" w:rsidP="009D2BA0">
            <w:pPr>
              <w:pStyle w:val="Tabletext"/>
              <w:spacing w:before="120" w:after="60"/>
              <w:rPr>
                <w:sz w:val="22"/>
                <w:szCs w:val="22"/>
              </w:rPr>
            </w:pPr>
            <w:r w:rsidRPr="00E84B3C">
              <w:rPr>
                <w:sz w:val="22"/>
                <w:szCs w:val="22"/>
              </w:rPr>
              <w:t xml:space="preserve">Geneva, </w:t>
            </w:r>
            <w:r w:rsidR="00E84B3C" w:rsidRPr="00E84B3C">
              <w:rPr>
                <w:sz w:val="22"/>
                <w:szCs w:val="22"/>
              </w:rPr>
              <w:t>2</w:t>
            </w:r>
            <w:r w:rsidR="00CD55C7">
              <w:rPr>
                <w:sz w:val="22"/>
                <w:szCs w:val="22"/>
              </w:rPr>
              <w:t>7</w:t>
            </w:r>
            <w:r w:rsidR="00DC62BC" w:rsidRPr="00E84B3C">
              <w:rPr>
                <w:rFonts w:eastAsia="SimSun"/>
                <w:sz w:val="22"/>
                <w:szCs w:val="22"/>
              </w:rPr>
              <w:t xml:space="preserve"> October</w:t>
            </w:r>
            <w:r w:rsidR="00AC26D1" w:rsidRPr="00C37279">
              <w:rPr>
                <w:rFonts w:eastAsia="SimSun"/>
                <w:sz w:val="22"/>
                <w:szCs w:val="22"/>
              </w:rPr>
              <w:t xml:space="preserve"> 2025</w:t>
            </w:r>
          </w:p>
        </w:tc>
      </w:tr>
      <w:tr w:rsidR="006E0B19" w:rsidRPr="00C37279" w14:paraId="1C87A4ED" w14:textId="77777777" w:rsidTr="009D2BA0">
        <w:trPr>
          <w:trHeight w:val="746"/>
        </w:trPr>
        <w:tc>
          <w:tcPr>
            <w:tcW w:w="1276" w:type="dxa"/>
          </w:tcPr>
          <w:p w14:paraId="11ED9F78" w14:textId="77777777" w:rsidR="006E0B19" w:rsidRPr="00C37279" w:rsidRDefault="006E0B19" w:rsidP="009D2BA0">
            <w:pPr>
              <w:pStyle w:val="Tabletext"/>
              <w:ind w:left="-110"/>
              <w:rPr>
                <w:sz w:val="22"/>
                <w:szCs w:val="22"/>
              </w:rPr>
            </w:pPr>
            <w:r w:rsidRPr="00C37279">
              <w:rPr>
                <w:b/>
                <w:sz w:val="22"/>
                <w:szCs w:val="22"/>
              </w:rPr>
              <w:t>Ref:</w:t>
            </w:r>
          </w:p>
        </w:tc>
        <w:tc>
          <w:tcPr>
            <w:tcW w:w="3544" w:type="dxa"/>
          </w:tcPr>
          <w:p w14:paraId="105A3A4B" w14:textId="7FE13A0D" w:rsidR="006E0B19" w:rsidRPr="00C37279" w:rsidRDefault="006E0B19" w:rsidP="009D2BA0">
            <w:pPr>
              <w:pStyle w:val="Docnumber"/>
              <w:framePr w:hSpace="0" w:wrap="auto" w:vAnchor="margin" w:hAnchor="text" w:xAlign="left" w:yAlign="inline"/>
              <w:rPr>
                <w:rFonts w:asciiTheme="minorHAnsi" w:hAnsiTheme="minorHAnsi" w:cstheme="minorHAnsi"/>
              </w:rPr>
            </w:pPr>
            <w:r w:rsidRPr="00C37279">
              <w:rPr>
                <w:rFonts w:asciiTheme="minorHAnsi" w:hAnsiTheme="minorHAnsi" w:cstheme="minorHAnsi"/>
              </w:rPr>
              <w:t xml:space="preserve">TSB Circular </w:t>
            </w:r>
            <w:r w:rsidR="00DC62BC">
              <w:rPr>
                <w:rFonts w:asciiTheme="minorHAnsi" w:hAnsiTheme="minorHAnsi" w:cstheme="minorHAnsi"/>
              </w:rPr>
              <w:t>83</w:t>
            </w:r>
          </w:p>
          <w:p w14:paraId="2526F998" w14:textId="707B0138" w:rsidR="006E0B19" w:rsidRPr="00C37279" w:rsidRDefault="006E0B19" w:rsidP="009D2BA0">
            <w:pPr>
              <w:pStyle w:val="Tabletext"/>
              <w:rPr>
                <w:sz w:val="22"/>
                <w:szCs w:val="22"/>
              </w:rPr>
            </w:pPr>
            <w:r w:rsidRPr="00C37279">
              <w:rPr>
                <w:sz w:val="22"/>
                <w:szCs w:val="22"/>
              </w:rPr>
              <w:t>SG17/XY</w:t>
            </w:r>
          </w:p>
        </w:tc>
        <w:tc>
          <w:tcPr>
            <w:tcW w:w="4961" w:type="dxa"/>
            <w:gridSpan w:val="2"/>
            <w:vMerge w:val="restart"/>
          </w:tcPr>
          <w:p w14:paraId="634200A0" w14:textId="77777777" w:rsidR="006E0B19" w:rsidRPr="00C37279" w:rsidRDefault="006E0B19" w:rsidP="009D2BA0">
            <w:pPr>
              <w:pStyle w:val="Tabletext"/>
              <w:rPr>
                <w:sz w:val="22"/>
                <w:szCs w:val="22"/>
              </w:rPr>
            </w:pPr>
            <w:r w:rsidRPr="00C37279">
              <w:rPr>
                <w:b/>
                <w:sz w:val="22"/>
                <w:szCs w:val="22"/>
              </w:rPr>
              <w:t>To:</w:t>
            </w:r>
          </w:p>
          <w:p w14:paraId="4F31E34F" w14:textId="77777777" w:rsidR="001174E6" w:rsidRDefault="001174E6" w:rsidP="001174E6">
            <w:pPr>
              <w:pStyle w:val="Tabletext"/>
              <w:ind w:left="283" w:hanging="398"/>
              <w:rPr>
                <w:sz w:val="22"/>
                <w:szCs w:val="22"/>
              </w:rPr>
            </w:pPr>
            <w:r w:rsidRPr="00C37279">
              <w:rPr>
                <w:sz w:val="22"/>
                <w:szCs w:val="22"/>
              </w:rPr>
              <w:t>-</w:t>
            </w:r>
            <w:r w:rsidRPr="00C37279">
              <w:rPr>
                <w:sz w:val="22"/>
                <w:szCs w:val="22"/>
              </w:rPr>
              <w:tab/>
              <w:t>Administrations of Member States of the Union</w:t>
            </w:r>
          </w:p>
          <w:p w14:paraId="47EA35D9" w14:textId="24A7CBD8" w:rsidR="001174E6" w:rsidRPr="00C37279" w:rsidRDefault="001174E6" w:rsidP="001174E6">
            <w:pPr>
              <w:pStyle w:val="Tabletext"/>
              <w:ind w:left="283" w:hanging="398"/>
              <w:rPr>
                <w:sz w:val="22"/>
                <w:szCs w:val="22"/>
              </w:rPr>
            </w:pPr>
            <w:r w:rsidRPr="00C37279">
              <w:rPr>
                <w:sz w:val="22"/>
                <w:szCs w:val="22"/>
              </w:rPr>
              <w:t>-</w:t>
            </w:r>
            <w:r w:rsidRPr="00C37279">
              <w:rPr>
                <w:sz w:val="22"/>
                <w:szCs w:val="22"/>
              </w:rPr>
              <w:tab/>
            </w:r>
            <w:r w:rsidRPr="001174E6">
              <w:rPr>
                <w:sz w:val="22"/>
                <w:szCs w:val="22"/>
              </w:rPr>
              <w:t>The State of Palestine (Res. 99 (Rev. Dubai, 2018)</w:t>
            </w:r>
          </w:p>
          <w:p w14:paraId="2D3DC057" w14:textId="77777777" w:rsidR="008C682F" w:rsidRPr="00C37279" w:rsidRDefault="008C682F" w:rsidP="009D2BA0">
            <w:pPr>
              <w:pStyle w:val="Tabletext"/>
              <w:rPr>
                <w:sz w:val="22"/>
                <w:szCs w:val="22"/>
              </w:rPr>
            </w:pPr>
            <w:r w:rsidRPr="00C37279">
              <w:rPr>
                <w:b/>
                <w:sz w:val="22"/>
                <w:szCs w:val="22"/>
              </w:rPr>
              <w:t>Copy to:</w:t>
            </w:r>
          </w:p>
          <w:p w14:paraId="3508925D" w14:textId="77777777" w:rsidR="008C682F" w:rsidRPr="00C37279" w:rsidRDefault="008C682F" w:rsidP="009D2BA0">
            <w:pPr>
              <w:tabs>
                <w:tab w:val="clear" w:pos="794"/>
                <w:tab w:val="clear" w:pos="1191"/>
                <w:tab w:val="clear" w:pos="1588"/>
                <w:tab w:val="clear" w:pos="1985"/>
              </w:tabs>
              <w:spacing w:before="40" w:after="40"/>
              <w:ind w:left="283" w:hanging="391"/>
              <w:rPr>
                <w:sz w:val="22"/>
                <w:szCs w:val="22"/>
              </w:rPr>
            </w:pPr>
            <w:r w:rsidRPr="00C37279">
              <w:rPr>
                <w:sz w:val="22"/>
                <w:szCs w:val="22"/>
              </w:rPr>
              <w:t>-</w:t>
            </w:r>
            <w:r w:rsidRPr="00C37279">
              <w:rPr>
                <w:sz w:val="22"/>
                <w:szCs w:val="22"/>
              </w:rPr>
              <w:tab/>
              <w:t>ITU-T Sector Members;</w:t>
            </w:r>
          </w:p>
          <w:p w14:paraId="24E3BB93" w14:textId="77777777" w:rsidR="008C682F" w:rsidRPr="00C37279" w:rsidRDefault="008C682F" w:rsidP="009D2BA0">
            <w:pPr>
              <w:tabs>
                <w:tab w:val="clear" w:pos="794"/>
                <w:tab w:val="clear" w:pos="1191"/>
                <w:tab w:val="clear" w:pos="1588"/>
                <w:tab w:val="clear" w:pos="1985"/>
              </w:tabs>
              <w:spacing w:before="40" w:after="40"/>
              <w:ind w:left="283" w:hanging="391"/>
              <w:rPr>
                <w:sz w:val="22"/>
                <w:szCs w:val="22"/>
              </w:rPr>
            </w:pPr>
            <w:r w:rsidRPr="00C37279">
              <w:rPr>
                <w:sz w:val="22"/>
                <w:szCs w:val="22"/>
              </w:rPr>
              <w:t>-</w:t>
            </w:r>
            <w:r w:rsidRPr="00C37279">
              <w:rPr>
                <w:sz w:val="22"/>
                <w:szCs w:val="22"/>
              </w:rPr>
              <w:tab/>
              <w:t>ITU-T Associates of Study Group 17;</w:t>
            </w:r>
          </w:p>
          <w:p w14:paraId="4F9FBC4F" w14:textId="77777777" w:rsidR="008C682F" w:rsidRPr="00C37279" w:rsidRDefault="008C682F" w:rsidP="009D2BA0">
            <w:pPr>
              <w:pStyle w:val="Tabletext"/>
              <w:ind w:left="283" w:hanging="391"/>
              <w:rPr>
                <w:sz w:val="22"/>
                <w:szCs w:val="22"/>
              </w:rPr>
            </w:pPr>
            <w:r w:rsidRPr="00C37279">
              <w:rPr>
                <w:sz w:val="22"/>
                <w:szCs w:val="22"/>
              </w:rPr>
              <w:t>-</w:t>
            </w:r>
            <w:r w:rsidRPr="00C37279">
              <w:rPr>
                <w:sz w:val="22"/>
                <w:szCs w:val="22"/>
              </w:rPr>
              <w:tab/>
              <w:t>ITU Academia</w:t>
            </w:r>
          </w:p>
          <w:p w14:paraId="3E080E99" w14:textId="7D4C0546" w:rsidR="008C682F" w:rsidRPr="00C37279" w:rsidRDefault="008C682F" w:rsidP="009D2BA0">
            <w:pPr>
              <w:pStyle w:val="Tabletext"/>
              <w:tabs>
                <w:tab w:val="clear" w:pos="284"/>
                <w:tab w:val="clear" w:pos="567"/>
              </w:tabs>
              <w:ind w:left="283" w:hanging="388"/>
              <w:rPr>
                <w:sz w:val="22"/>
                <w:szCs w:val="22"/>
              </w:rPr>
            </w:pPr>
            <w:r w:rsidRPr="00C37279">
              <w:rPr>
                <w:sz w:val="22"/>
                <w:szCs w:val="22"/>
              </w:rPr>
              <w:t>-</w:t>
            </w:r>
            <w:r w:rsidRPr="00C37279">
              <w:rPr>
                <w:sz w:val="22"/>
                <w:szCs w:val="22"/>
              </w:rPr>
              <w:tab/>
              <w:t>The Chair and Vice-Chair of ITU-T Study Group 17;</w:t>
            </w:r>
          </w:p>
          <w:p w14:paraId="5624CCA3" w14:textId="77777777" w:rsidR="008C682F" w:rsidRPr="00C37279" w:rsidRDefault="008C682F" w:rsidP="009D2BA0">
            <w:pPr>
              <w:pStyle w:val="Tabletext"/>
              <w:tabs>
                <w:tab w:val="clear" w:pos="284"/>
                <w:tab w:val="clear" w:pos="567"/>
              </w:tabs>
              <w:ind w:left="283" w:hanging="388"/>
              <w:rPr>
                <w:sz w:val="22"/>
                <w:szCs w:val="22"/>
              </w:rPr>
            </w:pPr>
            <w:r w:rsidRPr="00C37279">
              <w:rPr>
                <w:sz w:val="22"/>
                <w:szCs w:val="22"/>
              </w:rPr>
              <w:t>-</w:t>
            </w:r>
            <w:r w:rsidRPr="00C37279">
              <w:rPr>
                <w:sz w:val="22"/>
                <w:szCs w:val="22"/>
              </w:rPr>
              <w:tab/>
              <w:t>The Director of the Telecommunication Development Bureau;</w:t>
            </w:r>
          </w:p>
          <w:p w14:paraId="761EF41B" w14:textId="5CCB66E0" w:rsidR="008C682F" w:rsidRPr="00C37279" w:rsidRDefault="008C682F" w:rsidP="009D2BA0">
            <w:pPr>
              <w:pStyle w:val="Tabletext"/>
              <w:tabs>
                <w:tab w:val="clear" w:pos="284"/>
                <w:tab w:val="left" w:pos="310"/>
              </w:tabs>
              <w:ind w:left="283" w:hanging="398"/>
              <w:rPr>
                <w:sz w:val="22"/>
                <w:szCs w:val="22"/>
              </w:rPr>
            </w:pPr>
            <w:r w:rsidRPr="00C37279">
              <w:rPr>
                <w:sz w:val="22"/>
                <w:szCs w:val="22"/>
              </w:rPr>
              <w:t>-</w:t>
            </w:r>
            <w:r w:rsidRPr="00C37279">
              <w:rPr>
                <w:sz w:val="22"/>
                <w:szCs w:val="22"/>
              </w:rPr>
              <w:tab/>
              <w:t>The Director of the Radiocommunication Bureau</w:t>
            </w:r>
          </w:p>
        </w:tc>
      </w:tr>
      <w:tr w:rsidR="006E0B19" w:rsidRPr="00C37279" w14:paraId="7B1C03BC" w14:textId="77777777" w:rsidTr="009D2BA0">
        <w:trPr>
          <w:trHeight w:val="221"/>
        </w:trPr>
        <w:tc>
          <w:tcPr>
            <w:tcW w:w="1276" w:type="dxa"/>
          </w:tcPr>
          <w:p w14:paraId="1ACEC7FB" w14:textId="77777777" w:rsidR="006E0B19" w:rsidRPr="009D2BA0" w:rsidRDefault="006E0B19" w:rsidP="009D2BA0">
            <w:pPr>
              <w:pStyle w:val="Tabletext"/>
              <w:ind w:left="-110"/>
              <w:rPr>
                <w:bCs/>
                <w:sz w:val="22"/>
                <w:szCs w:val="22"/>
              </w:rPr>
            </w:pPr>
            <w:r w:rsidRPr="009D2BA0">
              <w:rPr>
                <w:bCs/>
                <w:sz w:val="22"/>
                <w:szCs w:val="22"/>
              </w:rPr>
              <w:t>Tel:</w:t>
            </w:r>
          </w:p>
        </w:tc>
        <w:tc>
          <w:tcPr>
            <w:tcW w:w="3544" w:type="dxa"/>
          </w:tcPr>
          <w:p w14:paraId="09DA9E49" w14:textId="7EF2FF76" w:rsidR="006E0B19" w:rsidRPr="00C37279" w:rsidRDefault="006E0B19" w:rsidP="009D2BA0">
            <w:pPr>
              <w:pStyle w:val="Tabletext"/>
              <w:rPr>
                <w:b/>
                <w:sz w:val="22"/>
                <w:szCs w:val="22"/>
              </w:rPr>
            </w:pPr>
            <w:r w:rsidRPr="00C37279">
              <w:rPr>
                <w:sz w:val="22"/>
                <w:szCs w:val="22"/>
              </w:rPr>
              <w:t>+41 22 730 6206</w:t>
            </w:r>
          </w:p>
        </w:tc>
        <w:tc>
          <w:tcPr>
            <w:tcW w:w="4961" w:type="dxa"/>
            <w:gridSpan w:val="2"/>
            <w:vMerge/>
          </w:tcPr>
          <w:p w14:paraId="22F70F8B" w14:textId="77777777" w:rsidR="006E0B19" w:rsidRPr="00C37279" w:rsidRDefault="006E0B19" w:rsidP="009D2BA0">
            <w:pPr>
              <w:pStyle w:val="Tabletext"/>
              <w:ind w:left="142" w:hanging="142"/>
              <w:rPr>
                <w:sz w:val="22"/>
                <w:szCs w:val="22"/>
              </w:rPr>
            </w:pPr>
          </w:p>
        </w:tc>
      </w:tr>
      <w:tr w:rsidR="006E0B19" w:rsidRPr="00C37279" w14:paraId="0D921AEC" w14:textId="77777777" w:rsidTr="00CD55C7">
        <w:trPr>
          <w:trHeight w:val="2412"/>
        </w:trPr>
        <w:tc>
          <w:tcPr>
            <w:tcW w:w="1276" w:type="dxa"/>
          </w:tcPr>
          <w:p w14:paraId="73BABD7D" w14:textId="77777777" w:rsidR="006E0B19" w:rsidRPr="009D2BA0" w:rsidRDefault="006E0B19" w:rsidP="009D2BA0">
            <w:pPr>
              <w:pStyle w:val="Tabletext"/>
              <w:ind w:left="-110"/>
              <w:rPr>
                <w:bCs/>
                <w:sz w:val="22"/>
                <w:szCs w:val="22"/>
              </w:rPr>
            </w:pPr>
            <w:r w:rsidRPr="009D2BA0">
              <w:rPr>
                <w:bCs/>
                <w:sz w:val="22"/>
                <w:szCs w:val="22"/>
              </w:rPr>
              <w:t>Fax:</w:t>
            </w:r>
          </w:p>
          <w:p w14:paraId="7CC844FF" w14:textId="175AF053" w:rsidR="008C682F" w:rsidRPr="009D2BA0" w:rsidRDefault="008C682F" w:rsidP="009D2BA0">
            <w:pPr>
              <w:pStyle w:val="Tabletext"/>
              <w:ind w:left="-110"/>
              <w:rPr>
                <w:bCs/>
                <w:sz w:val="22"/>
                <w:szCs w:val="22"/>
              </w:rPr>
            </w:pPr>
            <w:r w:rsidRPr="009D2BA0">
              <w:rPr>
                <w:bCs/>
                <w:sz w:val="22"/>
                <w:szCs w:val="22"/>
              </w:rPr>
              <w:t>E-mail:</w:t>
            </w:r>
          </w:p>
        </w:tc>
        <w:tc>
          <w:tcPr>
            <w:tcW w:w="3544" w:type="dxa"/>
          </w:tcPr>
          <w:p w14:paraId="1608A65B" w14:textId="77777777" w:rsidR="006E0B19" w:rsidRPr="00C37279" w:rsidRDefault="006E0B19" w:rsidP="009D2BA0">
            <w:pPr>
              <w:pStyle w:val="Tabletext"/>
              <w:rPr>
                <w:sz w:val="22"/>
                <w:szCs w:val="22"/>
              </w:rPr>
            </w:pPr>
            <w:r w:rsidRPr="00C37279">
              <w:rPr>
                <w:sz w:val="22"/>
                <w:szCs w:val="22"/>
              </w:rPr>
              <w:t>+41 22 730 5853</w:t>
            </w:r>
          </w:p>
          <w:p w14:paraId="2A0BD4A9" w14:textId="18170BC9" w:rsidR="008C682F" w:rsidRPr="00C37279" w:rsidRDefault="008C682F" w:rsidP="009D2BA0">
            <w:pPr>
              <w:pStyle w:val="Tabletext"/>
              <w:rPr>
                <w:sz w:val="22"/>
                <w:szCs w:val="22"/>
              </w:rPr>
            </w:pPr>
            <w:hyperlink r:id="rId9" w:history="1">
              <w:r w:rsidRPr="00C37279">
                <w:rPr>
                  <w:rStyle w:val="Hyperlink"/>
                  <w:sz w:val="22"/>
                  <w:szCs w:val="22"/>
                </w:rPr>
                <w:t>tsbsg17@itu.int</w:t>
              </w:r>
            </w:hyperlink>
          </w:p>
        </w:tc>
        <w:tc>
          <w:tcPr>
            <w:tcW w:w="4961" w:type="dxa"/>
            <w:gridSpan w:val="2"/>
            <w:vMerge/>
          </w:tcPr>
          <w:p w14:paraId="22EA3223" w14:textId="77777777" w:rsidR="006E0B19" w:rsidRPr="00C37279" w:rsidRDefault="006E0B19" w:rsidP="009D2BA0">
            <w:pPr>
              <w:pStyle w:val="Tabletext"/>
              <w:ind w:left="142" w:hanging="142"/>
              <w:rPr>
                <w:sz w:val="22"/>
                <w:szCs w:val="22"/>
              </w:rPr>
            </w:pPr>
          </w:p>
        </w:tc>
      </w:tr>
      <w:tr w:rsidR="00852B82" w:rsidRPr="00C37279" w14:paraId="466A2A59" w14:textId="77777777" w:rsidTr="00CD55C7">
        <w:trPr>
          <w:trHeight w:val="990"/>
        </w:trPr>
        <w:tc>
          <w:tcPr>
            <w:tcW w:w="1276" w:type="dxa"/>
          </w:tcPr>
          <w:p w14:paraId="24BB4B6A" w14:textId="11900333" w:rsidR="00852B82" w:rsidRPr="00C37279" w:rsidRDefault="00691DAA" w:rsidP="009D2BA0">
            <w:pPr>
              <w:pStyle w:val="Tabletext"/>
              <w:ind w:left="-110"/>
              <w:rPr>
                <w:sz w:val="22"/>
                <w:szCs w:val="22"/>
              </w:rPr>
            </w:pPr>
            <w:r w:rsidRPr="00C37279">
              <w:rPr>
                <w:b/>
                <w:sz w:val="22"/>
                <w:szCs w:val="22"/>
              </w:rPr>
              <w:t>Subject:</w:t>
            </w:r>
          </w:p>
        </w:tc>
        <w:tc>
          <w:tcPr>
            <w:tcW w:w="8505" w:type="dxa"/>
            <w:gridSpan w:val="3"/>
          </w:tcPr>
          <w:p w14:paraId="4048DD9A" w14:textId="6A61173E" w:rsidR="00852B82" w:rsidRPr="00C37279" w:rsidRDefault="0072062B" w:rsidP="009D2BA0">
            <w:pPr>
              <w:pStyle w:val="Tabletext"/>
              <w:rPr>
                <w:sz w:val="22"/>
                <w:szCs w:val="22"/>
              </w:rPr>
            </w:pPr>
            <w:bookmarkStart w:id="0" w:name="_Hlk115258431"/>
            <w:r w:rsidRPr="00C37279">
              <w:rPr>
                <w:b/>
                <w:sz w:val="22"/>
                <w:szCs w:val="22"/>
              </w:rPr>
              <w:t>Member State c</w:t>
            </w:r>
            <w:r w:rsidR="00C007D7" w:rsidRPr="00C37279">
              <w:rPr>
                <w:b/>
                <w:sz w:val="22"/>
                <w:szCs w:val="22"/>
              </w:rPr>
              <w:t xml:space="preserve">onsultation on </w:t>
            </w:r>
            <w:r w:rsidR="0016049B" w:rsidRPr="00C37279">
              <w:rPr>
                <w:b/>
                <w:sz w:val="22"/>
                <w:szCs w:val="22"/>
              </w:rPr>
              <w:t xml:space="preserve">Determined </w:t>
            </w:r>
            <w:r w:rsidR="00D62CEF" w:rsidRPr="00C37279">
              <w:rPr>
                <w:b/>
                <w:sz w:val="22"/>
                <w:szCs w:val="22"/>
              </w:rPr>
              <w:t>draft</w:t>
            </w:r>
            <w:r w:rsidR="00212725" w:rsidRPr="00C37279">
              <w:rPr>
                <w:b/>
                <w:sz w:val="22"/>
                <w:szCs w:val="22"/>
              </w:rPr>
              <w:t xml:space="preserve"> </w:t>
            </w:r>
            <w:r w:rsidR="002A7C2B">
              <w:rPr>
                <w:b/>
                <w:sz w:val="22"/>
                <w:szCs w:val="22"/>
              </w:rPr>
              <w:t>revised</w:t>
            </w:r>
            <w:r w:rsidR="002A7C2B" w:rsidRPr="00C37279">
              <w:rPr>
                <w:b/>
                <w:sz w:val="22"/>
                <w:szCs w:val="22"/>
              </w:rPr>
              <w:t xml:space="preserve"> </w:t>
            </w:r>
            <w:r w:rsidR="004C55F3" w:rsidRPr="00C37279">
              <w:rPr>
                <w:b/>
                <w:sz w:val="22"/>
                <w:szCs w:val="22"/>
              </w:rPr>
              <w:t>R</w:t>
            </w:r>
            <w:r w:rsidR="00212725" w:rsidRPr="00C37279">
              <w:rPr>
                <w:b/>
                <w:sz w:val="22"/>
                <w:szCs w:val="22"/>
              </w:rPr>
              <w:t>ecommendation</w:t>
            </w:r>
            <w:bookmarkStart w:id="1" w:name="_Hlk113369711"/>
            <w:r w:rsidR="00DC62BC">
              <w:rPr>
                <w:b/>
                <w:sz w:val="22"/>
                <w:szCs w:val="22"/>
              </w:rPr>
              <w:t xml:space="preserve"> </w:t>
            </w:r>
            <w:r w:rsidR="00DC62BC" w:rsidRPr="00DC62BC">
              <w:rPr>
                <w:b/>
                <w:sz w:val="22"/>
                <w:szCs w:val="22"/>
              </w:rPr>
              <w:t>ITU-T X.1058 | ISO/IEC 2915</w:t>
            </w:r>
            <w:r w:rsidR="001C1E6A" w:rsidRPr="00C37279">
              <w:rPr>
                <w:b/>
                <w:sz w:val="22"/>
                <w:szCs w:val="22"/>
              </w:rPr>
              <w:t>,</w:t>
            </w:r>
            <w:r w:rsidR="002F4BF1" w:rsidRPr="00C37279">
              <w:rPr>
                <w:b/>
                <w:sz w:val="22"/>
                <w:szCs w:val="22"/>
              </w:rPr>
              <w:t xml:space="preserve"> </w:t>
            </w:r>
            <w:r w:rsidR="002354E7" w:rsidRPr="00C37279">
              <w:rPr>
                <w:b/>
                <w:sz w:val="22"/>
                <w:szCs w:val="22"/>
              </w:rPr>
              <w:t>proposed</w:t>
            </w:r>
            <w:r w:rsidR="009C0CA1" w:rsidRPr="00C37279">
              <w:rPr>
                <w:b/>
                <w:sz w:val="22"/>
                <w:szCs w:val="22"/>
              </w:rPr>
              <w:t xml:space="preserve"> </w:t>
            </w:r>
            <w:bookmarkEnd w:id="1"/>
            <w:r w:rsidR="0006765F" w:rsidRPr="00C37279">
              <w:rPr>
                <w:b/>
                <w:sz w:val="22"/>
                <w:szCs w:val="22"/>
              </w:rPr>
              <w:t>for approval</w:t>
            </w:r>
            <w:r w:rsidR="00691DAA" w:rsidRPr="00C37279">
              <w:rPr>
                <w:b/>
                <w:sz w:val="22"/>
                <w:szCs w:val="22"/>
              </w:rPr>
              <w:t xml:space="preserve"> </w:t>
            </w:r>
            <w:r w:rsidR="00C007D7" w:rsidRPr="00C37279">
              <w:rPr>
                <w:b/>
                <w:sz w:val="22"/>
                <w:szCs w:val="22"/>
              </w:rPr>
              <w:t xml:space="preserve">at </w:t>
            </w:r>
            <w:r w:rsidR="0016049B" w:rsidRPr="00C37279">
              <w:rPr>
                <w:b/>
                <w:sz w:val="22"/>
                <w:szCs w:val="22"/>
              </w:rPr>
              <w:t>the</w:t>
            </w:r>
            <w:r w:rsidR="00C007D7" w:rsidRPr="00C37279">
              <w:rPr>
                <w:b/>
                <w:sz w:val="22"/>
                <w:szCs w:val="22"/>
              </w:rPr>
              <w:t xml:space="preserve"> meeting of ITU</w:t>
            </w:r>
            <w:r w:rsidR="00C37279" w:rsidRPr="00C37279">
              <w:rPr>
                <w:b/>
                <w:sz w:val="22"/>
                <w:szCs w:val="22"/>
              </w:rPr>
              <w:noBreakHyphen/>
            </w:r>
            <w:r w:rsidR="00C007D7" w:rsidRPr="00C37279">
              <w:rPr>
                <w:b/>
                <w:sz w:val="22"/>
                <w:szCs w:val="22"/>
              </w:rPr>
              <w:t xml:space="preserve">T Study Group </w:t>
            </w:r>
            <w:r w:rsidR="003F775D" w:rsidRPr="00F237F2">
              <w:rPr>
                <w:b/>
                <w:sz w:val="22"/>
                <w:szCs w:val="22"/>
              </w:rPr>
              <w:t>17</w:t>
            </w:r>
            <w:r w:rsidR="00AC33F3" w:rsidRPr="00F237F2">
              <w:rPr>
                <w:b/>
                <w:sz w:val="22"/>
                <w:szCs w:val="22"/>
              </w:rPr>
              <w:t xml:space="preserve">, </w:t>
            </w:r>
            <w:bookmarkEnd w:id="0"/>
            <w:r w:rsidR="00812C55" w:rsidRPr="00F237F2">
              <w:rPr>
                <w:b/>
                <w:sz w:val="22"/>
                <w:szCs w:val="22"/>
              </w:rPr>
              <w:t>Virtual</w:t>
            </w:r>
            <w:r w:rsidR="00AC26D1" w:rsidRPr="00F237F2">
              <w:rPr>
                <w:b/>
                <w:sz w:val="22"/>
                <w:szCs w:val="22"/>
              </w:rPr>
              <w:t xml:space="preserve">, </w:t>
            </w:r>
            <w:r w:rsidR="00CD55C7">
              <w:rPr>
                <w:b/>
                <w:sz w:val="22"/>
                <w:szCs w:val="22"/>
              </w:rPr>
              <w:br/>
            </w:r>
            <w:r w:rsidR="00891E09" w:rsidRPr="00F237F2">
              <w:rPr>
                <w:b/>
                <w:sz w:val="22"/>
                <w:szCs w:val="22"/>
              </w:rPr>
              <w:t>6 February</w:t>
            </w:r>
            <w:r w:rsidR="002A7C2B" w:rsidRPr="00F237F2">
              <w:rPr>
                <w:b/>
                <w:sz w:val="22"/>
                <w:szCs w:val="22"/>
              </w:rPr>
              <w:t xml:space="preserve"> 2026</w:t>
            </w:r>
          </w:p>
        </w:tc>
      </w:tr>
    </w:tbl>
    <w:p w14:paraId="71E76428" w14:textId="6A855D3B" w:rsidR="00852B82" w:rsidRPr="00C37279" w:rsidRDefault="00691DAA" w:rsidP="00733A9C">
      <w:pPr>
        <w:spacing w:before="80"/>
        <w:rPr>
          <w:sz w:val="22"/>
          <w:szCs w:val="22"/>
        </w:rPr>
      </w:pPr>
      <w:r w:rsidRPr="00C37279">
        <w:rPr>
          <w:sz w:val="22"/>
          <w:szCs w:val="22"/>
        </w:rPr>
        <w:t>Dear Sir/Madam,</w:t>
      </w:r>
    </w:p>
    <w:p w14:paraId="54FA4BD7" w14:textId="29941F99" w:rsidR="00E32F10" w:rsidRPr="00C37279" w:rsidRDefault="00691DAA" w:rsidP="00733A9C">
      <w:pPr>
        <w:spacing w:before="80"/>
        <w:rPr>
          <w:sz w:val="22"/>
          <w:szCs w:val="22"/>
        </w:rPr>
      </w:pPr>
      <w:r w:rsidRPr="00C37279">
        <w:rPr>
          <w:bCs/>
          <w:sz w:val="22"/>
          <w:szCs w:val="22"/>
        </w:rPr>
        <w:t>1</w:t>
      </w:r>
      <w:r w:rsidRPr="00C37279">
        <w:rPr>
          <w:sz w:val="22"/>
          <w:szCs w:val="22"/>
        </w:rPr>
        <w:tab/>
      </w:r>
      <w:r w:rsidR="00C007D7" w:rsidRPr="00C37279">
        <w:rPr>
          <w:sz w:val="22"/>
          <w:szCs w:val="22"/>
        </w:rPr>
        <w:t xml:space="preserve">ITU-T Study </w:t>
      </w:r>
      <w:r w:rsidR="003F775D" w:rsidRPr="00C37279">
        <w:rPr>
          <w:sz w:val="22"/>
          <w:szCs w:val="22"/>
        </w:rPr>
        <w:t xml:space="preserve">Group 17 (Security) </w:t>
      </w:r>
      <w:r w:rsidRPr="00C37279">
        <w:rPr>
          <w:sz w:val="22"/>
          <w:szCs w:val="22"/>
        </w:rPr>
        <w:t>intends to apply the</w:t>
      </w:r>
      <w:r w:rsidR="0016049B" w:rsidRPr="00C37279">
        <w:rPr>
          <w:sz w:val="22"/>
          <w:szCs w:val="22"/>
        </w:rPr>
        <w:t xml:space="preserve"> Traditional Approval P</w:t>
      </w:r>
      <w:r w:rsidRPr="00C37279">
        <w:rPr>
          <w:sz w:val="22"/>
          <w:szCs w:val="22"/>
        </w:rPr>
        <w:t>rocedure</w:t>
      </w:r>
      <w:r w:rsidR="005F0279">
        <w:rPr>
          <w:sz w:val="22"/>
          <w:szCs w:val="22"/>
        </w:rPr>
        <w:t>,</w:t>
      </w:r>
      <w:r w:rsidRPr="00C37279">
        <w:rPr>
          <w:sz w:val="22"/>
          <w:szCs w:val="22"/>
        </w:rPr>
        <w:t xml:space="preserve"> </w:t>
      </w:r>
      <w:r w:rsidR="0006765F" w:rsidRPr="00C37279">
        <w:rPr>
          <w:sz w:val="22"/>
          <w:szCs w:val="22"/>
        </w:rPr>
        <w:t xml:space="preserve">as </w:t>
      </w:r>
      <w:r w:rsidRPr="00C37279">
        <w:rPr>
          <w:sz w:val="22"/>
          <w:szCs w:val="22"/>
        </w:rPr>
        <w:t xml:space="preserve">described in </w:t>
      </w:r>
      <w:r w:rsidR="00B45C37" w:rsidRPr="00C37279">
        <w:rPr>
          <w:sz w:val="22"/>
          <w:szCs w:val="22"/>
        </w:rPr>
        <w:t>Section</w:t>
      </w:r>
      <w:r w:rsidR="00C51F4B" w:rsidRPr="00C37279">
        <w:rPr>
          <w:sz w:val="22"/>
          <w:szCs w:val="22"/>
        </w:rPr>
        <w:t xml:space="preserve"> 9 of WTSA </w:t>
      </w:r>
      <w:r w:rsidRPr="00C37279">
        <w:rPr>
          <w:sz w:val="22"/>
          <w:szCs w:val="22"/>
        </w:rPr>
        <w:t>Resolution</w:t>
      </w:r>
      <w:r w:rsidR="00DC62BC">
        <w:rPr>
          <w:sz w:val="22"/>
          <w:szCs w:val="22"/>
        </w:rPr>
        <w:t xml:space="preserve"> </w:t>
      </w:r>
      <w:r w:rsidRPr="00C37279">
        <w:rPr>
          <w:sz w:val="22"/>
          <w:szCs w:val="22"/>
        </w:rPr>
        <w:t>1 (</w:t>
      </w:r>
      <w:r w:rsidR="00A4376F" w:rsidRPr="00C37279">
        <w:rPr>
          <w:sz w:val="22"/>
          <w:szCs w:val="22"/>
        </w:rPr>
        <w:t xml:space="preserve">Rev. </w:t>
      </w:r>
      <w:r w:rsidR="002F03A2" w:rsidRPr="00C37279">
        <w:rPr>
          <w:sz w:val="22"/>
          <w:szCs w:val="22"/>
        </w:rPr>
        <w:t>Geneva</w:t>
      </w:r>
      <w:r w:rsidRPr="00C37279">
        <w:rPr>
          <w:sz w:val="22"/>
          <w:szCs w:val="22"/>
        </w:rPr>
        <w:t>, 20</w:t>
      </w:r>
      <w:r w:rsidR="002F03A2" w:rsidRPr="00C37279">
        <w:rPr>
          <w:sz w:val="22"/>
          <w:szCs w:val="22"/>
        </w:rPr>
        <w:t>22</w:t>
      </w:r>
      <w:r w:rsidRPr="00C37279">
        <w:rPr>
          <w:sz w:val="22"/>
          <w:szCs w:val="22"/>
        </w:rPr>
        <w:t>) for the approval of the above-mentioned draft Recommendation</w:t>
      </w:r>
      <w:r w:rsidR="00C007D7" w:rsidRPr="00C37279">
        <w:rPr>
          <w:sz w:val="22"/>
          <w:szCs w:val="22"/>
        </w:rPr>
        <w:t xml:space="preserve"> at </w:t>
      </w:r>
      <w:r w:rsidR="002A7C2B">
        <w:rPr>
          <w:sz w:val="22"/>
          <w:szCs w:val="22"/>
        </w:rPr>
        <w:t>a virtual</w:t>
      </w:r>
      <w:r w:rsidR="00573B51" w:rsidRPr="00C37279">
        <w:rPr>
          <w:sz w:val="22"/>
          <w:szCs w:val="22"/>
        </w:rPr>
        <w:t xml:space="preserve"> </w:t>
      </w:r>
      <w:r w:rsidR="00F237F2">
        <w:rPr>
          <w:sz w:val="22"/>
          <w:szCs w:val="22"/>
        </w:rPr>
        <w:t>SG17 plenary</w:t>
      </w:r>
      <w:r w:rsidR="002A7C2B">
        <w:rPr>
          <w:sz w:val="22"/>
          <w:szCs w:val="22"/>
        </w:rPr>
        <w:t xml:space="preserve"> session on </w:t>
      </w:r>
      <w:r w:rsidR="00314BD2">
        <w:rPr>
          <w:sz w:val="22"/>
          <w:szCs w:val="22"/>
        </w:rPr>
        <w:t>6 February</w:t>
      </w:r>
      <w:r w:rsidR="002A7C2B" w:rsidRPr="002A7C2B">
        <w:rPr>
          <w:sz w:val="22"/>
          <w:szCs w:val="22"/>
        </w:rPr>
        <w:t xml:space="preserve"> 2026</w:t>
      </w:r>
      <w:r w:rsidR="005F0279">
        <w:rPr>
          <w:sz w:val="22"/>
          <w:szCs w:val="22"/>
        </w:rPr>
        <w:t>. The session is being convened</w:t>
      </w:r>
      <w:r w:rsidR="002A7C2B" w:rsidRPr="002A7C2B">
        <w:rPr>
          <w:sz w:val="22"/>
          <w:szCs w:val="22"/>
        </w:rPr>
        <w:t xml:space="preserve"> </w:t>
      </w:r>
      <w:r w:rsidR="005F0279">
        <w:rPr>
          <w:sz w:val="22"/>
          <w:szCs w:val="22"/>
        </w:rPr>
        <w:t>solely for this purpose</w:t>
      </w:r>
      <w:r w:rsidR="00733B5C" w:rsidRPr="00C37279">
        <w:rPr>
          <w:sz w:val="22"/>
          <w:szCs w:val="22"/>
        </w:rPr>
        <w:t xml:space="preserve">. The agenda and all relevant information concerning the ITU-T Study Group </w:t>
      </w:r>
      <w:r w:rsidR="00074D44" w:rsidRPr="00C37279">
        <w:rPr>
          <w:sz w:val="22"/>
          <w:szCs w:val="22"/>
        </w:rPr>
        <w:t>17</w:t>
      </w:r>
      <w:r w:rsidR="00733B5C" w:rsidRPr="00C37279">
        <w:rPr>
          <w:sz w:val="22"/>
          <w:szCs w:val="22"/>
        </w:rPr>
        <w:t xml:space="preserve"> meeting will be available in Collective letter </w:t>
      </w:r>
      <w:hyperlink r:id="rId10" w:history="1">
        <w:r w:rsidR="002A7C2B">
          <w:rPr>
            <w:rStyle w:val="Hyperlink"/>
            <w:rFonts w:asciiTheme="minorHAnsi" w:hAnsiTheme="minorHAnsi" w:cstheme="minorHAnsi"/>
            <w:sz w:val="22"/>
            <w:szCs w:val="22"/>
          </w:rPr>
          <w:t>5/17</w:t>
        </w:r>
      </w:hyperlink>
      <w:r w:rsidR="00733B5C" w:rsidRPr="00C37279">
        <w:rPr>
          <w:sz w:val="22"/>
          <w:szCs w:val="22"/>
        </w:rPr>
        <w:t>.</w:t>
      </w:r>
    </w:p>
    <w:p w14:paraId="213C53F2" w14:textId="00F8C684" w:rsidR="007C7DA8" w:rsidRPr="00C37279" w:rsidRDefault="007C7DA8" w:rsidP="00733A9C">
      <w:pPr>
        <w:spacing w:before="80"/>
        <w:rPr>
          <w:sz w:val="22"/>
          <w:szCs w:val="22"/>
        </w:rPr>
      </w:pPr>
      <w:r w:rsidRPr="00C37279">
        <w:rPr>
          <w:bCs/>
          <w:sz w:val="22"/>
          <w:szCs w:val="22"/>
        </w:rPr>
        <w:t>2</w:t>
      </w:r>
      <w:r w:rsidRPr="00C37279">
        <w:rPr>
          <w:sz w:val="22"/>
          <w:szCs w:val="22"/>
        </w:rPr>
        <w:tab/>
        <w:t>The title, summar</w:t>
      </w:r>
      <w:r w:rsidR="00DC62BC">
        <w:rPr>
          <w:sz w:val="22"/>
          <w:szCs w:val="22"/>
        </w:rPr>
        <w:t>y,</w:t>
      </w:r>
      <w:r w:rsidRPr="00C37279">
        <w:rPr>
          <w:sz w:val="22"/>
          <w:szCs w:val="22"/>
        </w:rPr>
        <w:t xml:space="preserve"> and location of the draft ITU-T Recommendation proposed for approval </w:t>
      </w:r>
      <w:r w:rsidR="00C51F4B" w:rsidRPr="00C37279">
        <w:rPr>
          <w:sz w:val="22"/>
          <w:szCs w:val="22"/>
        </w:rPr>
        <w:t>can</w:t>
      </w:r>
      <w:r w:rsidRPr="00C37279">
        <w:rPr>
          <w:sz w:val="22"/>
          <w:szCs w:val="22"/>
        </w:rPr>
        <w:t xml:space="preserve"> be found in </w:t>
      </w:r>
      <w:r w:rsidRPr="00C37279">
        <w:rPr>
          <w:b/>
          <w:bCs/>
          <w:sz w:val="22"/>
          <w:szCs w:val="22"/>
        </w:rPr>
        <w:t>Annex 1</w:t>
      </w:r>
      <w:r w:rsidRPr="00C37279">
        <w:rPr>
          <w:sz w:val="22"/>
          <w:szCs w:val="22"/>
        </w:rPr>
        <w:t>.</w:t>
      </w:r>
    </w:p>
    <w:p w14:paraId="15DE3623" w14:textId="7D3063F5" w:rsidR="00447CD5" w:rsidRPr="00C37279" w:rsidRDefault="008450C6" w:rsidP="00733A9C">
      <w:pPr>
        <w:spacing w:before="80"/>
        <w:rPr>
          <w:sz w:val="22"/>
          <w:szCs w:val="22"/>
        </w:rPr>
      </w:pPr>
      <w:r w:rsidRPr="00C37279">
        <w:rPr>
          <w:sz w:val="22"/>
          <w:szCs w:val="22"/>
        </w:rPr>
        <w:t xml:space="preserve">TSB NOTE 1 </w:t>
      </w:r>
      <w:r w:rsidR="002354E7" w:rsidRPr="00C37279">
        <w:rPr>
          <w:sz w:val="22"/>
          <w:szCs w:val="22"/>
        </w:rPr>
        <w:t>–</w:t>
      </w:r>
      <w:r w:rsidR="00CD723A" w:rsidRPr="00C37279">
        <w:rPr>
          <w:sz w:val="22"/>
          <w:szCs w:val="22"/>
        </w:rPr>
        <w:t xml:space="preserve"> N</w:t>
      </w:r>
      <w:r w:rsidR="00FB6E7E" w:rsidRPr="00C37279">
        <w:rPr>
          <w:sz w:val="22"/>
          <w:szCs w:val="22"/>
        </w:rPr>
        <w:t>o ITU-T A.5 justification ha</w:t>
      </w:r>
      <w:r w:rsidR="00CD723A" w:rsidRPr="00C37279">
        <w:rPr>
          <w:sz w:val="22"/>
          <w:szCs w:val="22"/>
        </w:rPr>
        <w:t>s</w:t>
      </w:r>
      <w:r w:rsidR="00FB6E7E" w:rsidRPr="00C37279">
        <w:rPr>
          <w:sz w:val="22"/>
          <w:szCs w:val="22"/>
        </w:rPr>
        <w:t xml:space="preserve"> been submitted for </w:t>
      </w:r>
      <w:r w:rsidR="00DC62BC">
        <w:rPr>
          <w:sz w:val="22"/>
          <w:szCs w:val="22"/>
        </w:rPr>
        <w:t>this</w:t>
      </w:r>
      <w:r w:rsidR="00FB6E7E" w:rsidRPr="00C37279">
        <w:rPr>
          <w:sz w:val="22"/>
          <w:szCs w:val="22"/>
        </w:rPr>
        <w:t xml:space="preserve"> determined text.</w:t>
      </w:r>
    </w:p>
    <w:p w14:paraId="1600B36F" w14:textId="52912A0E" w:rsidR="008450C6" w:rsidRPr="00C37279" w:rsidRDefault="008450C6" w:rsidP="00733A9C">
      <w:pPr>
        <w:spacing w:before="80"/>
        <w:rPr>
          <w:sz w:val="22"/>
          <w:szCs w:val="22"/>
        </w:rPr>
      </w:pPr>
      <w:r w:rsidRPr="00C37279">
        <w:rPr>
          <w:sz w:val="22"/>
          <w:szCs w:val="22"/>
        </w:rPr>
        <w:t xml:space="preserve">TSB NOTE 2 – As of the date of this Circular, no IPR statement had been received by TSB </w:t>
      </w:r>
      <w:r w:rsidR="00DE4405" w:rsidRPr="00C37279">
        <w:rPr>
          <w:sz w:val="22"/>
          <w:szCs w:val="22"/>
        </w:rPr>
        <w:t>for</w:t>
      </w:r>
      <w:r w:rsidRPr="00C37279">
        <w:rPr>
          <w:sz w:val="22"/>
          <w:szCs w:val="22"/>
        </w:rPr>
        <w:t xml:space="preserve"> any of these </w:t>
      </w:r>
      <w:r w:rsidR="00DE4405" w:rsidRPr="00C37279">
        <w:rPr>
          <w:sz w:val="22"/>
          <w:szCs w:val="22"/>
        </w:rPr>
        <w:t xml:space="preserve">determined </w:t>
      </w:r>
      <w:r w:rsidRPr="00C37279">
        <w:rPr>
          <w:sz w:val="22"/>
          <w:szCs w:val="22"/>
        </w:rPr>
        <w:t xml:space="preserve">texts. For up-to-date information, members are invited to consult the IPR database at </w:t>
      </w:r>
      <w:hyperlink r:id="rId11" w:history="1">
        <w:r w:rsidRPr="00C37279">
          <w:rPr>
            <w:rStyle w:val="Hyperlink"/>
            <w:sz w:val="22"/>
            <w:szCs w:val="22"/>
          </w:rPr>
          <w:t>www.itu.int/ipr/</w:t>
        </w:r>
      </w:hyperlink>
      <w:r w:rsidRPr="00C37279">
        <w:rPr>
          <w:sz w:val="22"/>
          <w:szCs w:val="22"/>
        </w:rPr>
        <w:t>.</w:t>
      </w:r>
    </w:p>
    <w:p w14:paraId="226D206A" w14:textId="451A572B" w:rsidR="00A43CA0" w:rsidRPr="00C37279" w:rsidRDefault="007C7DA8" w:rsidP="00733A9C">
      <w:pPr>
        <w:spacing w:before="80"/>
        <w:rPr>
          <w:sz w:val="22"/>
          <w:szCs w:val="22"/>
        </w:rPr>
      </w:pPr>
      <w:r w:rsidRPr="00C37279">
        <w:rPr>
          <w:bCs/>
          <w:sz w:val="22"/>
          <w:szCs w:val="22"/>
        </w:rPr>
        <w:t>3</w:t>
      </w:r>
      <w:r w:rsidR="00691DAA" w:rsidRPr="00C37279">
        <w:rPr>
          <w:sz w:val="22"/>
          <w:szCs w:val="22"/>
        </w:rPr>
        <w:tab/>
      </w:r>
      <w:r w:rsidR="00B233EC" w:rsidRPr="00C37279">
        <w:rPr>
          <w:rFonts w:asciiTheme="minorHAnsi" w:hAnsiTheme="minorHAnsi" w:cstheme="minorHAnsi"/>
          <w:sz w:val="22"/>
          <w:szCs w:val="22"/>
        </w:rPr>
        <w:t>This Circular initiate</w:t>
      </w:r>
      <w:r w:rsidR="005F0279">
        <w:rPr>
          <w:rFonts w:asciiTheme="minorHAnsi" w:hAnsiTheme="minorHAnsi" w:cstheme="minorHAnsi"/>
          <w:sz w:val="22"/>
          <w:szCs w:val="22"/>
        </w:rPr>
        <w:t>s</w:t>
      </w:r>
      <w:r w:rsidR="00B233EC" w:rsidRPr="00C37279">
        <w:rPr>
          <w:rFonts w:asciiTheme="minorHAnsi" w:hAnsiTheme="minorHAnsi" w:cstheme="minorHAnsi"/>
          <w:sz w:val="22"/>
          <w:szCs w:val="22"/>
        </w:rPr>
        <w:t xml:space="preserve"> the formal consultation with ITU Member States on whether th</w:t>
      </w:r>
      <w:r w:rsidR="00DC62BC">
        <w:rPr>
          <w:rFonts w:asciiTheme="minorHAnsi" w:hAnsiTheme="minorHAnsi" w:cstheme="minorHAnsi"/>
          <w:sz w:val="22"/>
          <w:szCs w:val="22"/>
        </w:rPr>
        <w:t>is</w:t>
      </w:r>
      <w:r w:rsidR="00B233EC" w:rsidRPr="00C37279">
        <w:rPr>
          <w:rFonts w:asciiTheme="minorHAnsi" w:hAnsiTheme="minorHAnsi" w:cstheme="minorHAnsi"/>
          <w:sz w:val="22"/>
          <w:szCs w:val="22"/>
        </w:rPr>
        <w:t xml:space="preserve"> text may be considered for approval at the upcoming meeting, in accordance with clause 9.4 of Resolution 1. Member</w:t>
      </w:r>
      <w:r w:rsidR="00622D53" w:rsidRPr="00C37279">
        <w:rPr>
          <w:rFonts w:asciiTheme="minorHAnsi" w:hAnsiTheme="minorHAnsi" w:cstheme="minorHAnsi"/>
          <w:sz w:val="22"/>
          <w:szCs w:val="22"/>
        </w:rPr>
        <w:t xml:space="preserve"> </w:t>
      </w:r>
      <w:r w:rsidR="00B233EC" w:rsidRPr="00C37279">
        <w:rPr>
          <w:rFonts w:asciiTheme="minorHAnsi" w:hAnsiTheme="minorHAnsi" w:cstheme="minorHAnsi"/>
          <w:sz w:val="22"/>
          <w:szCs w:val="22"/>
        </w:rPr>
        <w:t xml:space="preserve">States are kindly requested to complete and return the form in </w:t>
      </w:r>
      <w:r w:rsidR="00B233EC" w:rsidRPr="00C37279">
        <w:rPr>
          <w:rFonts w:asciiTheme="minorHAnsi" w:hAnsiTheme="minorHAnsi" w:cstheme="minorHAnsi"/>
          <w:b/>
          <w:bCs/>
          <w:sz w:val="22"/>
          <w:szCs w:val="22"/>
        </w:rPr>
        <w:t>Annex 2</w:t>
      </w:r>
      <w:r w:rsidR="00B233EC" w:rsidRPr="00C37279">
        <w:rPr>
          <w:rFonts w:asciiTheme="minorHAnsi" w:hAnsiTheme="minorHAnsi" w:cstheme="minorHAnsi"/>
          <w:sz w:val="22"/>
          <w:szCs w:val="22"/>
        </w:rPr>
        <w:t xml:space="preserve"> by 2359</w:t>
      </w:r>
      <w:r w:rsidR="00622D53" w:rsidRPr="00C37279">
        <w:rPr>
          <w:rFonts w:asciiTheme="minorHAnsi" w:hAnsiTheme="minorHAnsi" w:cstheme="minorHAnsi"/>
          <w:sz w:val="22"/>
          <w:szCs w:val="22"/>
        </w:rPr>
        <w:t xml:space="preserve"> </w:t>
      </w:r>
      <w:r w:rsidR="00B233EC" w:rsidRPr="00C37279">
        <w:rPr>
          <w:rFonts w:asciiTheme="minorHAnsi" w:hAnsiTheme="minorHAnsi" w:cstheme="minorHAnsi"/>
          <w:sz w:val="22"/>
          <w:szCs w:val="22"/>
        </w:rPr>
        <w:t xml:space="preserve">hours UTC </w:t>
      </w:r>
      <w:r w:rsidR="00B233EC" w:rsidRPr="00314BD2">
        <w:rPr>
          <w:rFonts w:asciiTheme="minorHAnsi" w:hAnsiTheme="minorHAnsi" w:cstheme="minorHAnsi"/>
          <w:sz w:val="22"/>
          <w:szCs w:val="22"/>
        </w:rPr>
        <w:t xml:space="preserve">on </w:t>
      </w:r>
      <w:r w:rsidR="00F237F2" w:rsidRPr="00314BD2">
        <w:rPr>
          <w:b/>
          <w:sz w:val="22"/>
          <w:szCs w:val="22"/>
        </w:rPr>
        <w:t>2</w:t>
      </w:r>
      <w:r w:rsidR="00C22D91">
        <w:rPr>
          <w:b/>
          <w:sz w:val="22"/>
          <w:szCs w:val="22"/>
        </w:rPr>
        <w:t>7</w:t>
      </w:r>
      <w:r w:rsidR="00F237F2" w:rsidRPr="00314BD2">
        <w:rPr>
          <w:b/>
          <w:sz w:val="22"/>
          <w:szCs w:val="22"/>
        </w:rPr>
        <w:t xml:space="preserve"> January</w:t>
      </w:r>
      <w:r w:rsidR="00812C55" w:rsidRPr="00314BD2">
        <w:rPr>
          <w:b/>
          <w:sz w:val="22"/>
          <w:szCs w:val="22"/>
        </w:rPr>
        <w:t xml:space="preserve"> 202</w:t>
      </w:r>
      <w:r w:rsidR="00782517" w:rsidRPr="00314BD2">
        <w:rPr>
          <w:b/>
          <w:sz w:val="22"/>
          <w:szCs w:val="22"/>
        </w:rPr>
        <w:t>6</w:t>
      </w:r>
      <w:r w:rsidR="00733A9C" w:rsidRPr="00314BD2">
        <w:rPr>
          <w:rFonts w:asciiTheme="minorHAnsi" w:hAnsiTheme="minorHAnsi" w:cstheme="minorHAnsi"/>
          <w:b/>
          <w:bCs/>
          <w:sz w:val="22"/>
          <w:szCs w:val="22"/>
        </w:rPr>
        <w:t>.</w:t>
      </w:r>
    </w:p>
    <w:p w14:paraId="46006D00" w14:textId="6BFCDF39" w:rsidR="00B233EC" w:rsidRPr="00C37279" w:rsidRDefault="006A2FAB" w:rsidP="00733A9C">
      <w:pPr>
        <w:keepNext/>
        <w:keepLines/>
        <w:spacing w:before="80"/>
        <w:rPr>
          <w:sz w:val="22"/>
          <w:szCs w:val="22"/>
        </w:rPr>
      </w:pPr>
      <w:r w:rsidRPr="00C37279">
        <w:rPr>
          <w:bCs/>
          <w:sz w:val="22"/>
          <w:szCs w:val="22"/>
        </w:rPr>
        <w:t>4</w:t>
      </w:r>
      <w:r w:rsidR="007C7DA8" w:rsidRPr="00C37279">
        <w:rPr>
          <w:sz w:val="22"/>
          <w:szCs w:val="22"/>
        </w:rPr>
        <w:tab/>
        <w:t xml:space="preserve">If 70% or more of the replies </w:t>
      </w:r>
      <w:r w:rsidR="00F751B3" w:rsidRPr="00C37279">
        <w:rPr>
          <w:sz w:val="22"/>
          <w:szCs w:val="22"/>
        </w:rPr>
        <w:t xml:space="preserve">from Member States </w:t>
      </w:r>
      <w:r w:rsidR="007C7DA8" w:rsidRPr="00C37279">
        <w:rPr>
          <w:sz w:val="22"/>
          <w:szCs w:val="22"/>
        </w:rPr>
        <w:t>support consideration for approva</w:t>
      </w:r>
      <w:r w:rsidR="00C51F4B" w:rsidRPr="00C37279">
        <w:rPr>
          <w:sz w:val="22"/>
          <w:szCs w:val="22"/>
        </w:rPr>
        <w:t>l</w:t>
      </w:r>
      <w:r w:rsidR="007C7DA8" w:rsidRPr="00C37279">
        <w:rPr>
          <w:sz w:val="22"/>
          <w:szCs w:val="22"/>
        </w:rPr>
        <w:t>, one Plenary session will be devote</w:t>
      </w:r>
      <w:r w:rsidR="003E07CD" w:rsidRPr="00C37279">
        <w:rPr>
          <w:sz w:val="22"/>
          <w:szCs w:val="22"/>
        </w:rPr>
        <w:t xml:space="preserve">d </w:t>
      </w:r>
      <w:r w:rsidR="007C7DA8" w:rsidRPr="00C37279">
        <w:rPr>
          <w:sz w:val="22"/>
          <w:szCs w:val="22"/>
        </w:rPr>
        <w:t xml:space="preserve">to </w:t>
      </w:r>
      <w:r w:rsidR="00DC62BC" w:rsidRPr="00C37279">
        <w:rPr>
          <w:sz w:val="22"/>
          <w:szCs w:val="22"/>
        </w:rPr>
        <w:t>applying</w:t>
      </w:r>
      <w:r w:rsidR="007C7DA8" w:rsidRPr="00C37279">
        <w:rPr>
          <w:sz w:val="22"/>
          <w:szCs w:val="22"/>
        </w:rPr>
        <w:t xml:space="preserve"> the approval procedure.</w:t>
      </w:r>
      <w:r w:rsidR="00E54801" w:rsidRPr="00C37279">
        <w:rPr>
          <w:sz w:val="22"/>
          <w:szCs w:val="22"/>
        </w:rPr>
        <w:t xml:space="preserve"> Member States that do not assign authority to proceed should inform the Director of TSB of the reasons for this opinion and indicate </w:t>
      </w:r>
      <w:r w:rsidR="005F0279">
        <w:rPr>
          <w:sz w:val="22"/>
          <w:szCs w:val="22"/>
        </w:rPr>
        <w:t xml:space="preserve">any </w:t>
      </w:r>
      <w:r w:rsidR="00E54801" w:rsidRPr="00C37279">
        <w:rPr>
          <w:sz w:val="22"/>
          <w:szCs w:val="22"/>
        </w:rPr>
        <w:t>possible changes that would enable the work to progress.</w:t>
      </w:r>
    </w:p>
    <w:p w14:paraId="57856907" w14:textId="6F774006" w:rsidR="00852B82" w:rsidRPr="00C37279" w:rsidRDefault="00691DAA" w:rsidP="00733A9C">
      <w:pPr>
        <w:keepNext/>
        <w:keepLines/>
        <w:spacing w:before="80"/>
        <w:rPr>
          <w:sz w:val="22"/>
          <w:szCs w:val="22"/>
        </w:rPr>
      </w:pPr>
      <w:r w:rsidRPr="00C37279">
        <w:rPr>
          <w:sz w:val="22"/>
          <w:szCs w:val="22"/>
        </w:rPr>
        <w:t>Yours faithfully,</w:t>
      </w:r>
    </w:p>
    <w:p w14:paraId="341B114D" w14:textId="0529C964" w:rsidR="00852B82" w:rsidRPr="00C37279" w:rsidRDefault="009516AF" w:rsidP="009D2BA0">
      <w:pPr>
        <w:spacing w:before="720"/>
        <w:rPr>
          <w:sz w:val="22"/>
          <w:szCs w:val="22"/>
        </w:rPr>
      </w:pPr>
      <w:r w:rsidRPr="00C37279">
        <w:rPr>
          <w:noProof/>
          <w:sz w:val="22"/>
          <w:szCs w:val="22"/>
        </w:rPr>
        <w:drawing>
          <wp:anchor distT="0" distB="0" distL="114300" distR="114300" simplePos="0" relativeHeight="251659264" behindDoc="1" locked="0" layoutInCell="1" allowOverlap="1" wp14:anchorId="012CAAAC" wp14:editId="2F1FBEFF">
            <wp:simplePos x="0" y="0"/>
            <wp:positionH relativeFrom="margin">
              <wp:align>left</wp:align>
            </wp:positionH>
            <wp:positionV relativeFrom="paragraph">
              <wp:posOffset>99695</wp:posOffset>
            </wp:positionV>
            <wp:extent cx="653827"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653827" cy="276225"/>
                    </a:xfrm>
                    <a:prstGeom prst="rect">
                      <a:avLst/>
                    </a:prstGeom>
                  </pic:spPr>
                </pic:pic>
              </a:graphicData>
            </a:graphic>
            <wp14:sizeRelH relativeFrom="margin">
              <wp14:pctWidth>0</wp14:pctWidth>
            </wp14:sizeRelH>
            <wp14:sizeRelV relativeFrom="margin">
              <wp14:pctHeight>0</wp14:pctHeight>
            </wp14:sizeRelV>
          </wp:anchor>
        </w:drawing>
      </w:r>
      <w:r w:rsidR="004815DF" w:rsidRPr="00C37279">
        <w:rPr>
          <w:sz w:val="22"/>
          <w:szCs w:val="22"/>
        </w:rPr>
        <w:t>Seizo Onoe</w:t>
      </w:r>
      <w:r w:rsidR="00691DAA" w:rsidRPr="00C37279">
        <w:rPr>
          <w:sz w:val="22"/>
          <w:szCs w:val="22"/>
        </w:rPr>
        <w:br/>
        <w:t>Director of the Telecommunication</w:t>
      </w:r>
      <w:r w:rsidR="00691DAA" w:rsidRPr="00C37279">
        <w:rPr>
          <w:sz w:val="22"/>
          <w:szCs w:val="22"/>
        </w:rPr>
        <w:br/>
        <w:t>Standardization Bureau</w:t>
      </w:r>
    </w:p>
    <w:p w14:paraId="0D73960F" w14:textId="570B4E24" w:rsidR="00852B82" w:rsidRPr="00C37279" w:rsidRDefault="00691DAA" w:rsidP="00C03954">
      <w:pPr>
        <w:spacing w:before="240"/>
        <w:rPr>
          <w:sz w:val="22"/>
          <w:szCs w:val="22"/>
        </w:rPr>
      </w:pPr>
      <w:r w:rsidRPr="00C37279">
        <w:rPr>
          <w:b/>
          <w:sz w:val="22"/>
          <w:szCs w:val="22"/>
        </w:rPr>
        <w:t>Annex</w:t>
      </w:r>
      <w:r w:rsidR="00F96117" w:rsidRPr="00C37279">
        <w:rPr>
          <w:b/>
          <w:sz w:val="22"/>
          <w:szCs w:val="22"/>
        </w:rPr>
        <w:t>es</w:t>
      </w:r>
      <w:r w:rsidRPr="00C37279">
        <w:rPr>
          <w:b/>
          <w:sz w:val="22"/>
          <w:szCs w:val="22"/>
        </w:rPr>
        <w:t>:</w:t>
      </w:r>
      <w:r w:rsidR="009D2BA0">
        <w:rPr>
          <w:b/>
          <w:sz w:val="22"/>
          <w:szCs w:val="22"/>
        </w:rPr>
        <w:tab/>
      </w:r>
      <w:r w:rsidR="00F96117" w:rsidRPr="00C37279">
        <w:rPr>
          <w:bCs/>
          <w:sz w:val="22"/>
          <w:szCs w:val="22"/>
        </w:rPr>
        <w:t>2</w:t>
      </w:r>
    </w:p>
    <w:p w14:paraId="2AA12B72" w14:textId="4D6724C6" w:rsidR="002F4BF1" w:rsidRPr="00C37279" w:rsidRDefault="002F4BF1" w:rsidP="000E585E">
      <w:pPr>
        <w:pStyle w:val="Annextitle"/>
        <w:spacing w:before="120" w:after="120"/>
        <w:rPr>
          <w:rFonts w:cstheme="minorHAnsi"/>
          <w:szCs w:val="22"/>
        </w:rPr>
      </w:pPr>
      <w:r w:rsidRPr="00C37279">
        <w:lastRenderedPageBreak/>
        <w:t>Annex 1</w:t>
      </w:r>
      <w:r w:rsidR="00C37279" w:rsidRPr="00C37279">
        <w:br/>
      </w:r>
      <w:r w:rsidRPr="00C37279">
        <w:t xml:space="preserve">Summary and location of Determined draft </w:t>
      </w:r>
      <w:r w:rsidR="002A7C2B">
        <w:t>revised</w:t>
      </w:r>
      <w:r w:rsidR="002A7C2B" w:rsidRPr="00C37279">
        <w:t xml:space="preserve"> </w:t>
      </w:r>
      <w:r w:rsidRPr="00C37279">
        <w:t xml:space="preserve">Recommendations </w:t>
      </w:r>
      <w:r w:rsidRPr="00C37279">
        <w:br/>
      </w:r>
      <w:r w:rsidR="00DC62BC" w:rsidRPr="00DC62BC">
        <w:rPr>
          <w:rFonts w:cstheme="minorHAnsi"/>
          <w:szCs w:val="22"/>
        </w:rPr>
        <w:t>ITU-T X.1058 | ISO/IEC 2915</w:t>
      </w:r>
    </w:p>
    <w:p w14:paraId="6D840A45" w14:textId="0BB81C17" w:rsidR="002F4BF1" w:rsidRPr="00782517" w:rsidRDefault="002F4BF1" w:rsidP="002F4BF1">
      <w:pPr>
        <w:pStyle w:val="Heading1"/>
        <w:numPr>
          <w:ilvl w:val="0"/>
          <w:numId w:val="18"/>
        </w:numPr>
        <w:ind w:left="0" w:firstLine="0"/>
        <w:rPr>
          <w:sz w:val="24"/>
          <w:szCs w:val="24"/>
          <w:lang w:val="fr-FR"/>
        </w:rPr>
      </w:pPr>
      <w:r w:rsidRPr="00782517">
        <w:rPr>
          <w:sz w:val="24"/>
          <w:szCs w:val="24"/>
          <w:lang w:val="fr-FR"/>
        </w:rPr>
        <w:t xml:space="preserve">Draft </w:t>
      </w:r>
      <w:r w:rsidR="003C19B3">
        <w:rPr>
          <w:sz w:val="24"/>
          <w:szCs w:val="24"/>
          <w:lang w:val="fr-FR"/>
        </w:rPr>
        <w:t>revised</w:t>
      </w:r>
      <w:r w:rsidRPr="00782517">
        <w:rPr>
          <w:sz w:val="24"/>
          <w:szCs w:val="24"/>
          <w:lang w:val="fr-FR"/>
        </w:rPr>
        <w:t xml:space="preserve"> Recommendation </w:t>
      </w:r>
      <w:r w:rsidR="00782517">
        <w:rPr>
          <w:sz w:val="24"/>
          <w:szCs w:val="24"/>
          <w:lang w:val="fr-FR"/>
        </w:rPr>
        <w:t xml:space="preserve">ITU-T </w:t>
      </w:r>
      <w:r w:rsidR="00DC62BC" w:rsidRPr="00782517">
        <w:rPr>
          <w:sz w:val="24"/>
          <w:szCs w:val="24"/>
          <w:lang w:val="fr-FR"/>
        </w:rPr>
        <w:t xml:space="preserve">X.1058 | ISO/IEC 2915 </w:t>
      </w:r>
      <w:r w:rsidRPr="00782517">
        <w:rPr>
          <w:sz w:val="24"/>
          <w:szCs w:val="24"/>
          <w:lang w:val="fr-FR"/>
        </w:rPr>
        <w:t>[</w:t>
      </w:r>
      <w:hyperlink r:id="rId13" w:history="1">
        <w:r w:rsidR="00C37279" w:rsidRPr="00782517">
          <w:rPr>
            <w:rStyle w:val="Hyperlink"/>
            <w:bCs/>
            <w:sz w:val="24"/>
            <w:szCs w:val="24"/>
            <w:lang w:val="fr-FR"/>
          </w:rPr>
          <w:t>SG17-R</w:t>
        </w:r>
        <w:r w:rsidR="00585C26" w:rsidRPr="00782517">
          <w:rPr>
            <w:rStyle w:val="Hyperlink"/>
            <w:bCs/>
            <w:sz w:val="24"/>
            <w:szCs w:val="24"/>
            <w:lang w:val="fr-FR"/>
          </w:rPr>
          <w:t>18</w:t>
        </w:r>
      </w:hyperlink>
      <w:r w:rsidRPr="00782517">
        <w:rPr>
          <w:sz w:val="24"/>
          <w:szCs w:val="24"/>
          <w:lang w:val="fr-FR"/>
        </w:rPr>
        <w:t>]</w:t>
      </w:r>
    </w:p>
    <w:p w14:paraId="7D8AEE2D" w14:textId="6D538580" w:rsidR="002F4BF1" w:rsidRPr="000D19A2" w:rsidRDefault="00DC62BC" w:rsidP="000D19A2">
      <w:pPr>
        <w:pStyle w:val="Rectitle"/>
      </w:pPr>
      <w:bookmarkStart w:id="2" w:name="_Hlk211443504"/>
      <w:r w:rsidRPr="00DC62BC">
        <w:t>Information security, cybersecurity and privacy protection – Controls, requirements, and guidance for personally identifiable information protection</w:t>
      </w:r>
    </w:p>
    <w:bookmarkEnd w:id="2"/>
    <w:p w14:paraId="55E030F4" w14:textId="77777777" w:rsidR="002F4BF1" w:rsidRPr="00C37279" w:rsidRDefault="002F4BF1" w:rsidP="00C37279">
      <w:pPr>
        <w:pStyle w:val="Heading2"/>
      </w:pPr>
      <w:r w:rsidRPr="00C37279">
        <w:t>Summary</w:t>
      </w:r>
    </w:p>
    <w:p w14:paraId="4DF8434F" w14:textId="77777777" w:rsidR="006C4936" w:rsidRDefault="006C4936" w:rsidP="006C4936">
      <w:r>
        <w:t>The number of organizations processing personally identifiable information (PII) is increasing, as is the amount of PII that these organizations deal with. At the same time, societal expectations for the protection of PII and the security of data relating to individuals are also increasing. A number of countries are augmenting their laws to address the increased number of high profile data breaches.</w:t>
      </w:r>
    </w:p>
    <w:p w14:paraId="483AFA33" w14:textId="77777777" w:rsidR="006C4936" w:rsidRDefault="006C4936" w:rsidP="006C4936">
      <w:r>
        <w:t>As the number of PII breaches increases, organizations collecting or processing PII will increasingly need guidance on how they should protect PII in order to reduce the risk of privacy breaches occurring, and to reduce the impact of breaches on the organization and on the individuals concerned. This document provides such guidance.</w:t>
      </w:r>
    </w:p>
    <w:p w14:paraId="199D61D4" w14:textId="77777777" w:rsidR="006C4936" w:rsidRDefault="006C4936" w:rsidP="006C4936">
      <w:r>
        <w:t>This document offers guidance for PII controllers on a broad range of information security and PII protection controls that are commonly applied in many different organizations that deal with protection of PII. Other International Standards that provide guidance or requirements on other aspects of the overall process of protecting PII are as follows:</w:t>
      </w:r>
    </w:p>
    <w:p w14:paraId="45BEB9B0" w14:textId="77777777" w:rsidR="006C4936" w:rsidRDefault="006C4936" w:rsidP="006C4936">
      <w:r>
        <w:t>—</w:t>
      </w:r>
      <w:r>
        <w:tab/>
        <w:t>ISO/IEC 27001 specifies an information security management system, which is a suitable foundation for protecting any information, including PII.</w:t>
      </w:r>
    </w:p>
    <w:p w14:paraId="40E66D34" w14:textId="77777777" w:rsidR="006C4936" w:rsidRDefault="006C4936" w:rsidP="006C4936">
      <w:r>
        <w:t>—</w:t>
      </w:r>
      <w:r>
        <w:tab/>
        <w:t>ISO/IEC 27002 provides guidelines for organizational, people-related, physical and technological information security controls that can be used for the protection of all kinds of information, including PII.</w:t>
      </w:r>
    </w:p>
    <w:p w14:paraId="62F83CAE" w14:textId="77777777" w:rsidR="006C4936" w:rsidRDefault="006C4936" w:rsidP="006C4936">
      <w:r>
        <w:t>—</w:t>
      </w:r>
      <w:r>
        <w:tab/>
        <w:t>ISO/IEC 27005 provides guidance to assist organizations to address information security risks and perform information security risk management activities, specifically information security risk assessment and treatment.</w:t>
      </w:r>
    </w:p>
    <w:p w14:paraId="683CC26A" w14:textId="77777777" w:rsidR="006C4936" w:rsidRDefault="006C4936" w:rsidP="006C4936">
      <w:r>
        <w:t>—</w:t>
      </w:r>
      <w:r>
        <w:tab/>
        <w:t>ISO/IEC 27018 offers guidance to organizations acting as PII processors when offering processing capabilities as cloud services.</w:t>
      </w:r>
    </w:p>
    <w:p w14:paraId="7DFB493A" w14:textId="77777777" w:rsidR="006C4936" w:rsidRDefault="006C4936" w:rsidP="006C4936">
      <w:r>
        <w:t>—</w:t>
      </w:r>
      <w:r>
        <w:tab/>
        <w:t>ISO/IEC 27701 specifies requirements and provides guidance for establishing, implementing, maintaining and continually improving a Privacy Information Management System (PIMS).</w:t>
      </w:r>
    </w:p>
    <w:p w14:paraId="2C35256A" w14:textId="77777777" w:rsidR="006C4936" w:rsidRDefault="006C4936" w:rsidP="006C4936">
      <w:r>
        <w:t>—</w:t>
      </w:r>
      <w:r>
        <w:tab/>
        <w:t>ISO/IEC 29100 provides a privacy framework which: specifies a common privacy terminology, defines the actors and their roles in processing personally identifiable information (PII), describes privacy safeguarding considerations, and provides references to known privacy principles for information technology.</w:t>
      </w:r>
    </w:p>
    <w:p w14:paraId="0DE92A5A" w14:textId="77777777" w:rsidR="006C4936" w:rsidRDefault="006C4936" w:rsidP="006C4936">
      <w:r>
        <w:t>—</w:t>
      </w:r>
      <w:r>
        <w:tab/>
        <w:t>ISO/IEC 29134 provides guidelines for assessing the potential impacts on privacy of a process, information system, programme, software module, device or other initiative which processes personally identifiable information (PII), while ISO/IEC 27001 together with ISO/IEC 27005 provides guidance to perform information security risk management activities.</w:t>
      </w:r>
    </w:p>
    <w:p w14:paraId="450A862D" w14:textId="77777777" w:rsidR="006C4936" w:rsidRDefault="006C4936" w:rsidP="006C4936">
      <w:r>
        <w:lastRenderedPageBreak/>
        <w:t>Controls are chosen based on the risks identified as a result of a risk analysis to develop a comprehensive, consistent system of controls. Controls are adapted to the context of the particular processing of PII.</w:t>
      </w:r>
    </w:p>
    <w:p w14:paraId="3FCA5120" w14:textId="77777777" w:rsidR="006C4936" w:rsidRDefault="006C4936" w:rsidP="006C4936">
      <w:r>
        <w:t>This document contains two parts:</w:t>
      </w:r>
    </w:p>
    <w:p w14:paraId="4F971E3A" w14:textId="77777777" w:rsidR="006C4936" w:rsidRDefault="006C4936" w:rsidP="006C4936">
      <w:r>
        <w:t>—</w:t>
      </w:r>
      <w:r>
        <w:tab/>
        <w:t>the main body consisting of Clauses 1 to 8;</w:t>
      </w:r>
    </w:p>
    <w:p w14:paraId="0E064DCE" w14:textId="0FDE9845" w:rsidR="00E0064D" w:rsidRPr="00C37279" w:rsidRDefault="006C4936" w:rsidP="006C4936">
      <w:r>
        <w:t>—</w:t>
      </w:r>
      <w:r>
        <w:tab/>
        <w:t>Annexes A and B .</w:t>
      </w:r>
    </w:p>
    <w:p w14:paraId="1A1C146B" w14:textId="77777777" w:rsidR="00C37279" w:rsidRPr="00C37279" w:rsidRDefault="00C37279" w:rsidP="00C37279">
      <w:r w:rsidRPr="00C37279">
        <w:br w:type="page"/>
      </w:r>
    </w:p>
    <w:p w14:paraId="40EB5BFB" w14:textId="11DA0198" w:rsidR="002F4BF1" w:rsidRPr="00812C55" w:rsidRDefault="002F4BF1" w:rsidP="00812C55">
      <w:pPr>
        <w:pStyle w:val="Annextitle"/>
        <w:spacing w:after="120"/>
        <w:rPr>
          <w:rFonts w:cstheme="minorHAnsi"/>
          <w:szCs w:val="22"/>
        </w:rPr>
      </w:pPr>
      <w:r w:rsidRPr="00C37279">
        <w:lastRenderedPageBreak/>
        <w:t>Annex 2</w:t>
      </w:r>
      <w:r w:rsidR="00C37279">
        <w:br/>
      </w:r>
      <w:r w:rsidRPr="00C37279">
        <w:t xml:space="preserve">Subject: Member State response to TSB Circular </w:t>
      </w:r>
      <w:r w:rsidR="00812C55">
        <w:t>83</w:t>
      </w:r>
      <w:r w:rsidRPr="00C37279">
        <w:t>:</w:t>
      </w:r>
      <w:r w:rsidRPr="00C37279">
        <w:br/>
      </w:r>
      <w:r w:rsidRPr="00C37279">
        <w:rPr>
          <w:rFonts w:cstheme="minorHAnsi"/>
          <w:szCs w:val="22"/>
        </w:rPr>
        <w:t xml:space="preserve">Consultation on Determined draft </w:t>
      </w:r>
      <w:r w:rsidR="002A7C2B">
        <w:rPr>
          <w:rFonts w:cstheme="minorHAnsi"/>
          <w:szCs w:val="22"/>
        </w:rPr>
        <w:t>revised</w:t>
      </w:r>
      <w:r w:rsidR="002A7C2B" w:rsidRPr="00C37279">
        <w:rPr>
          <w:rFonts w:cstheme="minorHAnsi"/>
          <w:szCs w:val="22"/>
        </w:rPr>
        <w:t xml:space="preserve"> </w:t>
      </w:r>
      <w:r w:rsidRPr="00C37279">
        <w:rPr>
          <w:rFonts w:cstheme="minorHAnsi"/>
          <w:szCs w:val="22"/>
        </w:rPr>
        <w:t>Recommendation</w:t>
      </w:r>
      <w:r w:rsidR="00812C55">
        <w:rPr>
          <w:rFonts w:cstheme="minorHAnsi"/>
          <w:szCs w:val="22"/>
        </w:rPr>
        <w:t xml:space="preserve"> </w:t>
      </w:r>
      <w:r w:rsidR="00812C55">
        <w:rPr>
          <w:rFonts w:cstheme="minorHAnsi"/>
          <w:szCs w:val="22"/>
        </w:rPr>
        <w:br/>
      </w:r>
      <w:r w:rsidR="00812C55" w:rsidRPr="00812C55">
        <w:rPr>
          <w:rFonts w:cstheme="minorHAnsi"/>
          <w:szCs w:val="22"/>
        </w:rPr>
        <w:t>ITU-T X.1058 | ISO/IEC 2915</w:t>
      </w:r>
    </w:p>
    <w:p w14:paraId="38B3721E" w14:textId="77777777" w:rsidR="00812C55" w:rsidRPr="00812C55" w:rsidRDefault="00812C55" w:rsidP="00812C55"/>
    <w:p w14:paraId="25452CE5" w14:textId="77777777" w:rsidR="000D19A2" w:rsidRPr="00812C55" w:rsidRDefault="000D19A2" w:rsidP="000D19A2"/>
    <w:tbl>
      <w:tblPr>
        <w:tblW w:w="9957" w:type="dxa"/>
        <w:tblInd w:w="-176" w:type="dxa"/>
        <w:tblLayout w:type="fixed"/>
        <w:tblLook w:val="04A0" w:firstRow="1" w:lastRow="0" w:firstColumn="1" w:lastColumn="0" w:noHBand="0" w:noVBand="1"/>
      </w:tblPr>
      <w:tblGrid>
        <w:gridCol w:w="1005"/>
        <w:gridCol w:w="4558"/>
        <w:gridCol w:w="992"/>
        <w:gridCol w:w="3402"/>
      </w:tblGrid>
      <w:tr w:rsidR="002F4BF1" w:rsidRPr="00C37279" w14:paraId="4C2C5060" w14:textId="77777777" w:rsidTr="00FB6446">
        <w:tc>
          <w:tcPr>
            <w:tcW w:w="1005" w:type="dxa"/>
          </w:tcPr>
          <w:p w14:paraId="20348653" w14:textId="77777777" w:rsidR="002F4BF1" w:rsidRPr="00C37279" w:rsidRDefault="002F4BF1" w:rsidP="00FB6446">
            <w:pPr>
              <w:jc w:val="right"/>
              <w:rPr>
                <w:szCs w:val="24"/>
              </w:rPr>
            </w:pPr>
            <w:r w:rsidRPr="00C37279">
              <w:rPr>
                <w:b/>
                <w:bCs/>
                <w:szCs w:val="24"/>
              </w:rPr>
              <w:t>To</w:t>
            </w:r>
            <w:r w:rsidRPr="00C37279">
              <w:rPr>
                <w:szCs w:val="24"/>
              </w:rPr>
              <w:t>:</w:t>
            </w:r>
          </w:p>
        </w:tc>
        <w:tc>
          <w:tcPr>
            <w:tcW w:w="4558" w:type="dxa"/>
            <w:tcBorders>
              <w:right w:val="single" w:sz="8" w:space="0" w:color="auto"/>
            </w:tcBorders>
          </w:tcPr>
          <w:p w14:paraId="1A11E556" w14:textId="77777777" w:rsidR="002F4BF1" w:rsidRPr="00C37279" w:rsidRDefault="002F4BF1" w:rsidP="00C37279">
            <w:pPr>
              <w:spacing w:before="0"/>
              <w:rPr>
                <w:rFonts w:asciiTheme="minorHAnsi" w:hAnsiTheme="minorHAnsi" w:cstheme="minorHAnsi"/>
                <w:sz w:val="22"/>
                <w:szCs w:val="22"/>
              </w:rPr>
            </w:pPr>
            <w:r w:rsidRPr="00C37279">
              <w:rPr>
                <w:rFonts w:asciiTheme="minorHAnsi" w:hAnsiTheme="minorHAnsi" w:cstheme="minorHAnsi"/>
                <w:sz w:val="22"/>
                <w:szCs w:val="22"/>
              </w:rPr>
              <w:t xml:space="preserve">Director of the </w:t>
            </w:r>
            <w:r w:rsidRPr="00C37279">
              <w:rPr>
                <w:rFonts w:asciiTheme="minorHAnsi" w:hAnsiTheme="minorHAnsi" w:cstheme="minorHAnsi"/>
                <w:sz w:val="22"/>
                <w:szCs w:val="22"/>
              </w:rPr>
              <w:br/>
              <w:t>Telecommunication Standardization Bureau,</w:t>
            </w:r>
          </w:p>
          <w:p w14:paraId="3B97DD26" w14:textId="77777777" w:rsidR="002F4BF1" w:rsidRPr="0030641A" w:rsidRDefault="002F4BF1" w:rsidP="00C37279">
            <w:pPr>
              <w:spacing w:before="0"/>
              <w:rPr>
                <w:rFonts w:asciiTheme="minorHAnsi" w:hAnsiTheme="minorHAnsi" w:cstheme="minorHAnsi"/>
                <w:sz w:val="22"/>
                <w:szCs w:val="22"/>
                <w:lang w:val="fr-FR"/>
              </w:rPr>
            </w:pPr>
            <w:r w:rsidRPr="0030641A">
              <w:rPr>
                <w:rFonts w:asciiTheme="minorHAnsi" w:hAnsiTheme="minorHAnsi" w:cstheme="minorHAnsi"/>
                <w:sz w:val="22"/>
                <w:szCs w:val="22"/>
                <w:lang w:val="fr-FR"/>
              </w:rPr>
              <w:t>International Telecommunication Union</w:t>
            </w:r>
          </w:p>
          <w:p w14:paraId="4C0BCA87" w14:textId="77777777" w:rsidR="002F4BF1" w:rsidRPr="0030641A" w:rsidRDefault="002F4BF1" w:rsidP="00C37279">
            <w:pPr>
              <w:spacing w:before="0"/>
              <w:rPr>
                <w:rFonts w:asciiTheme="minorHAnsi" w:hAnsiTheme="minorHAnsi" w:cstheme="minorHAnsi"/>
                <w:sz w:val="22"/>
                <w:szCs w:val="22"/>
                <w:lang w:val="fr-FR"/>
              </w:rPr>
            </w:pPr>
            <w:r w:rsidRPr="0030641A">
              <w:rPr>
                <w:rFonts w:asciiTheme="minorHAnsi" w:hAnsiTheme="minorHAnsi" w:cstheme="minorHAnsi"/>
                <w:sz w:val="22"/>
                <w:szCs w:val="22"/>
                <w:lang w:val="fr-FR"/>
              </w:rPr>
              <w:t>Place des Nations</w:t>
            </w:r>
          </w:p>
          <w:p w14:paraId="7B658112" w14:textId="77777777" w:rsidR="002F4BF1" w:rsidRPr="00C37279" w:rsidRDefault="002F4BF1" w:rsidP="00C37279">
            <w:pPr>
              <w:spacing w:before="0"/>
              <w:rPr>
                <w:rFonts w:asciiTheme="minorHAnsi" w:hAnsiTheme="minorHAnsi" w:cstheme="minorHAnsi"/>
                <w:sz w:val="22"/>
                <w:szCs w:val="22"/>
              </w:rPr>
            </w:pPr>
            <w:r w:rsidRPr="00C37279">
              <w:rPr>
                <w:rFonts w:asciiTheme="minorHAnsi" w:hAnsiTheme="minorHAnsi" w:cstheme="minorHAnsi"/>
                <w:sz w:val="22"/>
                <w:szCs w:val="22"/>
              </w:rPr>
              <w:t>CH 1211 Geneva 20, Switzerland</w:t>
            </w:r>
          </w:p>
        </w:tc>
        <w:tc>
          <w:tcPr>
            <w:tcW w:w="992" w:type="dxa"/>
            <w:tcBorders>
              <w:left w:val="single" w:sz="8" w:space="0" w:color="auto"/>
            </w:tcBorders>
          </w:tcPr>
          <w:p w14:paraId="00157C30" w14:textId="77777777" w:rsidR="002F4BF1" w:rsidRPr="00C37279" w:rsidRDefault="002F4BF1" w:rsidP="00FB6446">
            <w:pPr>
              <w:jc w:val="right"/>
              <w:rPr>
                <w:sz w:val="22"/>
                <w:szCs w:val="22"/>
              </w:rPr>
            </w:pPr>
            <w:r w:rsidRPr="00C37279">
              <w:rPr>
                <w:b/>
                <w:bCs/>
                <w:sz w:val="22"/>
                <w:szCs w:val="22"/>
              </w:rPr>
              <w:t>From</w:t>
            </w:r>
            <w:r w:rsidRPr="00C37279">
              <w:rPr>
                <w:sz w:val="22"/>
                <w:szCs w:val="22"/>
              </w:rPr>
              <w:t>:</w:t>
            </w:r>
          </w:p>
        </w:tc>
        <w:tc>
          <w:tcPr>
            <w:tcW w:w="3402" w:type="dxa"/>
          </w:tcPr>
          <w:p w14:paraId="5349FF99" w14:textId="77777777" w:rsidR="002F4BF1" w:rsidRPr="00C37279" w:rsidRDefault="002F4BF1" w:rsidP="00FB6446">
            <w:pPr>
              <w:rPr>
                <w:sz w:val="22"/>
                <w:szCs w:val="22"/>
                <w:highlight w:val="green"/>
              </w:rPr>
            </w:pPr>
            <w:r w:rsidRPr="00C37279">
              <w:rPr>
                <w:sz w:val="22"/>
                <w:szCs w:val="22"/>
                <w:highlight w:val="green"/>
              </w:rPr>
              <w:t>[Name]</w:t>
            </w:r>
          </w:p>
          <w:p w14:paraId="58DF7955" w14:textId="77777777" w:rsidR="002F4BF1" w:rsidRPr="00C37279" w:rsidRDefault="002F4BF1" w:rsidP="00FB6446">
            <w:pPr>
              <w:spacing w:before="0"/>
              <w:rPr>
                <w:sz w:val="22"/>
                <w:szCs w:val="22"/>
                <w:highlight w:val="green"/>
              </w:rPr>
            </w:pPr>
            <w:r w:rsidRPr="00C37279">
              <w:rPr>
                <w:sz w:val="22"/>
                <w:szCs w:val="22"/>
                <w:highlight w:val="green"/>
              </w:rPr>
              <w:t>[Official role/title]</w:t>
            </w:r>
          </w:p>
          <w:p w14:paraId="103E96D0" w14:textId="77777777" w:rsidR="002F4BF1" w:rsidRPr="00C37279" w:rsidRDefault="002F4BF1" w:rsidP="00FB6446">
            <w:pPr>
              <w:spacing w:before="0"/>
              <w:rPr>
                <w:sz w:val="22"/>
                <w:szCs w:val="22"/>
              </w:rPr>
            </w:pPr>
            <w:r w:rsidRPr="00C37279">
              <w:rPr>
                <w:sz w:val="22"/>
                <w:szCs w:val="22"/>
                <w:highlight w:val="green"/>
              </w:rPr>
              <w:t>[Address]</w:t>
            </w:r>
          </w:p>
        </w:tc>
      </w:tr>
      <w:tr w:rsidR="002F4BF1" w:rsidRPr="00C37279" w14:paraId="44366407" w14:textId="77777777" w:rsidTr="00FB6446">
        <w:tc>
          <w:tcPr>
            <w:tcW w:w="1005" w:type="dxa"/>
          </w:tcPr>
          <w:p w14:paraId="35541434" w14:textId="29CAA790" w:rsidR="002F4BF1" w:rsidRPr="00C37279" w:rsidRDefault="002F4BF1" w:rsidP="00C37279">
            <w:pPr>
              <w:spacing w:before="0"/>
              <w:jc w:val="right"/>
              <w:rPr>
                <w:szCs w:val="24"/>
              </w:rPr>
            </w:pPr>
            <w:r w:rsidRPr="00C37279">
              <w:rPr>
                <w:b/>
                <w:bCs/>
                <w:szCs w:val="24"/>
              </w:rPr>
              <w:t>Fax</w:t>
            </w:r>
            <w:r w:rsidRPr="00C37279">
              <w:rPr>
                <w:szCs w:val="24"/>
              </w:rPr>
              <w:t>:</w:t>
            </w:r>
          </w:p>
        </w:tc>
        <w:tc>
          <w:tcPr>
            <w:tcW w:w="4558" w:type="dxa"/>
            <w:tcBorders>
              <w:right w:val="single" w:sz="8" w:space="0" w:color="auto"/>
            </w:tcBorders>
          </w:tcPr>
          <w:p w14:paraId="600D1C80" w14:textId="6ED385A1" w:rsidR="002F4BF1" w:rsidRPr="00C37279" w:rsidRDefault="002F4BF1" w:rsidP="00C37279">
            <w:pPr>
              <w:spacing w:before="0"/>
              <w:rPr>
                <w:rFonts w:asciiTheme="minorHAnsi" w:hAnsiTheme="minorHAnsi" w:cstheme="minorHAnsi"/>
                <w:sz w:val="22"/>
                <w:szCs w:val="22"/>
              </w:rPr>
            </w:pPr>
            <w:r w:rsidRPr="00C37279">
              <w:rPr>
                <w:rFonts w:asciiTheme="minorHAnsi" w:hAnsiTheme="minorHAnsi" w:cstheme="minorHAnsi"/>
                <w:sz w:val="22"/>
                <w:szCs w:val="22"/>
              </w:rPr>
              <w:t>+41-22-730-5853</w:t>
            </w:r>
          </w:p>
        </w:tc>
        <w:tc>
          <w:tcPr>
            <w:tcW w:w="992" w:type="dxa"/>
            <w:tcBorders>
              <w:left w:val="single" w:sz="8" w:space="0" w:color="auto"/>
            </w:tcBorders>
          </w:tcPr>
          <w:p w14:paraId="354523DC" w14:textId="08A82008" w:rsidR="002F4BF1" w:rsidRPr="00C37279" w:rsidRDefault="002F4BF1" w:rsidP="00C37279">
            <w:pPr>
              <w:spacing w:before="0"/>
              <w:jc w:val="right"/>
              <w:rPr>
                <w:sz w:val="22"/>
                <w:szCs w:val="22"/>
              </w:rPr>
            </w:pPr>
            <w:r w:rsidRPr="00C37279">
              <w:rPr>
                <w:b/>
                <w:bCs/>
                <w:sz w:val="22"/>
                <w:szCs w:val="22"/>
              </w:rPr>
              <w:t>Fax</w:t>
            </w:r>
            <w:r w:rsidRPr="00C37279">
              <w:rPr>
                <w:sz w:val="22"/>
                <w:szCs w:val="22"/>
              </w:rPr>
              <w:t>:</w:t>
            </w:r>
          </w:p>
        </w:tc>
        <w:tc>
          <w:tcPr>
            <w:tcW w:w="3402" w:type="dxa"/>
          </w:tcPr>
          <w:p w14:paraId="387D9127" w14:textId="77777777" w:rsidR="002F4BF1" w:rsidRPr="00C37279" w:rsidRDefault="002F4BF1" w:rsidP="00FB6446">
            <w:pPr>
              <w:spacing w:before="0"/>
              <w:rPr>
                <w:rFonts w:asciiTheme="minorHAnsi" w:hAnsiTheme="minorHAnsi" w:cstheme="minorHAnsi"/>
                <w:sz w:val="22"/>
                <w:szCs w:val="22"/>
              </w:rPr>
            </w:pPr>
          </w:p>
        </w:tc>
      </w:tr>
      <w:tr w:rsidR="00C37279" w:rsidRPr="00C37279" w14:paraId="27085F5A" w14:textId="77777777" w:rsidTr="00FB6446">
        <w:tc>
          <w:tcPr>
            <w:tcW w:w="1005" w:type="dxa"/>
          </w:tcPr>
          <w:p w14:paraId="474D55E2" w14:textId="16F6A406" w:rsidR="00C37279" w:rsidRPr="00C37279" w:rsidRDefault="00C37279" w:rsidP="00C37279">
            <w:pPr>
              <w:spacing w:before="0"/>
              <w:jc w:val="right"/>
              <w:rPr>
                <w:b/>
                <w:bCs/>
                <w:szCs w:val="24"/>
              </w:rPr>
            </w:pPr>
            <w:r w:rsidRPr="00C37279">
              <w:rPr>
                <w:b/>
                <w:bCs/>
                <w:szCs w:val="24"/>
              </w:rPr>
              <w:t>E-mail</w:t>
            </w:r>
            <w:r w:rsidRPr="00C37279">
              <w:rPr>
                <w:szCs w:val="24"/>
              </w:rPr>
              <w:t>:</w:t>
            </w:r>
          </w:p>
        </w:tc>
        <w:tc>
          <w:tcPr>
            <w:tcW w:w="4558" w:type="dxa"/>
            <w:tcBorders>
              <w:right w:val="single" w:sz="8" w:space="0" w:color="auto"/>
            </w:tcBorders>
          </w:tcPr>
          <w:p w14:paraId="7CE492B8" w14:textId="5003651C" w:rsidR="00C37279" w:rsidRPr="00C37279" w:rsidRDefault="00C37279" w:rsidP="00C37279">
            <w:pPr>
              <w:spacing w:before="0"/>
              <w:rPr>
                <w:rFonts w:asciiTheme="minorHAnsi" w:hAnsiTheme="minorHAnsi" w:cstheme="minorHAnsi"/>
                <w:sz w:val="22"/>
                <w:szCs w:val="22"/>
              </w:rPr>
            </w:pPr>
            <w:hyperlink r:id="rId14" w:history="1">
              <w:r w:rsidRPr="00C37279">
                <w:rPr>
                  <w:rStyle w:val="Hyperlink"/>
                  <w:sz w:val="22"/>
                  <w:szCs w:val="22"/>
                </w:rPr>
                <w:t>tsbdir@itu.int</w:t>
              </w:r>
            </w:hyperlink>
          </w:p>
        </w:tc>
        <w:tc>
          <w:tcPr>
            <w:tcW w:w="992" w:type="dxa"/>
            <w:tcBorders>
              <w:left w:val="single" w:sz="8" w:space="0" w:color="auto"/>
            </w:tcBorders>
          </w:tcPr>
          <w:p w14:paraId="67DD91F4" w14:textId="3875986F" w:rsidR="00C37279" w:rsidRPr="00C37279" w:rsidRDefault="00C37279" w:rsidP="00C37279">
            <w:pPr>
              <w:spacing w:before="0"/>
              <w:jc w:val="right"/>
              <w:rPr>
                <w:b/>
                <w:bCs/>
                <w:sz w:val="22"/>
                <w:szCs w:val="22"/>
              </w:rPr>
            </w:pPr>
            <w:r w:rsidRPr="00C37279">
              <w:rPr>
                <w:b/>
                <w:bCs/>
                <w:sz w:val="22"/>
                <w:szCs w:val="22"/>
              </w:rPr>
              <w:t>E-mail</w:t>
            </w:r>
            <w:r w:rsidRPr="00C37279">
              <w:rPr>
                <w:sz w:val="22"/>
                <w:szCs w:val="22"/>
              </w:rPr>
              <w:t>:</w:t>
            </w:r>
          </w:p>
        </w:tc>
        <w:tc>
          <w:tcPr>
            <w:tcW w:w="3402" w:type="dxa"/>
          </w:tcPr>
          <w:p w14:paraId="3A353A3F" w14:textId="34D38B8F" w:rsidR="00C37279" w:rsidRPr="00C37279" w:rsidRDefault="00C37279" w:rsidP="00C37279">
            <w:pPr>
              <w:spacing w:before="0"/>
              <w:rPr>
                <w:rFonts w:asciiTheme="minorHAnsi" w:hAnsiTheme="minorHAnsi" w:cstheme="minorHAnsi"/>
                <w:sz w:val="22"/>
                <w:szCs w:val="22"/>
              </w:rPr>
            </w:pPr>
          </w:p>
        </w:tc>
      </w:tr>
      <w:tr w:rsidR="00C37279" w:rsidRPr="00C37279" w14:paraId="7996E496" w14:textId="77777777" w:rsidTr="00FB6446">
        <w:tc>
          <w:tcPr>
            <w:tcW w:w="1005" w:type="dxa"/>
          </w:tcPr>
          <w:p w14:paraId="75A838BB" w14:textId="77777777" w:rsidR="00C37279" w:rsidRPr="00C37279" w:rsidRDefault="00C37279" w:rsidP="00C37279">
            <w:pPr>
              <w:spacing w:before="0"/>
              <w:jc w:val="right"/>
              <w:rPr>
                <w:szCs w:val="24"/>
              </w:rPr>
            </w:pPr>
          </w:p>
        </w:tc>
        <w:tc>
          <w:tcPr>
            <w:tcW w:w="4558" w:type="dxa"/>
            <w:tcBorders>
              <w:right w:val="single" w:sz="8" w:space="0" w:color="auto"/>
            </w:tcBorders>
          </w:tcPr>
          <w:p w14:paraId="5195561E" w14:textId="77777777" w:rsidR="00C37279" w:rsidRPr="00C37279" w:rsidRDefault="00C37279" w:rsidP="00C37279">
            <w:pPr>
              <w:spacing w:before="0"/>
              <w:rPr>
                <w:rFonts w:asciiTheme="minorHAnsi" w:hAnsiTheme="minorHAnsi" w:cstheme="minorHAnsi"/>
                <w:sz w:val="22"/>
                <w:szCs w:val="22"/>
              </w:rPr>
            </w:pPr>
          </w:p>
        </w:tc>
        <w:tc>
          <w:tcPr>
            <w:tcW w:w="992" w:type="dxa"/>
            <w:tcBorders>
              <w:left w:val="single" w:sz="8" w:space="0" w:color="auto"/>
            </w:tcBorders>
          </w:tcPr>
          <w:p w14:paraId="6915A439" w14:textId="77777777" w:rsidR="00C37279" w:rsidRPr="00C37279" w:rsidRDefault="00C37279" w:rsidP="00C37279">
            <w:pPr>
              <w:spacing w:before="0"/>
              <w:jc w:val="right"/>
              <w:rPr>
                <w:sz w:val="22"/>
                <w:szCs w:val="22"/>
              </w:rPr>
            </w:pPr>
            <w:r w:rsidRPr="00C37279">
              <w:rPr>
                <w:b/>
                <w:bCs/>
                <w:sz w:val="22"/>
                <w:szCs w:val="22"/>
              </w:rPr>
              <w:t>Date</w:t>
            </w:r>
            <w:r w:rsidRPr="00C37279">
              <w:rPr>
                <w:sz w:val="22"/>
                <w:szCs w:val="22"/>
              </w:rPr>
              <w:t>:</w:t>
            </w:r>
          </w:p>
        </w:tc>
        <w:tc>
          <w:tcPr>
            <w:tcW w:w="3402" w:type="dxa"/>
          </w:tcPr>
          <w:p w14:paraId="7E4A0B0D" w14:textId="77777777" w:rsidR="00C37279" w:rsidRPr="00C37279" w:rsidRDefault="00C37279" w:rsidP="00C37279">
            <w:pPr>
              <w:spacing w:before="0"/>
              <w:rPr>
                <w:sz w:val="22"/>
                <w:szCs w:val="22"/>
              </w:rPr>
            </w:pPr>
            <w:r w:rsidRPr="00C37279">
              <w:rPr>
                <w:sz w:val="22"/>
                <w:szCs w:val="22"/>
                <w:highlight w:val="green"/>
              </w:rPr>
              <w:t>[Place,] [Date]</w:t>
            </w:r>
          </w:p>
        </w:tc>
      </w:tr>
    </w:tbl>
    <w:p w14:paraId="2CCC39DE" w14:textId="77777777" w:rsidR="002F4BF1" w:rsidRPr="00C37279" w:rsidRDefault="002F4BF1" w:rsidP="002F4BF1">
      <w:pPr>
        <w:spacing w:before="360"/>
        <w:rPr>
          <w:szCs w:val="24"/>
        </w:rPr>
      </w:pPr>
      <w:r w:rsidRPr="00C37279">
        <w:rPr>
          <w:szCs w:val="24"/>
        </w:rPr>
        <w:t>Dear Sir/Madam,</w:t>
      </w:r>
    </w:p>
    <w:p w14:paraId="31D4B85D" w14:textId="5306C577" w:rsidR="002F4BF1" w:rsidRDefault="002F4BF1" w:rsidP="00C37279">
      <w:r w:rsidRPr="00C37279">
        <w:t>With respect to the Member State consultation on the Determined draft text</w:t>
      </w:r>
      <w:r w:rsidR="00921091">
        <w:t xml:space="preserve"> </w:t>
      </w:r>
      <w:r w:rsidRPr="00C37279">
        <w:t xml:space="preserve">listed in TSB Circular </w:t>
      </w:r>
      <w:r w:rsidR="00812C55">
        <w:t>83</w:t>
      </w:r>
      <w:r w:rsidRPr="00C37279">
        <w:t>, I would like to advise you of the opinion of this Administration, which is set out in the table below.</w:t>
      </w:r>
    </w:p>
    <w:p w14:paraId="1CEEBFC1" w14:textId="77777777" w:rsidR="00C37279" w:rsidRPr="00C37279" w:rsidRDefault="00C37279" w:rsidP="00C372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371"/>
      </w:tblGrid>
      <w:tr w:rsidR="002F4BF1" w:rsidRPr="00C37279" w14:paraId="16AC9BA5" w14:textId="77777777" w:rsidTr="00812C55">
        <w:trPr>
          <w:tblHeader/>
        </w:trPr>
        <w:tc>
          <w:tcPr>
            <w:tcW w:w="2258" w:type="dxa"/>
            <w:vAlign w:val="center"/>
          </w:tcPr>
          <w:p w14:paraId="48B1A2E6" w14:textId="77777777" w:rsidR="002F4BF1" w:rsidRPr="00C37279" w:rsidRDefault="002F4BF1" w:rsidP="000D19A2">
            <w:pPr>
              <w:spacing w:after="120"/>
              <w:jc w:val="center"/>
              <w:rPr>
                <w:b/>
                <w:bCs/>
                <w:szCs w:val="24"/>
              </w:rPr>
            </w:pPr>
            <w:bookmarkStart w:id="3" w:name="_Hlk204005032"/>
          </w:p>
        </w:tc>
        <w:tc>
          <w:tcPr>
            <w:tcW w:w="7371" w:type="dxa"/>
            <w:vAlign w:val="center"/>
          </w:tcPr>
          <w:p w14:paraId="61C32699" w14:textId="77777777" w:rsidR="002F4BF1" w:rsidRPr="00C37279" w:rsidRDefault="002F4BF1" w:rsidP="00FB6446">
            <w:pPr>
              <w:tabs>
                <w:tab w:val="clear" w:pos="794"/>
                <w:tab w:val="clear" w:pos="1191"/>
                <w:tab w:val="clear" w:pos="1588"/>
                <w:tab w:val="clear" w:pos="1985"/>
              </w:tabs>
              <w:spacing w:after="120"/>
              <w:ind w:left="939" w:hanging="459"/>
              <w:jc w:val="center"/>
              <w:rPr>
                <w:b/>
                <w:bCs/>
                <w:szCs w:val="24"/>
              </w:rPr>
            </w:pPr>
            <w:r w:rsidRPr="00C37279">
              <w:rPr>
                <w:b/>
                <w:bCs/>
                <w:szCs w:val="24"/>
              </w:rPr>
              <w:t>Select one of the two boxes</w:t>
            </w:r>
          </w:p>
        </w:tc>
      </w:tr>
      <w:bookmarkEnd w:id="3"/>
      <w:tr w:rsidR="002F4BF1" w:rsidRPr="00C37279" w14:paraId="0D6D4B3A" w14:textId="77777777" w:rsidTr="00812C55">
        <w:trPr>
          <w:trHeight w:val="748"/>
        </w:trPr>
        <w:tc>
          <w:tcPr>
            <w:tcW w:w="2258" w:type="dxa"/>
            <w:vMerge w:val="restart"/>
            <w:vAlign w:val="center"/>
          </w:tcPr>
          <w:p w14:paraId="76DBB72B" w14:textId="7208AE15" w:rsidR="002F4BF1" w:rsidRPr="00C37279" w:rsidRDefault="002F4BF1" w:rsidP="00812C55">
            <w:pPr>
              <w:spacing w:before="60" w:after="60"/>
              <w:jc w:val="center"/>
              <w:rPr>
                <w:b/>
                <w:bCs/>
                <w:szCs w:val="24"/>
              </w:rPr>
            </w:pPr>
            <w:r w:rsidRPr="00C37279">
              <w:rPr>
                <w:b/>
                <w:bCs/>
                <w:szCs w:val="24"/>
              </w:rPr>
              <w:t xml:space="preserve">Draft </w:t>
            </w:r>
            <w:r w:rsidR="002A7C2B">
              <w:rPr>
                <w:b/>
                <w:bCs/>
                <w:szCs w:val="24"/>
              </w:rPr>
              <w:t>revised</w:t>
            </w:r>
            <w:r w:rsidR="002A7C2B" w:rsidRPr="00C37279">
              <w:rPr>
                <w:b/>
                <w:bCs/>
                <w:szCs w:val="24"/>
              </w:rPr>
              <w:t xml:space="preserve"> </w:t>
            </w:r>
            <w:r w:rsidRPr="00C37279">
              <w:rPr>
                <w:b/>
                <w:bCs/>
                <w:szCs w:val="24"/>
              </w:rPr>
              <w:t xml:space="preserve">Recommendation </w:t>
            </w:r>
            <w:r w:rsidR="00812C55" w:rsidRPr="00812C55">
              <w:rPr>
                <w:b/>
                <w:bCs/>
                <w:szCs w:val="24"/>
              </w:rPr>
              <w:t>ITU-T X.1058 | ISO/IEC 2915</w:t>
            </w:r>
          </w:p>
        </w:tc>
        <w:tc>
          <w:tcPr>
            <w:tcW w:w="7371" w:type="dxa"/>
            <w:vAlign w:val="center"/>
          </w:tcPr>
          <w:p w14:paraId="660EEF98" w14:textId="798A1239" w:rsidR="002F4BF1" w:rsidRPr="00C37279" w:rsidRDefault="002F4BF1" w:rsidP="00FB6446">
            <w:pPr>
              <w:tabs>
                <w:tab w:val="clear" w:pos="794"/>
                <w:tab w:val="clear" w:pos="1191"/>
                <w:tab w:val="clear" w:pos="1588"/>
                <w:tab w:val="clear" w:pos="1985"/>
              </w:tabs>
              <w:spacing w:before="60" w:after="60"/>
              <w:ind w:left="459" w:hanging="459"/>
              <w:rPr>
                <w:szCs w:val="24"/>
              </w:rPr>
            </w:pPr>
            <w:r w:rsidRPr="00C37279">
              <w:rPr>
                <w:sz w:val="22"/>
                <w:szCs w:val="22"/>
              </w:rPr>
              <w:fldChar w:fldCharType="begin">
                <w:ffData>
                  <w:name w:val="Check1"/>
                  <w:enabled/>
                  <w:calcOnExit w:val="0"/>
                  <w:checkBox>
                    <w:sizeAuto/>
                    <w:default w:val="0"/>
                  </w:checkBox>
                </w:ffData>
              </w:fldChar>
            </w:r>
            <w:r w:rsidRPr="00C37279">
              <w:rPr>
                <w:sz w:val="22"/>
                <w:szCs w:val="22"/>
              </w:rPr>
              <w:instrText xml:space="preserve"> FORMCHECKBOX </w:instrText>
            </w:r>
            <w:r w:rsidRPr="00C37279">
              <w:rPr>
                <w:sz w:val="22"/>
                <w:szCs w:val="22"/>
              </w:rPr>
            </w:r>
            <w:r w:rsidRPr="00C37279">
              <w:rPr>
                <w:sz w:val="22"/>
                <w:szCs w:val="22"/>
              </w:rPr>
              <w:fldChar w:fldCharType="separate"/>
            </w:r>
            <w:r w:rsidRPr="00C37279">
              <w:rPr>
                <w:sz w:val="22"/>
                <w:szCs w:val="22"/>
              </w:rPr>
              <w:fldChar w:fldCharType="end"/>
            </w:r>
            <w:r w:rsidRPr="00C37279">
              <w:rPr>
                <w:sz w:val="20"/>
              </w:rPr>
              <w:tab/>
            </w:r>
            <w:r w:rsidRPr="00C37279">
              <w:rPr>
                <w:b/>
                <w:bCs/>
                <w:szCs w:val="24"/>
              </w:rPr>
              <w:t>assigns authority</w:t>
            </w:r>
            <w:r w:rsidRPr="00C37279">
              <w:rPr>
                <w:szCs w:val="24"/>
              </w:rPr>
              <w:t xml:space="preserve"> to </w:t>
            </w:r>
            <w:r w:rsidR="00C37279">
              <w:rPr>
                <w:szCs w:val="24"/>
              </w:rPr>
              <w:t>Study Group 17</w:t>
            </w:r>
            <w:r w:rsidRPr="00C37279">
              <w:rPr>
                <w:szCs w:val="24"/>
              </w:rPr>
              <w:t xml:space="preserve"> to consider this text for approval (in which case, select one of the two options </w:t>
            </w:r>
            <w:r w:rsidRPr="00C37279">
              <w:rPr>
                <w:sz w:val="20"/>
              </w:rPr>
              <w:t>⃝</w:t>
            </w:r>
            <w:r w:rsidRPr="00C37279">
              <w:rPr>
                <w:szCs w:val="24"/>
              </w:rPr>
              <w:t>):</w:t>
            </w:r>
          </w:p>
          <w:p w14:paraId="660A878A" w14:textId="77777777" w:rsidR="002F4BF1" w:rsidRPr="00C37279" w:rsidRDefault="002F4BF1" w:rsidP="00FB6446">
            <w:pPr>
              <w:tabs>
                <w:tab w:val="clear" w:pos="794"/>
                <w:tab w:val="clear" w:pos="1191"/>
                <w:tab w:val="clear" w:pos="1588"/>
                <w:tab w:val="clear" w:pos="1985"/>
              </w:tabs>
              <w:spacing w:before="0"/>
              <w:ind w:left="939" w:hanging="459"/>
              <w:rPr>
                <w:szCs w:val="24"/>
              </w:rPr>
            </w:pPr>
            <w:r w:rsidRPr="00C37279">
              <w:rPr>
                <w:sz w:val="20"/>
              </w:rPr>
              <w:t>⃝</w:t>
            </w:r>
            <w:r w:rsidRPr="00C37279">
              <w:rPr>
                <w:sz w:val="20"/>
              </w:rPr>
              <w:tab/>
            </w:r>
            <w:r w:rsidRPr="00C37279">
              <w:rPr>
                <w:szCs w:val="24"/>
              </w:rPr>
              <w:t>No comments or suggested changes</w:t>
            </w:r>
          </w:p>
          <w:p w14:paraId="3CFE937F" w14:textId="77777777" w:rsidR="002F4BF1" w:rsidRPr="00C37279" w:rsidRDefault="002F4BF1" w:rsidP="00FB6446">
            <w:pPr>
              <w:tabs>
                <w:tab w:val="clear" w:pos="794"/>
                <w:tab w:val="clear" w:pos="1191"/>
                <w:tab w:val="clear" w:pos="1588"/>
                <w:tab w:val="clear" w:pos="1985"/>
              </w:tabs>
              <w:spacing w:before="0"/>
              <w:ind w:left="939" w:hanging="459"/>
              <w:rPr>
                <w:szCs w:val="24"/>
              </w:rPr>
            </w:pPr>
            <w:r w:rsidRPr="00C37279">
              <w:rPr>
                <w:sz w:val="20"/>
              </w:rPr>
              <w:t>⃝</w:t>
            </w:r>
            <w:r w:rsidRPr="00C37279">
              <w:rPr>
                <w:sz w:val="20"/>
              </w:rPr>
              <w:tab/>
            </w:r>
            <w:r w:rsidRPr="00C37279">
              <w:rPr>
                <w:szCs w:val="24"/>
              </w:rPr>
              <w:t>Comments and suggested changes are attached</w:t>
            </w:r>
          </w:p>
        </w:tc>
      </w:tr>
      <w:tr w:rsidR="002F4BF1" w:rsidRPr="00C37279" w14:paraId="3B525E91" w14:textId="77777777" w:rsidTr="00812C55">
        <w:trPr>
          <w:trHeight w:val="747"/>
        </w:trPr>
        <w:tc>
          <w:tcPr>
            <w:tcW w:w="2258" w:type="dxa"/>
            <w:vMerge/>
            <w:vAlign w:val="center"/>
          </w:tcPr>
          <w:p w14:paraId="34EBAC9D" w14:textId="77777777" w:rsidR="002F4BF1" w:rsidRPr="00C37279" w:rsidRDefault="002F4BF1" w:rsidP="000D19A2">
            <w:pPr>
              <w:spacing w:before="60" w:after="60"/>
              <w:jc w:val="center"/>
              <w:rPr>
                <w:b/>
                <w:bCs/>
                <w:szCs w:val="24"/>
              </w:rPr>
            </w:pPr>
          </w:p>
        </w:tc>
        <w:tc>
          <w:tcPr>
            <w:tcW w:w="7371" w:type="dxa"/>
            <w:vAlign w:val="center"/>
          </w:tcPr>
          <w:p w14:paraId="5049D3E2" w14:textId="70FCEBB2" w:rsidR="002F4BF1" w:rsidRPr="00C37279" w:rsidRDefault="002F4BF1" w:rsidP="00FB6446">
            <w:pPr>
              <w:tabs>
                <w:tab w:val="clear" w:pos="794"/>
                <w:tab w:val="clear" w:pos="1191"/>
                <w:tab w:val="clear" w:pos="1588"/>
                <w:tab w:val="clear" w:pos="1985"/>
                <w:tab w:val="left" w:pos="250"/>
              </w:tabs>
              <w:spacing w:before="60" w:after="60"/>
              <w:ind w:left="459" w:hanging="459"/>
              <w:rPr>
                <w:sz w:val="20"/>
              </w:rPr>
            </w:pPr>
            <w:r w:rsidRPr="00C37279">
              <w:rPr>
                <w:sz w:val="22"/>
                <w:szCs w:val="22"/>
              </w:rPr>
              <w:fldChar w:fldCharType="begin">
                <w:ffData>
                  <w:name w:val="Check1"/>
                  <w:enabled/>
                  <w:calcOnExit w:val="0"/>
                  <w:checkBox>
                    <w:sizeAuto/>
                    <w:default w:val="0"/>
                  </w:checkBox>
                </w:ffData>
              </w:fldChar>
            </w:r>
            <w:r w:rsidRPr="00C37279">
              <w:rPr>
                <w:sz w:val="22"/>
                <w:szCs w:val="22"/>
              </w:rPr>
              <w:instrText xml:space="preserve"> FORMCHECKBOX </w:instrText>
            </w:r>
            <w:r w:rsidRPr="00C37279">
              <w:rPr>
                <w:sz w:val="22"/>
                <w:szCs w:val="22"/>
              </w:rPr>
            </w:r>
            <w:r w:rsidRPr="00C37279">
              <w:rPr>
                <w:sz w:val="22"/>
                <w:szCs w:val="22"/>
              </w:rPr>
              <w:fldChar w:fldCharType="separate"/>
            </w:r>
            <w:r w:rsidRPr="00C37279">
              <w:rPr>
                <w:sz w:val="22"/>
                <w:szCs w:val="22"/>
              </w:rPr>
              <w:fldChar w:fldCharType="end"/>
            </w:r>
            <w:r w:rsidRPr="00C37279">
              <w:rPr>
                <w:sz w:val="22"/>
                <w:szCs w:val="22"/>
              </w:rPr>
              <w:tab/>
            </w:r>
            <w:r w:rsidRPr="00C37279">
              <w:rPr>
                <w:b/>
                <w:bCs/>
                <w:szCs w:val="24"/>
              </w:rPr>
              <w:t>does not assign authority</w:t>
            </w:r>
            <w:r w:rsidRPr="00C37279">
              <w:rPr>
                <w:szCs w:val="24"/>
              </w:rPr>
              <w:t xml:space="preserve"> to </w:t>
            </w:r>
            <w:r w:rsidR="00C37279">
              <w:rPr>
                <w:szCs w:val="24"/>
              </w:rPr>
              <w:t>Study Group 17</w:t>
            </w:r>
            <w:r w:rsidRPr="00C37279">
              <w:rPr>
                <w:szCs w:val="24"/>
              </w:rPr>
              <w:t xml:space="preserve"> to consider this text for approval (</w:t>
            </w:r>
            <w:r w:rsidRPr="00C37279">
              <w:rPr>
                <w:szCs w:val="22"/>
              </w:rPr>
              <w:t>reasons for this opinion and an outline of possible changes that would enable the work to progress are attached)</w:t>
            </w:r>
          </w:p>
        </w:tc>
      </w:tr>
    </w:tbl>
    <w:p w14:paraId="684F306B" w14:textId="77777777" w:rsidR="002F4BF1" w:rsidRPr="00C37279" w:rsidRDefault="002F4BF1" w:rsidP="002F4BF1">
      <w:pPr>
        <w:keepNext/>
        <w:keepLines/>
        <w:spacing w:before="0" w:after="120"/>
      </w:pPr>
      <w:r w:rsidRPr="00C37279">
        <w:t>Yours faithfully,</w:t>
      </w:r>
    </w:p>
    <w:p w14:paraId="41016717" w14:textId="77777777" w:rsidR="002F4BF1" w:rsidRPr="00C37279" w:rsidRDefault="002F4BF1" w:rsidP="002F4BF1">
      <w:pPr>
        <w:keepNext/>
        <w:keepLines/>
        <w:spacing w:before="240"/>
        <w:rPr>
          <w:szCs w:val="24"/>
          <w:highlight w:val="green"/>
        </w:rPr>
      </w:pPr>
      <w:r w:rsidRPr="00C37279">
        <w:rPr>
          <w:szCs w:val="24"/>
          <w:highlight w:val="green"/>
        </w:rPr>
        <w:t>[Name]</w:t>
      </w:r>
    </w:p>
    <w:p w14:paraId="6DDCBE9C" w14:textId="77777777" w:rsidR="002F4BF1" w:rsidRPr="00C37279" w:rsidRDefault="002F4BF1" w:rsidP="002F4BF1">
      <w:pPr>
        <w:keepNext/>
        <w:keepLines/>
        <w:rPr>
          <w:szCs w:val="24"/>
        </w:rPr>
      </w:pPr>
      <w:r w:rsidRPr="00C37279">
        <w:rPr>
          <w:szCs w:val="24"/>
          <w:highlight w:val="green"/>
        </w:rPr>
        <w:t>[Official role/title]</w:t>
      </w:r>
    </w:p>
    <w:p w14:paraId="48895E08" w14:textId="77777777" w:rsidR="002F4BF1" w:rsidRPr="00C37279" w:rsidRDefault="002F4BF1" w:rsidP="002F4BF1">
      <w:pPr>
        <w:keepNext/>
        <w:keepLines/>
        <w:rPr>
          <w:szCs w:val="24"/>
        </w:rPr>
      </w:pPr>
      <w:r w:rsidRPr="00C37279">
        <w:rPr>
          <w:szCs w:val="24"/>
        </w:rPr>
        <w:t xml:space="preserve">Administration of </w:t>
      </w:r>
      <w:r w:rsidRPr="00C37279">
        <w:rPr>
          <w:szCs w:val="24"/>
          <w:highlight w:val="green"/>
        </w:rPr>
        <w:t>[Member State]</w:t>
      </w:r>
    </w:p>
    <w:p w14:paraId="58E94062" w14:textId="77777777" w:rsidR="002F4BF1" w:rsidRPr="00C37279" w:rsidRDefault="002F4BF1" w:rsidP="002F4BF1">
      <w:pPr>
        <w:jc w:val="center"/>
      </w:pPr>
      <w:r w:rsidRPr="00C37279">
        <w:t>___________</w:t>
      </w:r>
    </w:p>
    <w:p w14:paraId="30913B23" w14:textId="0757C386" w:rsidR="002F4BF1" w:rsidRPr="00C37279" w:rsidRDefault="002F4BF1" w:rsidP="007C7DA8">
      <w:pPr>
        <w:pStyle w:val="Annextitle"/>
      </w:pPr>
    </w:p>
    <w:p w14:paraId="35132E82" w14:textId="77777777" w:rsidR="00E0064D" w:rsidRPr="00C37279" w:rsidRDefault="00E0064D" w:rsidP="00E0064D">
      <w:pPr>
        <w:tabs>
          <w:tab w:val="clear" w:pos="794"/>
          <w:tab w:val="clear" w:pos="1191"/>
          <w:tab w:val="clear" w:pos="1588"/>
          <w:tab w:val="clear" w:pos="1985"/>
        </w:tabs>
        <w:overflowPunct/>
        <w:autoSpaceDE/>
        <w:autoSpaceDN/>
        <w:adjustRightInd/>
        <w:spacing w:before="0"/>
        <w:textAlignment w:val="auto"/>
        <w:rPr>
          <w:rFonts w:ascii="CG Times" w:hAnsi="CG Times"/>
          <w:sz w:val="20"/>
          <w:lang w:eastAsia="zh-CN"/>
        </w:rPr>
      </w:pPr>
    </w:p>
    <w:sectPr w:rsidR="00E0064D" w:rsidRPr="00C37279" w:rsidSect="000D19A2">
      <w:headerReference w:type="default" r:id="rId15"/>
      <w:footerReference w:type="first" r:id="rId16"/>
      <w:type w:val="oddPage"/>
      <w:pgSz w:w="11907" w:h="16834" w:code="9"/>
      <w:pgMar w:top="1134" w:right="1134" w:bottom="1134" w:left="1134" w:header="426"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3860F" w14:textId="77777777" w:rsidR="00B42CBC" w:rsidRDefault="00B42CBC">
      <w:r>
        <w:separator/>
      </w:r>
    </w:p>
  </w:endnote>
  <w:endnote w:type="continuationSeparator" w:id="0">
    <w:p w14:paraId="0026AFE2" w14:textId="77777777" w:rsidR="00B42CBC" w:rsidRDefault="00B4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C6DB"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07C37" w14:textId="77777777" w:rsidR="00B42CBC" w:rsidRDefault="00B42CBC">
      <w:r>
        <w:t>____________________</w:t>
      </w:r>
    </w:p>
  </w:footnote>
  <w:footnote w:type="continuationSeparator" w:id="0">
    <w:p w14:paraId="196DBDA8" w14:textId="77777777" w:rsidR="00B42CBC" w:rsidRDefault="00B42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EA33" w14:textId="1D856352" w:rsidR="00C37279" w:rsidRDefault="008F14F3" w:rsidP="00C37279">
    <w:pPr>
      <w:pStyle w:val="Header"/>
      <w:rPr>
        <w:lang w:val="en-US"/>
      </w:rPr>
    </w:pPr>
    <w:r>
      <w:t xml:space="preserve">- </w:t>
    </w:r>
    <w:r>
      <w:fldChar w:fldCharType="begin"/>
    </w:r>
    <w:r>
      <w:instrText xml:space="preserve"> PAGE   \* MERGEFORMAT </w:instrText>
    </w:r>
    <w:r>
      <w:fldChar w:fldCharType="separate"/>
    </w:r>
    <w:r w:rsidR="00425273">
      <w:rPr>
        <w:noProof/>
      </w:rPr>
      <w:t>4</w:t>
    </w:r>
    <w:r>
      <w:rPr>
        <w:noProof/>
      </w:rPr>
      <w:fldChar w:fldCharType="end"/>
    </w:r>
    <w:r>
      <w:rPr>
        <w:noProof/>
      </w:rPr>
      <w:t xml:space="preserve"> -</w:t>
    </w:r>
    <w:r>
      <w:rPr>
        <w:noProof/>
      </w:rPr>
      <w:br/>
    </w:r>
    <w:r w:rsidR="00C37279">
      <w:fldChar w:fldCharType="begin" w:fldLock="1"/>
    </w:r>
    <w:r w:rsidR="00C37279">
      <w:instrText xml:space="preserve"> styleref Docnumber </w:instrText>
    </w:r>
    <w:r w:rsidR="00C37279">
      <w:fldChar w:fldCharType="separate"/>
    </w:r>
    <w:r w:rsidR="00877834">
      <w:rPr>
        <w:noProof/>
      </w:rPr>
      <w:t xml:space="preserve">TSB Circular </w:t>
    </w:r>
    <w:r w:rsidR="00812C55">
      <w:rPr>
        <w:noProof/>
      </w:rPr>
      <w:t>8</w:t>
    </w:r>
    <w:r w:rsidR="00585C26">
      <w:rPr>
        <w:noProof/>
      </w:rPr>
      <w:t>3</w:t>
    </w:r>
    <w:r w:rsidR="00C3727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CE3A97"/>
    <w:multiLevelType w:val="hybridMultilevel"/>
    <w:tmpl w:val="C4E89FB8"/>
    <w:lvl w:ilvl="0" w:tplc="8D9E55CE">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3B58717D"/>
    <w:multiLevelType w:val="hybridMultilevel"/>
    <w:tmpl w:val="574ED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871034"/>
    <w:multiLevelType w:val="hybridMultilevel"/>
    <w:tmpl w:val="1CECD7E4"/>
    <w:lvl w:ilvl="0" w:tplc="454C01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7B1EBD"/>
    <w:multiLevelType w:val="hybridMultilevel"/>
    <w:tmpl w:val="8758DD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3EA2EE9"/>
    <w:multiLevelType w:val="hybridMultilevel"/>
    <w:tmpl w:val="6C5A53DA"/>
    <w:lvl w:ilvl="0" w:tplc="454C01C4">
      <w:start w:val="1"/>
      <w:numFmt w:val="decimal"/>
      <w:lvlText w:val="%1"/>
      <w:lvlJc w:val="left"/>
      <w:pPr>
        <w:ind w:left="792" w:hanging="79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76B1E3E"/>
    <w:multiLevelType w:val="hybridMultilevel"/>
    <w:tmpl w:val="54C0B476"/>
    <w:lvl w:ilvl="0" w:tplc="454C01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6F13D9"/>
    <w:multiLevelType w:val="hybridMultilevel"/>
    <w:tmpl w:val="CCA2D92E"/>
    <w:lvl w:ilvl="0" w:tplc="454C01C4">
      <w:start w:val="1"/>
      <w:numFmt w:val="decimal"/>
      <w:lvlText w:val="%1"/>
      <w:lvlJc w:val="left"/>
      <w:pPr>
        <w:ind w:left="792" w:hanging="79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2371136">
    <w:abstractNumId w:val="9"/>
  </w:num>
  <w:num w:numId="2" w16cid:durableId="903300331">
    <w:abstractNumId w:val="7"/>
  </w:num>
  <w:num w:numId="3" w16cid:durableId="1175800650">
    <w:abstractNumId w:val="6"/>
  </w:num>
  <w:num w:numId="4" w16cid:durableId="1405182499">
    <w:abstractNumId w:val="5"/>
  </w:num>
  <w:num w:numId="5" w16cid:durableId="500242486">
    <w:abstractNumId w:val="4"/>
  </w:num>
  <w:num w:numId="6" w16cid:durableId="1724793916">
    <w:abstractNumId w:val="8"/>
  </w:num>
  <w:num w:numId="7" w16cid:durableId="1887065242">
    <w:abstractNumId w:val="3"/>
  </w:num>
  <w:num w:numId="8" w16cid:durableId="1771706560">
    <w:abstractNumId w:val="2"/>
  </w:num>
  <w:num w:numId="9" w16cid:durableId="590548176">
    <w:abstractNumId w:val="1"/>
  </w:num>
  <w:num w:numId="10" w16cid:durableId="548103883">
    <w:abstractNumId w:val="0"/>
  </w:num>
  <w:num w:numId="11" w16cid:durableId="14418030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6675413">
    <w:abstractNumId w:val="10"/>
  </w:num>
  <w:num w:numId="13" w16cid:durableId="464547924">
    <w:abstractNumId w:val="12"/>
  </w:num>
  <w:num w:numId="14" w16cid:durableId="1893425343">
    <w:abstractNumId w:val="17"/>
  </w:num>
  <w:num w:numId="15" w16cid:durableId="1169755830">
    <w:abstractNumId w:val="15"/>
  </w:num>
  <w:num w:numId="16" w16cid:durableId="1408307281">
    <w:abstractNumId w:val="13"/>
  </w:num>
  <w:num w:numId="17" w16cid:durableId="1671718146">
    <w:abstractNumId w:val="14"/>
  </w:num>
  <w:num w:numId="18" w16cid:durableId="1732999042">
    <w:abstractNumId w:val="16"/>
  </w:num>
  <w:num w:numId="19" w16cid:durableId="2306534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C3"/>
    <w:rsid w:val="00006B04"/>
    <w:rsid w:val="0002204D"/>
    <w:rsid w:val="000279B8"/>
    <w:rsid w:val="00041231"/>
    <w:rsid w:val="00050B75"/>
    <w:rsid w:val="000528FF"/>
    <w:rsid w:val="00062724"/>
    <w:rsid w:val="0006765F"/>
    <w:rsid w:val="00067FDC"/>
    <w:rsid w:val="00074D44"/>
    <w:rsid w:val="00076B60"/>
    <w:rsid w:val="000866AC"/>
    <w:rsid w:val="00087690"/>
    <w:rsid w:val="00094A98"/>
    <w:rsid w:val="000A754D"/>
    <w:rsid w:val="000D19A2"/>
    <w:rsid w:val="000E585E"/>
    <w:rsid w:val="000E7066"/>
    <w:rsid w:val="000E7674"/>
    <w:rsid w:val="0011118F"/>
    <w:rsid w:val="001174E6"/>
    <w:rsid w:val="00144EE3"/>
    <w:rsid w:val="0016049B"/>
    <w:rsid w:val="001605C1"/>
    <w:rsid w:val="00163B7B"/>
    <w:rsid w:val="00164419"/>
    <w:rsid w:val="00175B27"/>
    <w:rsid w:val="00175FA0"/>
    <w:rsid w:val="0018039E"/>
    <w:rsid w:val="00180405"/>
    <w:rsid w:val="00183B93"/>
    <w:rsid w:val="0018632F"/>
    <w:rsid w:val="001B1770"/>
    <w:rsid w:val="001C1E6A"/>
    <w:rsid w:val="001C4019"/>
    <w:rsid w:val="001C4B75"/>
    <w:rsid w:val="001E17EA"/>
    <w:rsid w:val="001E32E7"/>
    <w:rsid w:val="001E7AE5"/>
    <w:rsid w:val="001F00F9"/>
    <w:rsid w:val="001F1686"/>
    <w:rsid w:val="001F3BDD"/>
    <w:rsid w:val="001F4FBE"/>
    <w:rsid w:val="002015C3"/>
    <w:rsid w:val="00212725"/>
    <w:rsid w:val="002156AE"/>
    <w:rsid w:val="002336A8"/>
    <w:rsid w:val="002354E7"/>
    <w:rsid w:val="00240413"/>
    <w:rsid w:val="002414F2"/>
    <w:rsid w:val="00254682"/>
    <w:rsid w:val="002566E1"/>
    <w:rsid w:val="00267A81"/>
    <w:rsid w:val="00283E77"/>
    <w:rsid w:val="002864D0"/>
    <w:rsid w:val="00290976"/>
    <w:rsid w:val="002A4977"/>
    <w:rsid w:val="002A7C2B"/>
    <w:rsid w:val="002B031A"/>
    <w:rsid w:val="002B0A64"/>
    <w:rsid w:val="002B3E1F"/>
    <w:rsid w:val="002E0553"/>
    <w:rsid w:val="002E0E8B"/>
    <w:rsid w:val="002F03A2"/>
    <w:rsid w:val="002F4BF1"/>
    <w:rsid w:val="00306317"/>
    <w:rsid w:val="0030641A"/>
    <w:rsid w:val="00314BD2"/>
    <w:rsid w:val="00334A43"/>
    <w:rsid w:val="003B010D"/>
    <w:rsid w:val="003B6D10"/>
    <w:rsid w:val="003C19B3"/>
    <w:rsid w:val="003C1CFA"/>
    <w:rsid w:val="003C7BEF"/>
    <w:rsid w:val="003D4331"/>
    <w:rsid w:val="003E07CD"/>
    <w:rsid w:val="003E47E8"/>
    <w:rsid w:val="003F1773"/>
    <w:rsid w:val="003F775D"/>
    <w:rsid w:val="00425273"/>
    <w:rsid w:val="00430414"/>
    <w:rsid w:val="00440CB5"/>
    <w:rsid w:val="00442AB6"/>
    <w:rsid w:val="00447CD5"/>
    <w:rsid w:val="0045007E"/>
    <w:rsid w:val="00450779"/>
    <w:rsid w:val="004815DF"/>
    <w:rsid w:val="004952B2"/>
    <w:rsid w:val="004A5E15"/>
    <w:rsid w:val="004A7F11"/>
    <w:rsid w:val="004B1587"/>
    <w:rsid w:val="004B50B2"/>
    <w:rsid w:val="004B5840"/>
    <w:rsid w:val="004C24ED"/>
    <w:rsid w:val="004C55F3"/>
    <w:rsid w:val="004D2D3D"/>
    <w:rsid w:val="005100B1"/>
    <w:rsid w:val="005162D7"/>
    <w:rsid w:val="00520612"/>
    <w:rsid w:val="00524224"/>
    <w:rsid w:val="00547760"/>
    <w:rsid w:val="00561E83"/>
    <w:rsid w:val="00573B51"/>
    <w:rsid w:val="00585C26"/>
    <w:rsid w:val="00593A95"/>
    <w:rsid w:val="005A0BC8"/>
    <w:rsid w:val="005C4204"/>
    <w:rsid w:val="005D124E"/>
    <w:rsid w:val="005D297E"/>
    <w:rsid w:val="005D7B6A"/>
    <w:rsid w:val="005E6331"/>
    <w:rsid w:val="005F0279"/>
    <w:rsid w:val="005F363D"/>
    <w:rsid w:val="005F7B5D"/>
    <w:rsid w:val="00602728"/>
    <w:rsid w:val="00602C0B"/>
    <w:rsid w:val="00606B4A"/>
    <w:rsid w:val="00607E07"/>
    <w:rsid w:val="00614C74"/>
    <w:rsid w:val="006206C7"/>
    <w:rsid w:val="0062162D"/>
    <w:rsid w:val="00622A3E"/>
    <w:rsid w:val="00622D53"/>
    <w:rsid w:val="00626967"/>
    <w:rsid w:val="00630BA3"/>
    <w:rsid w:val="00634C51"/>
    <w:rsid w:val="00663823"/>
    <w:rsid w:val="00672D2F"/>
    <w:rsid w:val="006812CD"/>
    <w:rsid w:val="00691DAA"/>
    <w:rsid w:val="00692261"/>
    <w:rsid w:val="006A2FAB"/>
    <w:rsid w:val="006C4936"/>
    <w:rsid w:val="006D7724"/>
    <w:rsid w:val="006E0B19"/>
    <w:rsid w:val="006E7431"/>
    <w:rsid w:val="0072062B"/>
    <w:rsid w:val="00720A5D"/>
    <w:rsid w:val="007277BD"/>
    <w:rsid w:val="007311BA"/>
    <w:rsid w:val="00733A9C"/>
    <w:rsid w:val="00733B5C"/>
    <w:rsid w:val="00751EB8"/>
    <w:rsid w:val="00763B08"/>
    <w:rsid w:val="00765253"/>
    <w:rsid w:val="00765511"/>
    <w:rsid w:val="0076714E"/>
    <w:rsid w:val="00770EF1"/>
    <w:rsid w:val="00777068"/>
    <w:rsid w:val="00780D16"/>
    <w:rsid w:val="00782517"/>
    <w:rsid w:val="00782D73"/>
    <w:rsid w:val="0079744B"/>
    <w:rsid w:val="007A0105"/>
    <w:rsid w:val="007C48C6"/>
    <w:rsid w:val="007C7DA8"/>
    <w:rsid w:val="007D73C0"/>
    <w:rsid w:val="007E04BC"/>
    <w:rsid w:val="007E6D65"/>
    <w:rsid w:val="007F66CE"/>
    <w:rsid w:val="00812C55"/>
    <w:rsid w:val="00812C93"/>
    <w:rsid w:val="00831BAA"/>
    <w:rsid w:val="008450C6"/>
    <w:rsid w:val="00852B82"/>
    <w:rsid w:val="00860AE1"/>
    <w:rsid w:val="00877834"/>
    <w:rsid w:val="00891812"/>
    <w:rsid w:val="00891E09"/>
    <w:rsid w:val="008A540B"/>
    <w:rsid w:val="008A779C"/>
    <w:rsid w:val="008C682F"/>
    <w:rsid w:val="008E5C2F"/>
    <w:rsid w:val="008F14F3"/>
    <w:rsid w:val="008F24C6"/>
    <w:rsid w:val="00901734"/>
    <w:rsid w:val="0090697A"/>
    <w:rsid w:val="00921091"/>
    <w:rsid w:val="009429D1"/>
    <w:rsid w:val="00944A88"/>
    <w:rsid w:val="0094539E"/>
    <w:rsid w:val="009516AF"/>
    <w:rsid w:val="009557A8"/>
    <w:rsid w:val="00964A6B"/>
    <w:rsid w:val="009661EF"/>
    <w:rsid w:val="00985B35"/>
    <w:rsid w:val="00985CB0"/>
    <w:rsid w:val="00990152"/>
    <w:rsid w:val="00992D21"/>
    <w:rsid w:val="009965E7"/>
    <w:rsid w:val="009A1A66"/>
    <w:rsid w:val="009B629F"/>
    <w:rsid w:val="009B72DB"/>
    <w:rsid w:val="009C0B8F"/>
    <w:rsid w:val="009C0CA1"/>
    <w:rsid w:val="009C6B8E"/>
    <w:rsid w:val="009D2BA0"/>
    <w:rsid w:val="009E51F7"/>
    <w:rsid w:val="009F7B79"/>
    <w:rsid w:val="00A055B4"/>
    <w:rsid w:val="00A108C3"/>
    <w:rsid w:val="00A1336B"/>
    <w:rsid w:val="00A258B3"/>
    <w:rsid w:val="00A279F9"/>
    <w:rsid w:val="00A32870"/>
    <w:rsid w:val="00A3564B"/>
    <w:rsid w:val="00A433A3"/>
    <w:rsid w:val="00A4376F"/>
    <w:rsid w:val="00A43CA0"/>
    <w:rsid w:val="00A46EB0"/>
    <w:rsid w:val="00A4758E"/>
    <w:rsid w:val="00A60E8A"/>
    <w:rsid w:val="00A73EC7"/>
    <w:rsid w:val="00A76FEA"/>
    <w:rsid w:val="00A857C3"/>
    <w:rsid w:val="00A858B4"/>
    <w:rsid w:val="00A95AA5"/>
    <w:rsid w:val="00AB3450"/>
    <w:rsid w:val="00AC26D1"/>
    <w:rsid w:val="00AC33F3"/>
    <w:rsid w:val="00AF6072"/>
    <w:rsid w:val="00B174BC"/>
    <w:rsid w:val="00B233EC"/>
    <w:rsid w:val="00B33034"/>
    <w:rsid w:val="00B42CBC"/>
    <w:rsid w:val="00B451B8"/>
    <w:rsid w:val="00B45C37"/>
    <w:rsid w:val="00B61146"/>
    <w:rsid w:val="00B6629C"/>
    <w:rsid w:val="00B70E0E"/>
    <w:rsid w:val="00B84049"/>
    <w:rsid w:val="00B84AE5"/>
    <w:rsid w:val="00B86BA2"/>
    <w:rsid w:val="00B86BF0"/>
    <w:rsid w:val="00B94A59"/>
    <w:rsid w:val="00BA28E3"/>
    <w:rsid w:val="00BA434B"/>
    <w:rsid w:val="00BC4AC3"/>
    <w:rsid w:val="00BC4BD1"/>
    <w:rsid w:val="00BD7D82"/>
    <w:rsid w:val="00BE6B13"/>
    <w:rsid w:val="00C007D7"/>
    <w:rsid w:val="00C03954"/>
    <w:rsid w:val="00C12BBB"/>
    <w:rsid w:val="00C13BB6"/>
    <w:rsid w:val="00C13D40"/>
    <w:rsid w:val="00C16B9B"/>
    <w:rsid w:val="00C22D91"/>
    <w:rsid w:val="00C23D2B"/>
    <w:rsid w:val="00C37279"/>
    <w:rsid w:val="00C50517"/>
    <w:rsid w:val="00C51F4B"/>
    <w:rsid w:val="00C545A3"/>
    <w:rsid w:val="00C54BBC"/>
    <w:rsid w:val="00C65B9E"/>
    <w:rsid w:val="00C715BB"/>
    <w:rsid w:val="00C7386B"/>
    <w:rsid w:val="00C749A7"/>
    <w:rsid w:val="00C77782"/>
    <w:rsid w:val="00C93788"/>
    <w:rsid w:val="00C96C59"/>
    <w:rsid w:val="00CA05C9"/>
    <w:rsid w:val="00CB347E"/>
    <w:rsid w:val="00CD127D"/>
    <w:rsid w:val="00CD4058"/>
    <w:rsid w:val="00CD55C7"/>
    <w:rsid w:val="00CD723A"/>
    <w:rsid w:val="00CF3418"/>
    <w:rsid w:val="00D02492"/>
    <w:rsid w:val="00D22D78"/>
    <w:rsid w:val="00D559B2"/>
    <w:rsid w:val="00D62CEF"/>
    <w:rsid w:val="00D66A81"/>
    <w:rsid w:val="00D7384A"/>
    <w:rsid w:val="00D92917"/>
    <w:rsid w:val="00D96D5C"/>
    <w:rsid w:val="00DB202B"/>
    <w:rsid w:val="00DB770A"/>
    <w:rsid w:val="00DC2A5E"/>
    <w:rsid w:val="00DC62BC"/>
    <w:rsid w:val="00DD4B2E"/>
    <w:rsid w:val="00DE38B0"/>
    <w:rsid w:val="00DE4405"/>
    <w:rsid w:val="00DE730F"/>
    <w:rsid w:val="00DF1780"/>
    <w:rsid w:val="00DF664C"/>
    <w:rsid w:val="00E0064D"/>
    <w:rsid w:val="00E17536"/>
    <w:rsid w:val="00E32F10"/>
    <w:rsid w:val="00E36B12"/>
    <w:rsid w:val="00E4338B"/>
    <w:rsid w:val="00E54801"/>
    <w:rsid w:val="00E55E1F"/>
    <w:rsid w:val="00E65EB2"/>
    <w:rsid w:val="00E667FE"/>
    <w:rsid w:val="00E72D24"/>
    <w:rsid w:val="00E735C9"/>
    <w:rsid w:val="00E8374C"/>
    <w:rsid w:val="00E84B3C"/>
    <w:rsid w:val="00E84F29"/>
    <w:rsid w:val="00E85BF1"/>
    <w:rsid w:val="00E9728E"/>
    <w:rsid w:val="00EA3D68"/>
    <w:rsid w:val="00EA4C79"/>
    <w:rsid w:val="00ED76A0"/>
    <w:rsid w:val="00EF7B69"/>
    <w:rsid w:val="00F021C5"/>
    <w:rsid w:val="00F06301"/>
    <w:rsid w:val="00F11BC5"/>
    <w:rsid w:val="00F1356E"/>
    <w:rsid w:val="00F21679"/>
    <w:rsid w:val="00F237F2"/>
    <w:rsid w:val="00F40E14"/>
    <w:rsid w:val="00F5482A"/>
    <w:rsid w:val="00F620EF"/>
    <w:rsid w:val="00F657CC"/>
    <w:rsid w:val="00F751B3"/>
    <w:rsid w:val="00F754C8"/>
    <w:rsid w:val="00F763C8"/>
    <w:rsid w:val="00F87C93"/>
    <w:rsid w:val="00F92D0D"/>
    <w:rsid w:val="00F96117"/>
    <w:rsid w:val="00F96F33"/>
    <w:rsid w:val="00F97BCD"/>
    <w:rsid w:val="00FB6E7E"/>
    <w:rsid w:val="00FC47AD"/>
    <w:rsid w:val="00FC56DF"/>
    <w:rsid w:val="00FE54BD"/>
    <w:rsid w:val="00FE6BA3"/>
    <w:rsid w:val="00FF0B85"/>
    <w:rsid w:val="00FF1132"/>
    <w:rsid w:val="00FF1762"/>
    <w:rsid w:val="00FF6B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0C8B"/>
  <w15:docId w15:val="{D0C0A006-38AB-47D6-85BC-8D054A48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072"/>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Normal"/>
    <w:next w:val="Normal"/>
    <w:link w:val="Heading2Char"/>
    <w:qFormat/>
    <w:rsid w:val="00C37279"/>
    <w:pPr>
      <w:outlineLvl w:val="1"/>
    </w:pPr>
    <w:rPr>
      <w:b/>
      <w:bCs/>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Heading2"/>
    <w:next w:val="Recref"/>
    <w:rsid w:val="000D19A2"/>
    <w:rPr>
      <w:b w:val="0"/>
    </w:rPr>
  </w:style>
  <w:style w:type="paragraph" w:customStyle="1" w:styleId="Recref">
    <w:name w:val="Rec_ref"/>
    <w:basedOn w:val="Rectitle"/>
    <w:next w:val="Recdate"/>
    <w:rsid w:val="00802953"/>
    <w:rPr>
      <w:b/>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character" w:styleId="UnresolvedMention">
    <w:name w:val="Unresolved Mention"/>
    <w:basedOn w:val="DefaultParagraphFont"/>
    <w:uiPriority w:val="99"/>
    <w:semiHidden/>
    <w:unhideWhenUsed/>
    <w:rsid w:val="008450C6"/>
    <w:rPr>
      <w:color w:val="605E5C"/>
      <w:shd w:val="clear" w:color="auto" w:fill="E1DFDD"/>
    </w:rPr>
  </w:style>
  <w:style w:type="paragraph" w:styleId="ListParagraph">
    <w:name w:val="List Paragraph"/>
    <w:basedOn w:val="Normal"/>
    <w:qFormat/>
    <w:rsid w:val="008450C6"/>
    <w:pPr>
      <w:ind w:left="720"/>
      <w:contextualSpacing/>
    </w:pPr>
  </w:style>
  <w:style w:type="character" w:customStyle="1" w:styleId="Heading2Char">
    <w:name w:val="Heading 2 Char"/>
    <w:basedOn w:val="DefaultParagraphFont"/>
    <w:link w:val="Heading2"/>
    <w:rsid w:val="00C37279"/>
    <w:rPr>
      <w:rFonts w:ascii="Calibri" w:hAnsi="Calibri"/>
      <w:b/>
      <w:bCs/>
      <w:sz w:val="24"/>
      <w:lang w:eastAsia="en-US"/>
    </w:rPr>
  </w:style>
  <w:style w:type="paragraph" w:styleId="BodyText">
    <w:name w:val="Body Text"/>
    <w:basedOn w:val="Normal"/>
    <w:link w:val="BodyTextChar"/>
    <w:rsid w:val="005162D7"/>
    <w:pPr>
      <w:spacing w:after="120"/>
    </w:pPr>
  </w:style>
  <w:style w:type="character" w:customStyle="1" w:styleId="BodyTextChar">
    <w:name w:val="Body Text Char"/>
    <w:basedOn w:val="DefaultParagraphFont"/>
    <w:link w:val="BodyText"/>
    <w:rsid w:val="005162D7"/>
    <w:rPr>
      <w:rFonts w:ascii="Calibri" w:hAnsi="Calibri"/>
      <w:sz w:val="24"/>
      <w:lang w:eastAsia="en-US"/>
    </w:rPr>
  </w:style>
  <w:style w:type="paragraph" w:customStyle="1" w:styleId="Docnumber">
    <w:name w:val="Docnumber"/>
    <w:basedOn w:val="Tabletext"/>
    <w:rsid w:val="00A95AA5"/>
    <w:pPr>
      <w:framePr w:hSpace="181" w:wrap="around" w:vAnchor="page" w:hAnchor="margin" w:xAlign="center" w:y="664"/>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8891">
      <w:bodyDiv w:val="1"/>
      <w:marLeft w:val="0"/>
      <w:marRight w:val="0"/>
      <w:marTop w:val="0"/>
      <w:marBottom w:val="0"/>
      <w:divBdr>
        <w:top w:val="none" w:sz="0" w:space="0" w:color="auto"/>
        <w:left w:val="none" w:sz="0" w:space="0" w:color="auto"/>
        <w:bottom w:val="none" w:sz="0" w:space="0" w:color="auto"/>
        <w:right w:val="none" w:sz="0" w:space="0" w:color="auto"/>
      </w:divBdr>
    </w:div>
    <w:div w:id="102071770">
      <w:bodyDiv w:val="1"/>
      <w:marLeft w:val="0"/>
      <w:marRight w:val="0"/>
      <w:marTop w:val="0"/>
      <w:marBottom w:val="0"/>
      <w:divBdr>
        <w:top w:val="none" w:sz="0" w:space="0" w:color="auto"/>
        <w:left w:val="none" w:sz="0" w:space="0" w:color="auto"/>
        <w:bottom w:val="none" w:sz="0" w:space="0" w:color="auto"/>
        <w:right w:val="none" w:sz="0" w:space="0" w:color="auto"/>
      </w:divBdr>
    </w:div>
    <w:div w:id="161507247">
      <w:bodyDiv w:val="1"/>
      <w:marLeft w:val="0"/>
      <w:marRight w:val="0"/>
      <w:marTop w:val="0"/>
      <w:marBottom w:val="0"/>
      <w:divBdr>
        <w:top w:val="none" w:sz="0" w:space="0" w:color="auto"/>
        <w:left w:val="none" w:sz="0" w:space="0" w:color="auto"/>
        <w:bottom w:val="none" w:sz="0" w:space="0" w:color="auto"/>
        <w:right w:val="none" w:sz="0" w:space="0" w:color="auto"/>
      </w:divBdr>
    </w:div>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354693145">
      <w:bodyDiv w:val="1"/>
      <w:marLeft w:val="0"/>
      <w:marRight w:val="0"/>
      <w:marTop w:val="0"/>
      <w:marBottom w:val="0"/>
      <w:divBdr>
        <w:top w:val="none" w:sz="0" w:space="0" w:color="auto"/>
        <w:left w:val="none" w:sz="0" w:space="0" w:color="auto"/>
        <w:bottom w:val="none" w:sz="0" w:space="0" w:color="auto"/>
        <w:right w:val="none" w:sz="0" w:space="0" w:color="auto"/>
      </w:divBdr>
    </w:div>
    <w:div w:id="464277008">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588513348">
      <w:bodyDiv w:val="1"/>
      <w:marLeft w:val="0"/>
      <w:marRight w:val="0"/>
      <w:marTop w:val="0"/>
      <w:marBottom w:val="0"/>
      <w:divBdr>
        <w:top w:val="none" w:sz="0" w:space="0" w:color="auto"/>
        <w:left w:val="none" w:sz="0" w:space="0" w:color="auto"/>
        <w:bottom w:val="none" w:sz="0" w:space="0" w:color="auto"/>
        <w:right w:val="none" w:sz="0" w:space="0" w:color="auto"/>
      </w:divBdr>
    </w:div>
    <w:div w:id="650795377">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20593741">
      <w:bodyDiv w:val="1"/>
      <w:marLeft w:val="0"/>
      <w:marRight w:val="0"/>
      <w:marTop w:val="0"/>
      <w:marBottom w:val="0"/>
      <w:divBdr>
        <w:top w:val="none" w:sz="0" w:space="0" w:color="auto"/>
        <w:left w:val="none" w:sz="0" w:space="0" w:color="auto"/>
        <w:bottom w:val="none" w:sz="0" w:space="0" w:color="auto"/>
        <w:right w:val="none" w:sz="0" w:space="0" w:color="auto"/>
      </w:divBdr>
    </w:div>
    <w:div w:id="729499490">
      <w:bodyDiv w:val="1"/>
      <w:marLeft w:val="0"/>
      <w:marRight w:val="0"/>
      <w:marTop w:val="0"/>
      <w:marBottom w:val="0"/>
      <w:divBdr>
        <w:top w:val="none" w:sz="0" w:space="0" w:color="auto"/>
        <w:left w:val="none" w:sz="0" w:space="0" w:color="auto"/>
        <w:bottom w:val="none" w:sz="0" w:space="0" w:color="auto"/>
        <w:right w:val="none" w:sz="0" w:space="0" w:color="auto"/>
      </w:divBdr>
    </w:div>
    <w:div w:id="794637985">
      <w:bodyDiv w:val="1"/>
      <w:marLeft w:val="0"/>
      <w:marRight w:val="0"/>
      <w:marTop w:val="0"/>
      <w:marBottom w:val="0"/>
      <w:divBdr>
        <w:top w:val="none" w:sz="0" w:space="0" w:color="auto"/>
        <w:left w:val="none" w:sz="0" w:space="0" w:color="auto"/>
        <w:bottom w:val="none" w:sz="0" w:space="0" w:color="auto"/>
        <w:right w:val="none" w:sz="0" w:space="0" w:color="auto"/>
      </w:divBdr>
    </w:div>
    <w:div w:id="798184179">
      <w:bodyDiv w:val="1"/>
      <w:marLeft w:val="0"/>
      <w:marRight w:val="0"/>
      <w:marTop w:val="0"/>
      <w:marBottom w:val="0"/>
      <w:divBdr>
        <w:top w:val="none" w:sz="0" w:space="0" w:color="auto"/>
        <w:left w:val="none" w:sz="0" w:space="0" w:color="auto"/>
        <w:bottom w:val="none" w:sz="0" w:space="0" w:color="auto"/>
        <w:right w:val="none" w:sz="0" w:space="0" w:color="auto"/>
      </w:divBdr>
    </w:div>
    <w:div w:id="799223472">
      <w:bodyDiv w:val="1"/>
      <w:marLeft w:val="0"/>
      <w:marRight w:val="0"/>
      <w:marTop w:val="0"/>
      <w:marBottom w:val="0"/>
      <w:divBdr>
        <w:top w:val="none" w:sz="0" w:space="0" w:color="auto"/>
        <w:left w:val="none" w:sz="0" w:space="0" w:color="auto"/>
        <w:bottom w:val="none" w:sz="0" w:space="0" w:color="auto"/>
        <w:right w:val="none" w:sz="0" w:space="0" w:color="auto"/>
      </w:divBdr>
    </w:div>
    <w:div w:id="856624573">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154371846">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643731509">
      <w:bodyDiv w:val="1"/>
      <w:marLeft w:val="0"/>
      <w:marRight w:val="0"/>
      <w:marTop w:val="0"/>
      <w:marBottom w:val="0"/>
      <w:divBdr>
        <w:top w:val="none" w:sz="0" w:space="0" w:color="auto"/>
        <w:left w:val="none" w:sz="0" w:space="0" w:color="auto"/>
        <w:bottom w:val="none" w:sz="0" w:space="0" w:color="auto"/>
        <w:right w:val="none" w:sz="0" w:space="0" w:color="auto"/>
      </w:divBdr>
    </w:div>
    <w:div w:id="1660309662">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 w:id="1795442223">
      <w:bodyDiv w:val="1"/>
      <w:marLeft w:val="0"/>
      <w:marRight w:val="0"/>
      <w:marTop w:val="0"/>
      <w:marBottom w:val="0"/>
      <w:divBdr>
        <w:top w:val="none" w:sz="0" w:space="0" w:color="auto"/>
        <w:left w:val="none" w:sz="0" w:space="0" w:color="auto"/>
        <w:bottom w:val="none" w:sz="0" w:space="0" w:color="auto"/>
        <w:right w:val="none" w:sz="0" w:space="0" w:color="auto"/>
      </w:divBdr>
    </w:div>
    <w:div w:id="1835532735">
      <w:bodyDiv w:val="1"/>
      <w:marLeft w:val="0"/>
      <w:marRight w:val="0"/>
      <w:marTop w:val="0"/>
      <w:marBottom w:val="0"/>
      <w:divBdr>
        <w:top w:val="none" w:sz="0" w:space="0" w:color="auto"/>
        <w:left w:val="none" w:sz="0" w:space="0" w:color="auto"/>
        <w:bottom w:val="none" w:sz="0" w:space="0" w:color="auto"/>
        <w:right w:val="none" w:sz="0" w:space="0" w:color="auto"/>
      </w:divBdr>
    </w:div>
    <w:div w:id="1993871506">
      <w:bodyDiv w:val="1"/>
      <w:marLeft w:val="0"/>
      <w:marRight w:val="0"/>
      <w:marTop w:val="0"/>
      <w:marBottom w:val="0"/>
      <w:divBdr>
        <w:top w:val="none" w:sz="0" w:space="0" w:color="auto"/>
        <w:left w:val="none" w:sz="0" w:space="0" w:color="auto"/>
        <w:bottom w:val="none" w:sz="0" w:space="0" w:color="auto"/>
        <w:right w:val="none" w:sz="0" w:space="0" w:color="auto"/>
      </w:divBdr>
    </w:div>
    <w:div w:id="19946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meetingdoc.asp?lang=en&amp;parent=T25-SG17-R-00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p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md/T25-SG17-COL-0005/en"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mailto:tsbdir@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B86B6-BBD1-4D11-A202-13D07048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TAP_Circular_1-E.dotx</Template>
  <TotalTime>184</TotalTime>
  <Pages>4</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7209</CharactersWithSpaces>
  <SharedDoc>false</SharedDoc>
  <HLinks>
    <vt:vector size="36" baseType="variant">
      <vt:variant>
        <vt:i4>6881370</vt:i4>
      </vt:variant>
      <vt:variant>
        <vt:i4>9</vt:i4>
      </vt:variant>
      <vt:variant>
        <vt:i4>0</vt:i4>
      </vt:variant>
      <vt:variant>
        <vt:i4>5</vt:i4>
      </vt:variant>
      <vt:variant>
        <vt:lpwstr>mailto:tsbdir@itu.int</vt:lpwstr>
      </vt:variant>
      <vt:variant>
        <vt:lpwstr/>
      </vt:variant>
      <vt:variant>
        <vt:i4>4128828</vt:i4>
      </vt:variant>
      <vt:variant>
        <vt:i4>6</vt:i4>
      </vt:variant>
      <vt:variant>
        <vt:i4>0</vt:i4>
      </vt:variant>
      <vt:variant>
        <vt:i4>5</vt:i4>
      </vt:variant>
      <vt:variant>
        <vt:lpwstr>http://www.itu.int/pub/T-SP</vt:lpwstr>
      </vt:variant>
      <vt:variant>
        <vt:lpwstr/>
      </vt:variant>
      <vt:variant>
        <vt:i4>2555919</vt:i4>
      </vt:variant>
      <vt:variant>
        <vt:i4>3</vt:i4>
      </vt:variant>
      <vt:variant>
        <vt:i4>0</vt:i4>
      </vt:variant>
      <vt:variant>
        <vt:i4>5</vt:i4>
      </vt:variant>
      <vt:variant>
        <vt:lpwstr>mailto:tsbsg15@itu.int</vt:lpwstr>
      </vt:variant>
      <vt:variant>
        <vt:lpwstr/>
      </vt:variant>
      <vt:variant>
        <vt:i4>2752612</vt:i4>
      </vt:variant>
      <vt:variant>
        <vt:i4>0</vt:i4>
      </vt:variant>
      <vt:variant>
        <vt:i4>0</vt:i4>
      </vt:variant>
      <vt:variant>
        <vt:i4>5</vt:i4>
      </vt:variant>
      <vt:variant>
        <vt:lpwstr>http://www.itu.int/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
  <cp:lastModifiedBy>Braud, Olivia</cp:lastModifiedBy>
  <cp:revision>17</cp:revision>
  <cp:lastPrinted>2025-10-27T10:24:00Z</cp:lastPrinted>
  <dcterms:created xsi:type="dcterms:W3CDTF">2025-10-15T15:32:00Z</dcterms:created>
  <dcterms:modified xsi:type="dcterms:W3CDTF">2025-10-27T10:24:00Z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ies>
</file>