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279"/>
        <w:gridCol w:w="3399"/>
        <w:gridCol w:w="5051"/>
      </w:tblGrid>
      <w:tr w:rsidR="00EF6A23" w:rsidRPr="00231CF1" w14:paraId="3FDAE1F3" w14:textId="77777777" w:rsidTr="003F083D">
        <w:trPr>
          <w:cantSplit/>
        </w:trPr>
        <w:tc>
          <w:tcPr>
            <w:tcW w:w="0" w:type="auto"/>
            <w:vAlign w:val="center"/>
          </w:tcPr>
          <w:p w14:paraId="3DE42CAA" w14:textId="77777777" w:rsidR="00EF6A23" w:rsidRPr="00231CF1" w:rsidRDefault="00EF6A23" w:rsidP="00D14F31">
            <w:pPr>
              <w:tabs>
                <w:tab w:val="right" w:pos="8732"/>
              </w:tabs>
              <w:spacing w:before="0"/>
              <w:rPr>
                <w:b/>
                <w:bCs/>
                <w:iCs/>
                <w:color w:val="FFFFFF"/>
                <w:sz w:val="30"/>
                <w:szCs w:val="30"/>
              </w:rPr>
            </w:pPr>
            <w:r w:rsidRPr="00231CF1">
              <w:rPr>
                <w:noProof/>
                <w:lang w:eastAsia="zh-CN"/>
              </w:rPr>
              <w:drawing>
                <wp:inline distT="0" distB="0" distL="0" distR="0" wp14:anchorId="05764050" wp14:editId="248DEEAB">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0" w:type="auto"/>
            <w:gridSpan w:val="2"/>
            <w:vAlign w:val="center"/>
          </w:tcPr>
          <w:p w14:paraId="75924CEF" w14:textId="77777777" w:rsidR="00EF6A23" w:rsidRPr="00231CF1" w:rsidRDefault="00EF6A23" w:rsidP="00EF6A23">
            <w:pPr>
              <w:spacing w:before="0"/>
              <w:rPr>
                <w:rFonts w:cs="Times New Roman Bold"/>
                <w:b/>
                <w:bCs/>
                <w:iCs/>
                <w:smallCaps/>
                <w:sz w:val="34"/>
                <w:szCs w:val="34"/>
              </w:rPr>
            </w:pPr>
            <w:r w:rsidRPr="00231CF1">
              <w:rPr>
                <w:rFonts w:cs="Times New Roman Bold"/>
                <w:b/>
                <w:bCs/>
                <w:iCs/>
                <w:smallCaps/>
                <w:sz w:val="34"/>
                <w:szCs w:val="34"/>
              </w:rPr>
              <w:t>Union internationale des télécommunications</w:t>
            </w:r>
          </w:p>
          <w:p w14:paraId="089E66D0" w14:textId="77777777" w:rsidR="00EF6A23" w:rsidRPr="00231CF1" w:rsidRDefault="00EF6A23" w:rsidP="00EF6A23">
            <w:pPr>
              <w:spacing w:before="0"/>
              <w:rPr>
                <w:color w:val="FFFFFF"/>
                <w:sz w:val="26"/>
                <w:szCs w:val="26"/>
              </w:rPr>
            </w:pPr>
            <w:r w:rsidRPr="00231CF1">
              <w:rPr>
                <w:rFonts w:cs="Times New Roman Bold"/>
                <w:b/>
                <w:bCs/>
                <w:iCs/>
                <w:smallCaps/>
                <w:sz w:val="28"/>
                <w:szCs w:val="28"/>
              </w:rPr>
              <w:t>B</w:t>
            </w:r>
            <w:r w:rsidRPr="00231CF1">
              <w:rPr>
                <w:b/>
                <w:bCs/>
                <w:iCs/>
                <w:smallCaps/>
                <w:sz w:val="28"/>
                <w:szCs w:val="28"/>
              </w:rPr>
              <w:t>ureau de la Normalisation des Télécommunications</w:t>
            </w:r>
          </w:p>
        </w:tc>
      </w:tr>
      <w:tr w:rsidR="00036F4F" w:rsidRPr="00B85F29" w14:paraId="18B25741" w14:textId="77777777" w:rsidTr="00307FB4">
        <w:trPr>
          <w:cantSplit/>
        </w:trPr>
        <w:tc>
          <w:tcPr>
            <w:tcW w:w="0" w:type="auto"/>
          </w:tcPr>
          <w:p w14:paraId="4B1AFD72" w14:textId="77777777" w:rsidR="00036F4F" w:rsidRPr="00B85F29" w:rsidRDefault="00036F4F" w:rsidP="00A5280F">
            <w:pPr>
              <w:tabs>
                <w:tab w:val="left" w:pos="4111"/>
              </w:tabs>
              <w:spacing w:before="10"/>
              <w:ind w:left="57"/>
              <w:rPr>
                <w:sz w:val="22"/>
                <w:szCs w:val="22"/>
              </w:rPr>
            </w:pPr>
          </w:p>
        </w:tc>
        <w:tc>
          <w:tcPr>
            <w:tcW w:w="3399" w:type="dxa"/>
          </w:tcPr>
          <w:p w14:paraId="6579D3E8" w14:textId="77777777" w:rsidR="00036F4F" w:rsidRPr="00B85F29" w:rsidRDefault="00036F4F" w:rsidP="00A5280F">
            <w:pPr>
              <w:tabs>
                <w:tab w:val="left" w:pos="4111"/>
              </w:tabs>
              <w:spacing w:before="10"/>
              <w:ind w:left="57"/>
              <w:rPr>
                <w:b/>
                <w:sz w:val="22"/>
                <w:szCs w:val="22"/>
              </w:rPr>
            </w:pPr>
          </w:p>
        </w:tc>
        <w:tc>
          <w:tcPr>
            <w:tcW w:w="5051" w:type="dxa"/>
          </w:tcPr>
          <w:p w14:paraId="0DC34ECA" w14:textId="2FC60E30" w:rsidR="00036F4F" w:rsidRPr="00B85F29" w:rsidRDefault="00036F4F" w:rsidP="00A5645A">
            <w:pPr>
              <w:tabs>
                <w:tab w:val="clear" w:pos="794"/>
                <w:tab w:val="clear" w:pos="1191"/>
                <w:tab w:val="clear" w:pos="1588"/>
                <w:tab w:val="clear" w:pos="1985"/>
                <w:tab w:val="left" w:pos="284"/>
              </w:tabs>
              <w:spacing w:after="120"/>
              <w:ind w:left="284" w:hanging="227"/>
              <w:rPr>
                <w:sz w:val="22"/>
                <w:szCs w:val="22"/>
              </w:rPr>
            </w:pPr>
            <w:r w:rsidRPr="00B85F29">
              <w:rPr>
                <w:sz w:val="22"/>
                <w:szCs w:val="22"/>
              </w:rPr>
              <w:t>Genève, le</w:t>
            </w:r>
            <w:r w:rsidR="004419E9" w:rsidRPr="00B85F29">
              <w:rPr>
                <w:sz w:val="22"/>
                <w:szCs w:val="22"/>
              </w:rPr>
              <w:t xml:space="preserve"> </w:t>
            </w:r>
            <w:r w:rsidR="00023BE3" w:rsidRPr="00B85F29">
              <w:rPr>
                <w:sz w:val="22"/>
                <w:szCs w:val="22"/>
              </w:rPr>
              <w:t>15 octobre 2025</w:t>
            </w:r>
          </w:p>
        </w:tc>
      </w:tr>
      <w:tr w:rsidR="00445B68" w:rsidRPr="00B85F29" w14:paraId="16CDDFEF" w14:textId="77777777" w:rsidTr="00231CF1">
        <w:trPr>
          <w:cantSplit/>
          <w:trHeight w:val="450"/>
        </w:trPr>
        <w:tc>
          <w:tcPr>
            <w:tcW w:w="0" w:type="auto"/>
          </w:tcPr>
          <w:p w14:paraId="3EFF375D" w14:textId="58556577" w:rsidR="00445B68" w:rsidRPr="00B85F29" w:rsidRDefault="00445B68" w:rsidP="006A7850">
            <w:pPr>
              <w:tabs>
                <w:tab w:val="left" w:pos="4111"/>
              </w:tabs>
              <w:spacing w:before="10"/>
              <w:rPr>
                <w:b/>
                <w:bCs/>
                <w:sz w:val="22"/>
                <w:szCs w:val="22"/>
              </w:rPr>
            </w:pPr>
            <w:proofErr w:type="gramStart"/>
            <w:r w:rsidRPr="00B85F29">
              <w:rPr>
                <w:b/>
                <w:bCs/>
                <w:sz w:val="22"/>
                <w:szCs w:val="22"/>
              </w:rPr>
              <w:t>Réf.:</w:t>
            </w:r>
            <w:proofErr w:type="gramEnd"/>
          </w:p>
        </w:tc>
        <w:tc>
          <w:tcPr>
            <w:tcW w:w="3399" w:type="dxa"/>
          </w:tcPr>
          <w:p w14:paraId="577F6DA2" w14:textId="12DAF6CE" w:rsidR="00445B68" w:rsidRPr="00B85F29" w:rsidRDefault="00445B68" w:rsidP="00231CF1">
            <w:pPr>
              <w:tabs>
                <w:tab w:val="left" w:pos="4111"/>
              </w:tabs>
              <w:spacing w:before="10"/>
              <w:ind w:left="57"/>
              <w:rPr>
                <w:b/>
                <w:sz w:val="22"/>
                <w:szCs w:val="22"/>
              </w:rPr>
            </w:pPr>
            <w:r w:rsidRPr="00B85F29">
              <w:rPr>
                <w:b/>
                <w:sz w:val="22"/>
                <w:szCs w:val="22"/>
              </w:rPr>
              <w:t xml:space="preserve">Circulaire TSB </w:t>
            </w:r>
            <w:r w:rsidR="00023BE3" w:rsidRPr="00B85F29">
              <w:rPr>
                <w:b/>
                <w:sz w:val="22"/>
                <w:szCs w:val="22"/>
              </w:rPr>
              <w:t>81</w:t>
            </w:r>
          </w:p>
        </w:tc>
        <w:tc>
          <w:tcPr>
            <w:tcW w:w="5051" w:type="dxa"/>
            <w:vMerge w:val="restart"/>
          </w:tcPr>
          <w:p w14:paraId="408A23CC" w14:textId="4CC44A54" w:rsidR="00023BE3" w:rsidRPr="00B85F29" w:rsidRDefault="00307FB4" w:rsidP="00023BE3">
            <w:pPr>
              <w:tabs>
                <w:tab w:val="left" w:pos="4111"/>
              </w:tabs>
              <w:spacing w:before="0"/>
              <w:ind w:left="426" w:hanging="363"/>
              <w:rPr>
                <w:sz w:val="22"/>
                <w:szCs w:val="22"/>
              </w:rPr>
            </w:pPr>
            <w:bookmarkStart w:id="0" w:name="Addressee_F"/>
            <w:bookmarkEnd w:id="0"/>
            <w:r w:rsidRPr="00B85F29">
              <w:rPr>
                <w:sz w:val="22"/>
                <w:szCs w:val="22"/>
              </w:rPr>
              <w:t>–</w:t>
            </w:r>
            <w:r w:rsidRPr="00B85F29">
              <w:rPr>
                <w:sz w:val="22"/>
                <w:szCs w:val="22"/>
              </w:rPr>
              <w:tab/>
            </w:r>
            <w:r w:rsidR="00023BE3" w:rsidRPr="00B85F29">
              <w:rPr>
                <w:sz w:val="22"/>
                <w:szCs w:val="22"/>
              </w:rPr>
              <w:t xml:space="preserve">Aux Administrations des États Membres de </w:t>
            </w:r>
            <w:proofErr w:type="gramStart"/>
            <w:r w:rsidR="00023BE3" w:rsidRPr="00B85F29">
              <w:rPr>
                <w:sz w:val="22"/>
                <w:szCs w:val="22"/>
              </w:rPr>
              <w:t>l'Union;</w:t>
            </w:r>
            <w:proofErr w:type="gramEnd"/>
          </w:p>
          <w:p w14:paraId="0E8C19A9" w14:textId="13CD1521" w:rsidR="00023BE3" w:rsidRPr="00B85F29" w:rsidRDefault="00023BE3" w:rsidP="00023BE3">
            <w:pPr>
              <w:tabs>
                <w:tab w:val="left" w:pos="4111"/>
              </w:tabs>
              <w:spacing w:before="0"/>
              <w:ind w:left="426" w:hanging="363"/>
              <w:rPr>
                <w:sz w:val="22"/>
                <w:szCs w:val="22"/>
              </w:rPr>
            </w:pPr>
            <w:r w:rsidRPr="00B85F29">
              <w:rPr>
                <w:sz w:val="22"/>
                <w:szCs w:val="22"/>
              </w:rPr>
              <w:t>–</w:t>
            </w:r>
            <w:r w:rsidRPr="00B85F29">
              <w:rPr>
                <w:sz w:val="22"/>
                <w:szCs w:val="22"/>
              </w:rPr>
              <w:tab/>
              <w:t>À l'État de Palestine (Résolution 99 (Rév. Dubaï, 2018)</w:t>
            </w:r>
            <w:proofErr w:type="gramStart"/>
            <w:r w:rsidRPr="00B85F29">
              <w:rPr>
                <w:sz w:val="22"/>
                <w:szCs w:val="22"/>
              </w:rPr>
              <w:t>);</w:t>
            </w:r>
            <w:proofErr w:type="gramEnd"/>
          </w:p>
          <w:p w14:paraId="2FC125FD" w14:textId="342FA467" w:rsidR="00023BE3" w:rsidRPr="00B85F29" w:rsidRDefault="00023BE3" w:rsidP="00023BE3">
            <w:pPr>
              <w:tabs>
                <w:tab w:val="left" w:pos="4111"/>
              </w:tabs>
              <w:spacing w:before="0"/>
              <w:ind w:left="426" w:hanging="363"/>
              <w:rPr>
                <w:sz w:val="22"/>
                <w:szCs w:val="22"/>
              </w:rPr>
            </w:pPr>
            <w:r w:rsidRPr="00B85F29">
              <w:rPr>
                <w:sz w:val="22"/>
                <w:szCs w:val="22"/>
              </w:rPr>
              <w:t>–</w:t>
            </w:r>
            <w:r w:rsidRPr="00B85F29">
              <w:rPr>
                <w:sz w:val="22"/>
                <w:szCs w:val="22"/>
              </w:rPr>
              <w:tab/>
              <w:t>Aux Membres du Secteur de l'UIT-</w:t>
            </w:r>
            <w:proofErr w:type="gramStart"/>
            <w:r w:rsidRPr="00B85F29">
              <w:rPr>
                <w:sz w:val="22"/>
                <w:szCs w:val="22"/>
              </w:rPr>
              <w:t>T;</w:t>
            </w:r>
            <w:proofErr w:type="gramEnd"/>
          </w:p>
          <w:p w14:paraId="1FDB1A3A" w14:textId="498AD149" w:rsidR="00023BE3" w:rsidRPr="00B85F29" w:rsidRDefault="00023BE3" w:rsidP="00023BE3">
            <w:pPr>
              <w:tabs>
                <w:tab w:val="left" w:pos="4111"/>
              </w:tabs>
              <w:spacing w:before="0"/>
              <w:ind w:left="426" w:hanging="363"/>
              <w:rPr>
                <w:sz w:val="22"/>
                <w:szCs w:val="22"/>
              </w:rPr>
            </w:pPr>
            <w:r w:rsidRPr="00B85F29">
              <w:rPr>
                <w:sz w:val="22"/>
                <w:szCs w:val="22"/>
              </w:rPr>
              <w:t>–</w:t>
            </w:r>
            <w:r w:rsidRPr="00B85F29">
              <w:rPr>
                <w:sz w:val="22"/>
                <w:szCs w:val="22"/>
              </w:rPr>
              <w:tab/>
              <w:t>Aux Associés de l'UIT-</w:t>
            </w:r>
            <w:proofErr w:type="gramStart"/>
            <w:r w:rsidRPr="00B85F29">
              <w:rPr>
                <w:sz w:val="22"/>
                <w:szCs w:val="22"/>
              </w:rPr>
              <w:t>T;</w:t>
            </w:r>
            <w:proofErr w:type="gramEnd"/>
          </w:p>
          <w:p w14:paraId="461460AE" w14:textId="60E6A97D" w:rsidR="00445B68" w:rsidRPr="00B85F29" w:rsidRDefault="00023BE3" w:rsidP="00023BE3">
            <w:pPr>
              <w:tabs>
                <w:tab w:val="left" w:pos="4111"/>
              </w:tabs>
              <w:spacing w:before="0"/>
              <w:ind w:left="426" w:hanging="363"/>
              <w:rPr>
                <w:sz w:val="22"/>
                <w:szCs w:val="22"/>
              </w:rPr>
            </w:pPr>
            <w:r w:rsidRPr="00B85F29">
              <w:rPr>
                <w:sz w:val="22"/>
                <w:szCs w:val="22"/>
              </w:rPr>
              <w:t>–</w:t>
            </w:r>
            <w:r w:rsidRPr="00B85F29">
              <w:rPr>
                <w:sz w:val="22"/>
                <w:szCs w:val="22"/>
              </w:rPr>
              <w:tab/>
              <w:t>Aux établissements universitaires participant aux travaux de l'UIT</w:t>
            </w:r>
          </w:p>
        </w:tc>
      </w:tr>
      <w:tr w:rsidR="00231CF1" w:rsidRPr="00B85F29" w14:paraId="06A3F0E7" w14:textId="77777777" w:rsidTr="00307FB4">
        <w:trPr>
          <w:cantSplit/>
          <w:trHeight w:val="340"/>
        </w:trPr>
        <w:tc>
          <w:tcPr>
            <w:tcW w:w="0" w:type="auto"/>
          </w:tcPr>
          <w:p w14:paraId="5CF43A7B" w14:textId="34D02EF8" w:rsidR="00231CF1" w:rsidRPr="006A7850" w:rsidRDefault="00231CF1" w:rsidP="006A7850">
            <w:pPr>
              <w:tabs>
                <w:tab w:val="left" w:pos="4111"/>
              </w:tabs>
              <w:spacing w:before="10"/>
              <w:rPr>
                <w:sz w:val="22"/>
                <w:szCs w:val="22"/>
              </w:rPr>
            </w:pPr>
            <w:proofErr w:type="gramStart"/>
            <w:r w:rsidRPr="006A7850">
              <w:rPr>
                <w:sz w:val="22"/>
                <w:szCs w:val="22"/>
              </w:rPr>
              <w:t>Tél.:</w:t>
            </w:r>
            <w:proofErr w:type="gramEnd"/>
          </w:p>
        </w:tc>
        <w:tc>
          <w:tcPr>
            <w:tcW w:w="3399" w:type="dxa"/>
          </w:tcPr>
          <w:p w14:paraId="2074781F" w14:textId="31A6C207" w:rsidR="00231CF1" w:rsidRPr="00B85F29" w:rsidRDefault="00231CF1" w:rsidP="00231CF1">
            <w:pPr>
              <w:tabs>
                <w:tab w:val="left" w:pos="4111"/>
              </w:tabs>
              <w:spacing w:before="10"/>
              <w:ind w:left="57"/>
              <w:rPr>
                <w:b/>
                <w:sz w:val="22"/>
                <w:szCs w:val="22"/>
              </w:rPr>
            </w:pPr>
            <w:r w:rsidRPr="00B85F29">
              <w:rPr>
                <w:sz w:val="22"/>
                <w:szCs w:val="22"/>
              </w:rPr>
              <w:t>+41 22 730 6301</w:t>
            </w:r>
          </w:p>
        </w:tc>
        <w:tc>
          <w:tcPr>
            <w:tcW w:w="5051" w:type="dxa"/>
            <w:vMerge/>
          </w:tcPr>
          <w:p w14:paraId="2F310545" w14:textId="77777777" w:rsidR="00231CF1" w:rsidRPr="00B85F29" w:rsidRDefault="00231CF1" w:rsidP="00231CF1">
            <w:pPr>
              <w:tabs>
                <w:tab w:val="clear" w:pos="794"/>
                <w:tab w:val="clear" w:pos="1191"/>
                <w:tab w:val="clear" w:pos="1588"/>
                <w:tab w:val="clear" w:pos="1985"/>
                <w:tab w:val="left" w:pos="284"/>
              </w:tabs>
              <w:spacing w:before="0"/>
              <w:ind w:left="284" w:hanging="227"/>
              <w:rPr>
                <w:sz w:val="22"/>
                <w:szCs w:val="22"/>
              </w:rPr>
            </w:pPr>
          </w:p>
        </w:tc>
      </w:tr>
      <w:tr w:rsidR="00231CF1" w:rsidRPr="00B85F29" w14:paraId="724FD23E" w14:textId="77777777" w:rsidTr="00307FB4">
        <w:trPr>
          <w:cantSplit/>
        </w:trPr>
        <w:tc>
          <w:tcPr>
            <w:tcW w:w="0" w:type="auto"/>
          </w:tcPr>
          <w:p w14:paraId="73149CCD" w14:textId="656E4987" w:rsidR="00231CF1" w:rsidRPr="006A7850" w:rsidRDefault="00231CF1" w:rsidP="006A7850">
            <w:pPr>
              <w:tabs>
                <w:tab w:val="left" w:pos="4111"/>
              </w:tabs>
              <w:spacing w:before="10"/>
              <w:rPr>
                <w:sz w:val="22"/>
                <w:szCs w:val="22"/>
              </w:rPr>
            </w:pPr>
            <w:proofErr w:type="gramStart"/>
            <w:r w:rsidRPr="006A7850">
              <w:rPr>
                <w:sz w:val="22"/>
                <w:szCs w:val="22"/>
              </w:rPr>
              <w:t>Télécopie:</w:t>
            </w:r>
            <w:proofErr w:type="gramEnd"/>
          </w:p>
        </w:tc>
        <w:tc>
          <w:tcPr>
            <w:tcW w:w="3399" w:type="dxa"/>
          </w:tcPr>
          <w:p w14:paraId="78D06186" w14:textId="5307A8B8" w:rsidR="00231CF1" w:rsidRPr="00B85F29" w:rsidRDefault="00231CF1" w:rsidP="00231CF1">
            <w:pPr>
              <w:tabs>
                <w:tab w:val="left" w:pos="4111"/>
              </w:tabs>
              <w:spacing w:before="0"/>
              <w:ind w:left="57"/>
              <w:rPr>
                <w:sz w:val="22"/>
                <w:szCs w:val="22"/>
              </w:rPr>
            </w:pPr>
            <w:r w:rsidRPr="00B85F29">
              <w:rPr>
                <w:sz w:val="22"/>
                <w:szCs w:val="22"/>
              </w:rPr>
              <w:t>+41 22 730 5853</w:t>
            </w:r>
          </w:p>
        </w:tc>
        <w:tc>
          <w:tcPr>
            <w:tcW w:w="5051" w:type="dxa"/>
            <w:vMerge/>
          </w:tcPr>
          <w:p w14:paraId="6D3A5806" w14:textId="77777777" w:rsidR="00231CF1" w:rsidRPr="00B85F29" w:rsidRDefault="00231CF1" w:rsidP="00231CF1">
            <w:pPr>
              <w:tabs>
                <w:tab w:val="left" w:pos="226"/>
                <w:tab w:val="left" w:pos="4111"/>
              </w:tabs>
              <w:spacing w:before="0"/>
              <w:ind w:left="226" w:hanging="226"/>
              <w:rPr>
                <w:b/>
                <w:sz w:val="22"/>
                <w:szCs w:val="22"/>
              </w:rPr>
            </w:pPr>
          </w:p>
        </w:tc>
      </w:tr>
      <w:tr w:rsidR="00231CF1" w:rsidRPr="00B85F29" w14:paraId="030F9AE5" w14:textId="77777777" w:rsidTr="00E75269">
        <w:trPr>
          <w:cantSplit/>
          <w:trHeight w:val="586"/>
        </w:trPr>
        <w:tc>
          <w:tcPr>
            <w:tcW w:w="0" w:type="auto"/>
          </w:tcPr>
          <w:p w14:paraId="7B417C4C" w14:textId="63E7FE80" w:rsidR="00231CF1" w:rsidRPr="006A7850" w:rsidRDefault="00231CF1" w:rsidP="006A7850">
            <w:pPr>
              <w:tabs>
                <w:tab w:val="left" w:pos="4111"/>
              </w:tabs>
              <w:spacing w:before="10"/>
              <w:rPr>
                <w:sz w:val="22"/>
                <w:szCs w:val="22"/>
              </w:rPr>
            </w:pPr>
            <w:proofErr w:type="gramStart"/>
            <w:r w:rsidRPr="006A7850">
              <w:rPr>
                <w:sz w:val="22"/>
                <w:szCs w:val="22"/>
              </w:rPr>
              <w:t>Courriel:</w:t>
            </w:r>
            <w:proofErr w:type="gramEnd"/>
          </w:p>
        </w:tc>
        <w:tc>
          <w:tcPr>
            <w:tcW w:w="3399" w:type="dxa"/>
          </w:tcPr>
          <w:p w14:paraId="1A4A5F7B" w14:textId="561B560E" w:rsidR="00231CF1" w:rsidRPr="00B85F29" w:rsidRDefault="00231CF1" w:rsidP="00231CF1">
            <w:pPr>
              <w:tabs>
                <w:tab w:val="left" w:pos="4111"/>
              </w:tabs>
              <w:spacing w:before="0"/>
              <w:ind w:left="57"/>
              <w:rPr>
                <w:sz w:val="22"/>
                <w:szCs w:val="22"/>
              </w:rPr>
            </w:pPr>
            <w:hyperlink r:id="rId9" w:history="1">
              <w:r w:rsidRPr="00B85F29">
                <w:rPr>
                  <w:rStyle w:val="Hyperlink"/>
                  <w:sz w:val="22"/>
                  <w:szCs w:val="22"/>
                </w:rPr>
                <w:t>u4ssc@itu.int</w:t>
              </w:r>
            </w:hyperlink>
          </w:p>
        </w:tc>
        <w:tc>
          <w:tcPr>
            <w:tcW w:w="5051" w:type="dxa"/>
            <w:vMerge/>
          </w:tcPr>
          <w:p w14:paraId="323DAC81" w14:textId="77777777" w:rsidR="00231CF1" w:rsidRPr="00B85F29" w:rsidRDefault="00231CF1" w:rsidP="00231CF1">
            <w:pPr>
              <w:tabs>
                <w:tab w:val="left" w:pos="226"/>
                <w:tab w:val="left" w:pos="4111"/>
              </w:tabs>
              <w:spacing w:before="0"/>
              <w:ind w:left="226" w:hanging="226"/>
              <w:rPr>
                <w:b/>
                <w:sz w:val="22"/>
                <w:szCs w:val="22"/>
              </w:rPr>
            </w:pPr>
          </w:p>
        </w:tc>
      </w:tr>
      <w:tr w:rsidR="00231CF1" w:rsidRPr="00B85F29" w14:paraId="640FB6B9" w14:textId="77777777" w:rsidTr="00307FB4">
        <w:trPr>
          <w:cantSplit/>
        </w:trPr>
        <w:tc>
          <w:tcPr>
            <w:tcW w:w="0" w:type="auto"/>
          </w:tcPr>
          <w:p w14:paraId="15527369" w14:textId="5ECA7B76" w:rsidR="00231CF1" w:rsidRPr="00B85F29" w:rsidRDefault="00231CF1" w:rsidP="006A7850">
            <w:pPr>
              <w:tabs>
                <w:tab w:val="left" w:pos="4111"/>
              </w:tabs>
              <w:spacing w:before="10"/>
              <w:rPr>
                <w:b/>
                <w:bCs/>
                <w:sz w:val="22"/>
                <w:szCs w:val="22"/>
              </w:rPr>
            </w:pPr>
          </w:p>
        </w:tc>
        <w:tc>
          <w:tcPr>
            <w:tcW w:w="3399" w:type="dxa"/>
          </w:tcPr>
          <w:p w14:paraId="172249CE" w14:textId="5ACBFD8A" w:rsidR="00231CF1" w:rsidRPr="00B85F29" w:rsidRDefault="00231CF1" w:rsidP="00231CF1">
            <w:pPr>
              <w:tabs>
                <w:tab w:val="left" w:pos="4111"/>
              </w:tabs>
              <w:spacing w:before="0"/>
              <w:ind w:left="57"/>
              <w:rPr>
                <w:sz w:val="22"/>
                <w:szCs w:val="22"/>
              </w:rPr>
            </w:pPr>
          </w:p>
        </w:tc>
        <w:tc>
          <w:tcPr>
            <w:tcW w:w="5051" w:type="dxa"/>
          </w:tcPr>
          <w:p w14:paraId="55E5D357" w14:textId="77777777" w:rsidR="00231CF1" w:rsidRPr="00B85F29" w:rsidRDefault="00231CF1" w:rsidP="00231CF1">
            <w:pPr>
              <w:tabs>
                <w:tab w:val="clear" w:pos="794"/>
                <w:tab w:val="left" w:pos="226"/>
                <w:tab w:val="left" w:pos="4111"/>
              </w:tabs>
              <w:spacing w:before="0"/>
              <w:ind w:left="226" w:hanging="163"/>
              <w:rPr>
                <w:b/>
                <w:bCs/>
                <w:sz w:val="22"/>
                <w:szCs w:val="22"/>
              </w:rPr>
            </w:pPr>
            <w:proofErr w:type="gramStart"/>
            <w:r w:rsidRPr="00B85F29">
              <w:rPr>
                <w:b/>
                <w:bCs/>
                <w:sz w:val="22"/>
                <w:szCs w:val="22"/>
              </w:rPr>
              <w:t>Copie:</w:t>
            </w:r>
            <w:proofErr w:type="gramEnd"/>
          </w:p>
          <w:p w14:paraId="6CE98CB1" w14:textId="7F4030FF" w:rsidR="00231CF1" w:rsidRPr="00B85F29" w:rsidRDefault="00231CF1" w:rsidP="00231CF1">
            <w:pPr>
              <w:tabs>
                <w:tab w:val="left" w:pos="4111"/>
              </w:tabs>
              <w:spacing w:before="0"/>
              <w:ind w:left="426" w:hanging="363"/>
              <w:rPr>
                <w:sz w:val="22"/>
                <w:szCs w:val="22"/>
              </w:rPr>
            </w:pPr>
            <w:r w:rsidRPr="00B85F29">
              <w:rPr>
                <w:sz w:val="22"/>
                <w:szCs w:val="22"/>
              </w:rPr>
              <w:t>–</w:t>
            </w:r>
            <w:r w:rsidRPr="00B85F29">
              <w:rPr>
                <w:sz w:val="22"/>
                <w:szCs w:val="22"/>
              </w:rPr>
              <w:tab/>
              <w:t>Aux Présidents et Vice-Présidents des Commissions d'études de l'UIT-</w:t>
            </w:r>
            <w:proofErr w:type="gramStart"/>
            <w:r w:rsidRPr="00B85F29">
              <w:rPr>
                <w:sz w:val="22"/>
                <w:szCs w:val="22"/>
              </w:rPr>
              <w:t>T;</w:t>
            </w:r>
            <w:proofErr w:type="gramEnd"/>
          </w:p>
          <w:p w14:paraId="56C75C35" w14:textId="1A09D40C" w:rsidR="00231CF1" w:rsidRPr="00B85F29" w:rsidRDefault="00231CF1" w:rsidP="00231CF1">
            <w:pPr>
              <w:tabs>
                <w:tab w:val="left" w:pos="4111"/>
              </w:tabs>
              <w:spacing w:before="0"/>
              <w:ind w:left="426" w:hanging="363"/>
              <w:rPr>
                <w:sz w:val="22"/>
                <w:szCs w:val="22"/>
              </w:rPr>
            </w:pPr>
            <w:r w:rsidRPr="00B85F29">
              <w:rPr>
                <w:sz w:val="22"/>
                <w:szCs w:val="22"/>
              </w:rPr>
              <w:t>–</w:t>
            </w:r>
            <w:r w:rsidRPr="00B85F29">
              <w:rPr>
                <w:sz w:val="22"/>
                <w:szCs w:val="22"/>
              </w:rPr>
              <w:tab/>
              <w:t xml:space="preserve">Au Directeur du Bureau de développement des </w:t>
            </w:r>
            <w:proofErr w:type="gramStart"/>
            <w:r w:rsidRPr="00B85F29">
              <w:rPr>
                <w:sz w:val="22"/>
                <w:szCs w:val="22"/>
              </w:rPr>
              <w:t>télécommunications;</w:t>
            </w:r>
            <w:proofErr w:type="gramEnd"/>
          </w:p>
          <w:p w14:paraId="19762254" w14:textId="061893F3" w:rsidR="00231CF1" w:rsidRPr="00B85F29" w:rsidRDefault="00231CF1" w:rsidP="00231CF1">
            <w:pPr>
              <w:tabs>
                <w:tab w:val="left" w:pos="4111"/>
              </w:tabs>
              <w:spacing w:before="0"/>
              <w:ind w:left="426" w:hanging="363"/>
              <w:rPr>
                <w:sz w:val="22"/>
                <w:szCs w:val="22"/>
              </w:rPr>
            </w:pPr>
            <w:r w:rsidRPr="00B85F29">
              <w:rPr>
                <w:sz w:val="22"/>
                <w:szCs w:val="22"/>
              </w:rPr>
              <w:t>–</w:t>
            </w:r>
            <w:r w:rsidRPr="00B85F29">
              <w:rPr>
                <w:sz w:val="22"/>
                <w:szCs w:val="22"/>
              </w:rPr>
              <w:tab/>
              <w:t>Au Directeur du Bureau des radiocommunications</w:t>
            </w:r>
          </w:p>
        </w:tc>
      </w:tr>
      <w:tr w:rsidR="00231CF1" w:rsidRPr="00B85F29" w14:paraId="5435C04A" w14:textId="77777777" w:rsidTr="00C41B89">
        <w:trPr>
          <w:cantSplit/>
          <w:trHeight w:val="397"/>
        </w:trPr>
        <w:tc>
          <w:tcPr>
            <w:tcW w:w="0" w:type="auto"/>
          </w:tcPr>
          <w:p w14:paraId="2A0B9B4F" w14:textId="77777777" w:rsidR="00231CF1" w:rsidRPr="00B85F29" w:rsidRDefault="00231CF1" w:rsidP="006A7850">
            <w:pPr>
              <w:tabs>
                <w:tab w:val="left" w:pos="4111"/>
              </w:tabs>
              <w:rPr>
                <w:b/>
                <w:bCs/>
                <w:sz w:val="22"/>
                <w:szCs w:val="22"/>
              </w:rPr>
            </w:pPr>
            <w:proofErr w:type="gramStart"/>
            <w:r w:rsidRPr="00B85F29">
              <w:rPr>
                <w:b/>
                <w:bCs/>
                <w:sz w:val="22"/>
                <w:szCs w:val="22"/>
              </w:rPr>
              <w:t>Objet:</w:t>
            </w:r>
            <w:proofErr w:type="gramEnd"/>
          </w:p>
        </w:tc>
        <w:tc>
          <w:tcPr>
            <w:tcW w:w="0" w:type="auto"/>
            <w:gridSpan w:val="2"/>
          </w:tcPr>
          <w:p w14:paraId="1A51EE75" w14:textId="251E8AF9" w:rsidR="00231CF1" w:rsidRPr="00B85F29" w:rsidRDefault="00231CF1" w:rsidP="00231CF1">
            <w:pPr>
              <w:tabs>
                <w:tab w:val="left" w:pos="4111"/>
              </w:tabs>
              <w:spacing w:after="120"/>
              <w:ind w:left="57"/>
              <w:rPr>
                <w:b/>
                <w:bCs/>
                <w:sz w:val="22"/>
                <w:szCs w:val="22"/>
              </w:rPr>
            </w:pPr>
            <w:r w:rsidRPr="00B85F29">
              <w:rPr>
                <w:b/>
                <w:bCs/>
                <w:sz w:val="22"/>
                <w:szCs w:val="22"/>
              </w:rPr>
              <w:t>Neuvième réunion de l'Initiative "Tous unis pour des villes intelligentes</w:t>
            </w:r>
            <w:r w:rsidRPr="00B85F29">
              <w:rPr>
                <w:b/>
                <w:bCs/>
                <w:sz w:val="22"/>
                <w:szCs w:val="22"/>
              </w:rPr>
              <w:br/>
              <w:t>et durables" (U4SSC)</w:t>
            </w:r>
            <w:r w:rsidRPr="00B85F29">
              <w:rPr>
                <w:b/>
                <w:bCs/>
                <w:sz w:val="22"/>
                <w:szCs w:val="22"/>
              </w:rPr>
              <w:br/>
              <w:t>(manifestation virtuelle, 31 octobre 2025)</w:t>
            </w:r>
          </w:p>
        </w:tc>
      </w:tr>
    </w:tbl>
    <w:p w14:paraId="2D1EC328" w14:textId="77777777" w:rsidR="00517A03" w:rsidRPr="00B85F29" w:rsidRDefault="00517A03" w:rsidP="006A7850">
      <w:pPr>
        <w:pStyle w:val="Normalaftertitle"/>
        <w:spacing w:before="120"/>
        <w:rPr>
          <w:sz w:val="22"/>
          <w:szCs w:val="22"/>
        </w:rPr>
      </w:pPr>
      <w:bookmarkStart w:id="1" w:name="StartTyping_F"/>
      <w:bookmarkEnd w:id="1"/>
      <w:r w:rsidRPr="00B85F29">
        <w:rPr>
          <w:sz w:val="22"/>
          <w:szCs w:val="22"/>
        </w:rPr>
        <w:t>Madame, Monsieur,</w:t>
      </w:r>
    </w:p>
    <w:p w14:paraId="75A3CB59" w14:textId="5D87E93C" w:rsidR="00023BE3" w:rsidRPr="00B85F29" w:rsidRDefault="00023BE3" w:rsidP="00023BE3">
      <w:pPr>
        <w:rPr>
          <w:bCs/>
          <w:sz w:val="22"/>
          <w:szCs w:val="22"/>
        </w:rPr>
      </w:pPr>
      <w:r w:rsidRPr="00B85F29">
        <w:rPr>
          <w:bCs/>
          <w:sz w:val="22"/>
          <w:szCs w:val="22"/>
        </w:rPr>
        <w:t>1</w:t>
      </w:r>
      <w:r w:rsidRPr="00B85F29">
        <w:rPr>
          <w:bCs/>
          <w:sz w:val="22"/>
          <w:szCs w:val="22"/>
        </w:rPr>
        <w:tab/>
        <w:t xml:space="preserve">J'ai l'honneur de vous informer que l'Union internationale des télécommunications (UIT) organise la </w:t>
      </w:r>
      <w:r w:rsidRPr="00B85F29">
        <w:rPr>
          <w:b/>
          <w:sz w:val="22"/>
          <w:szCs w:val="22"/>
        </w:rPr>
        <w:t>neuvième réunion de l'Initiative "Tous unis pour des villes intelligentes et durables" (U4SSC)</w:t>
      </w:r>
      <w:r w:rsidRPr="00B85F29">
        <w:rPr>
          <w:bCs/>
          <w:sz w:val="22"/>
          <w:szCs w:val="22"/>
        </w:rPr>
        <w:t>. Cette réunion se déroulera de manière virtuelle le 31 octobre 2025, de 11 heures à 12 heures et de 13 h 30 à 15 h 30 (CET).</w:t>
      </w:r>
    </w:p>
    <w:p w14:paraId="27BD0DE5" w14:textId="0C11CC54" w:rsidR="00023BE3" w:rsidRPr="00B85F29" w:rsidRDefault="00023BE3" w:rsidP="00023BE3">
      <w:pPr>
        <w:rPr>
          <w:bCs/>
          <w:sz w:val="22"/>
          <w:szCs w:val="22"/>
        </w:rPr>
      </w:pPr>
      <w:r w:rsidRPr="00B85F29">
        <w:rPr>
          <w:bCs/>
          <w:sz w:val="22"/>
          <w:szCs w:val="22"/>
        </w:rPr>
        <w:t>2</w:t>
      </w:r>
      <w:r w:rsidRPr="00B85F29">
        <w:rPr>
          <w:bCs/>
          <w:sz w:val="22"/>
          <w:szCs w:val="22"/>
        </w:rPr>
        <w:tab/>
        <w:t>La réunion de l'Initiative U4SSC aura lieu en anglais uniquement.</w:t>
      </w:r>
    </w:p>
    <w:p w14:paraId="1ACAC7B6" w14:textId="4EE7B699" w:rsidR="00023BE3" w:rsidRPr="00B85F29" w:rsidRDefault="00023BE3" w:rsidP="00023BE3">
      <w:pPr>
        <w:rPr>
          <w:bCs/>
          <w:sz w:val="22"/>
          <w:szCs w:val="22"/>
        </w:rPr>
      </w:pPr>
      <w:r w:rsidRPr="00B85F29">
        <w:rPr>
          <w:bCs/>
          <w:sz w:val="22"/>
          <w:szCs w:val="22"/>
        </w:rPr>
        <w:t>3</w:t>
      </w:r>
      <w:r w:rsidRPr="00B85F29">
        <w:rPr>
          <w:bCs/>
          <w:sz w:val="22"/>
          <w:szCs w:val="22"/>
        </w:rPr>
        <w:tab/>
        <w:t xml:space="preserve">L'Initiative "Tous unis pour des villes intelligentes et durables" (U4SSC), mise en œuvre par les Nations Unies, est soutenue par 20 institutions et programmes des Nations Unies et constitue une plate-forme internationale dynamique pour l'échange de connaissances, de bonnes pratiques et d'innovations politiques, réunissant des villes, des gouvernements, des établissements universitaires, des entreprises et des membres de la société civile, afin de créer conjointement des villes et des communautés centrées sur les personnes, inclusives sur le plan numérique et résilientes aux changements climatiques, dans le but de progresser dans la réalisation des Objectifs de développement durable (ODD) ainsi que la mise en œuvre du Pacte pour l'avenir et du Pacte numérique mondial associé. On trouvera de plus amples renseignements sur cette initiative à l'adresse </w:t>
      </w:r>
      <w:hyperlink r:id="rId10" w:history="1">
        <w:r w:rsidRPr="00B85F29">
          <w:rPr>
            <w:rStyle w:val="Hyperlink"/>
            <w:bCs/>
            <w:sz w:val="22"/>
            <w:szCs w:val="22"/>
          </w:rPr>
          <w:t>https://u4ssc.itu.int/</w:t>
        </w:r>
      </w:hyperlink>
      <w:r w:rsidRPr="00B85F29">
        <w:rPr>
          <w:bCs/>
          <w:sz w:val="22"/>
          <w:szCs w:val="22"/>
        </w:rPr>
        <w:t>.</w:t>
      </w:r>
    </w:p>
    <w:p w14:paraId="705C4976" w14:textId="77777777" w:rsidR="00023BE3" w:rsidRPr="00B85F29" w:rsidRDefault="00023BE3" w:rsidP="00023BE3">
      <w:pPr>
        <w:rPr>
          <w:bCs/>
          <w:sz w:val="22"/>
          <w:szCs w:val="22"/>
        </w:rPr>
      </w:pPr>
      <w:r w:rsidRPr="00B85F29">
        <w:rPr>
          <w:bCs/>
          <w:sz w:val="22"/>
          <w:szCs w:val="22"/>
        </w:rPr>
        <w:t>4</w:t>
      </w:r>
      <w:r w:rsidRPr="00B85F29">
        <w:rPr>
          <w:bCs/>
          <w:sz w:val="22"/>
          <w:szCs w:val="22"/>
        </w:rPr>
        <w:tab/>
        <w:t xml:space="preserve">Les principaux objectifs de la réunion sont les </w:t>
      </w:r>
      <w:proofErr w:type="gramStart"/>
      <w:r w:rsidRPr="00B85F29">
        <w:rPr>
          <w:bCs/>
          <w:sz w:val="22"/>
          <w:szCs w:val="22"/>
        </w:rPr>
        <w:t>suivants:</w:t>
      </w:r>
      <w:proofErr w:type="gramEnd"/>
    </w:p>
    <w:p w14:paraId="1F7B247D" w14:textId="117878DE" w:rsidR="00023BE3" w:rsidRPr="00B85F29" w:rsidRDefault="00023BE3" w:rsidP="00023BE3">
      <w:pPr>
        <w:pStyle w:val="enumlev1"/>
        <w:rPr>
          <w:sz w:val="22"/>
          <w:szCs w:val="22"/>
        </w:rPr>
      </w:pPr>
      <w:r w:rsidRPr="00B85F29">
        <w:rPr>
          <w:sz w:val="22"/>
          <w:szCs w:val="22"/>
        </w:rPr>
        <w:t>•</w:t>
      </w:r>
      <w:r w:rsidRPr="00B85F29">
        <w:rPr>
          <w:sz w:val="22"/>
          <w:szCs w:val="22"/>
        </w:rPr>
        <w:tab/>
        <w:t>rendre compte des travaux des groupes thématiques et des groupes de travail de l'Initiative U4</w:t>
      </w:r>
      <w:proofErr w:type="gramStart"/>
      <w:r w:rsidRPr="00B85F29">
        <w:rPr>
          <w:sz w:val="22"/>
          <w:szCs w:val="22"/>
        </w:rPr>
        <w:t>SSC;</w:t>
      </w:r>
      <w:proofErr w:type="gramEnd"/>
    </w:p>
    <w:p w14:paraId="5233832F" w14:textId="4A99DB31" w:rsidR="00023BE3" w:rsidRPr="00B85F29" w:rsidRDefault="00023BE3" w:rsidP="00023BE3">
      <w:pPr>
        <w:pStyle w:val="enumlev1"/>
        <w:rPr>
          <w:sz w:val="22"/>
          <w:szCs w:val="22"/>
        </w:rPr>
      </w:pPr>
      <w:r w:rsidRPr="00B85F29">
        <w:rPr>
          <w:sz w:val="22"/>
          <w:szCs w:val="22"/>
        </w:rPr>
        <w:t>•</w:t>
      </w:r>
      <w:r w:rsidRPr="00B85F29">
        <w:rPr>
          <w:sz w:val="22"/>
          <w:szCs w:val="22"/>
        </w:rPr>
        <w:tab/>
        <w:t>examiner les nouvelles activités menées dans le cadre de l'Initiative U4SSC et approuver le programme de travail annuel de l'</w:t>
      </w:r>
      <w:r w:rsidR="00231CF1" w:rsidRPr="00B85F29">
        <w:rPr>
          <w:sz w:val="22"/>
          <w:szCs w:val="22"/>
        </w:rPr>
        <w:t>I</w:t>
      </w:r>
      <w:r w:rsidRPr="00B85F29">
        <w:rPr>
          <w:sz w:val="22"/>
          <w:szCs w:val="22"/>
        </w:rPr>
        <w:t>nitiative U4SSC (2025-2026).</w:t>
      </w:r>
    </w:p>
    <w:p w14:paraId="1D3C8F9F" w14:textId="77777777" w:rsidR="00023BE3" w:rsidRPr="00B85F29" w:rsidRDefault="00023BE3" w:rsidP="00023BE3">
      <w:pPr>
        <w:rPr>
          <w:bCs/>
          <w:sz w:val="22"/>
          <w:szCs w:val="22"/>
        </w:rPr>
      </w:pPr>
      <w:r w:rsidRPr="00B85F29">
        <w:rPr>
          <w:bCs/>
          <w:sz w:val="22"/>
          <w:szCs w:val="22"/>
        </w:rPr>
        <w:t>5</w:t>
      </w:r>
      <w:r w:rsidRPr="00B85F29">
        <w:rPr>
          <w:bCs/>
          <w:sz w:val="22"/>
          <w:szCs w:val="22"/>
        </w:rPr>
        <w:tab/>
        <w:t>La participation à la réunion est gratuite et ouverte aux États Membres, Membres de Secteur et Associés de l'UIT, aux établissements universitaires participant aux travaux de l'UIT, ainsi qu'à toute personne issue d'un pays Membre de l'UIT qui souhaite contribuer aux travaux. Il peut s'agir de personnes qui sont aussi membres d'organisations internationales, régionales ou nationales.</w:t>
      </w:r>
    </w:p>
    <w:p w14:paraId="375E8FAB" w14:textId="4D20322E" w:rsidR="00023BE3" w:rsidRPr="00B85F29" w:rsidRDefault="00023BE3" w:rsidP="00023BE3">
      <w:pPr>
        <w:rPr>
          <w:bCs/>
          <w:sz w:val="22"/>
          <w:szCs w:val="22"/>
        </w:rPr>
      </w:pPr>
      <w:r w:rsidRPr="00B85F29">
        <w:rPr>
          <w:bCs/>
          <w:sz w:val="22"/>
          <w:szCs w:val="22"/>
        </w:rPr>
        <w:t>6</w:t>
      </w:r>
      <w:r w:rsidRPr="00B85F29">
        <w:rPr>
          <w:bCs/>
          <w:sz w:val="22"/>
          <w:szCs w:val="22"/>
        </w:rPr>
        <w:tab/>
        <w:t xml:space="preserve">Les informations relatives à la réunion, notamment le projet de programme, les intervenants, les modalités de connexion à distance et le lien pour l'inscription, seront communiquées sur le </w:t>
      </w:r>
      <w:hyperlink r:id="rId11" w:anchor="/fr" w:history="1">
        <w:r w:rsidRPr="00B85F29">
          <w:rPr>
            <w:rStyle w:val="Hyperlink"/>
            <w:bCs/>
            <w:sz w:val="22"/>
            <w:szCs w:val="22"/>
          </w:rPr>
          <w:t>site web de la manifestation</w:t>
        </w:r>
      </w:hyperlink>
      <w:r w:rsidRPr="00B85F29">
        <w:rPr>
          <w:bCs/>
          <w:sz w:val="22"/>
          <w:szCs w:val="22"/>
        </w:rPr>
        <w:t xml:space="preserve">, qui sera actualisé à intervalles réguliers, à mesure que parviendront des informations </w:t>
      </w:r>
      <w:r w:rsidRPr="00B85F29">
        <w:rPr>
          <w:bCs/>
          <w:sz w:val="22"/>
          <w:szCs w:val="22"/>
        </w:rPr>
        <w:lastRenderedPageBreak/>
        <w:t>nouvelles ou modifiées. Les participants sont priés de consulter régulièrement le site pour prendre connaissance des informations les plus récentes. Veuillez noter que l'inscription à la réunion est obligatoire afin d'y participer.</w:t>
      </w:r>
    </w:p>
    <w:p w14:paraId="41BA62D8" w14:textId="18B8043C" w:rsidR="00023BE3" w:rsidRPr="00B85F29" w:rsidRDefault="00023BE3" w:rsidP="00023BE3">
      <w:pPr>
        <w:rPr>
          <w:bCs/>
          <w:sz w:val="22"/>
          <w:szCs w:val="22"/>
        </w:rPr>
      </w:pPr>
      <w:r w:rsidRPr="00B85F29">
        <w:rPr>
          <w:bCs/>
          <w:sz w:val="22"/>
          <w:szCs w:val="22"/>
        </w:rPr>
        <w:t>7</w:t>
      </w:r>
      <w:r w:rsidRPr="00B85F29">
        <w:rPr>
          <w:bCs/>
          <w:sz w:val="22"/>
          <w:szCs w:val="22"/>
        </w:rPr>
        <w:tab/>
        <w:t xml:space="preserve">Le 31 octobre 2025, à l'occasion de la Journée mondiale des villes, un </w:t>
      </w:r>
      <w:r w:rsidRPr="00B85F29">
        <w:rPr>
          <w:b/>
          <w:sz w:val="22"/>
          <w:szCs w:val="22"/>
        </w:rPr>
        <w:t>webinaire sur le thème "Empowering Lives through People-Centred Smart Cities" (</w:t>
      </w:r>
      <w:r w:rsidRPr="00B85F29">
        <w:rPr>
          <w:b/>
          <w:i/>
          <w:iCs/>
          <w:sz w:val="22"/>
          <w:szCs w:val="22"/>
        </w:rPr>
        <w:t>Des villes intelligentes centrées sur les personnes pour mieux vivre</w:t>
      </w:r>
      <w:r w:rsidRPr="00B85F29">
        <w:rPr>
          <w:b/>
          <w:sz w:val="22"/>
          <w:szCs w:val="22"/>
        </w:rPr>
        <w:t xml:space="preserve">) </w:t>
      </w:r>
      <w:r w:rsidRPr="00B85F29">
        <w:rPr>
          <w:bCs/>
          <w:sz w:val="22"/>
          <w:szCs w:val="22"/>
        </w:rPr>
        <w:t xml:space="preserve">se tiendra de 12 h 00 à 13 h 00 (CET) dans le cadre de la série de dialogues sur la transformation numérique. On trouvera des renseignements complémentaires à cet égard sur le </w:t>
      </w:r>
      <w:hyperlink r:id="rId12" w:anchor="/fr" w:history="1">
        <w:r w:rsidRPr="00B85F29">
          <w:rPr>
            <w:rStyle w:val="Hyperlink"/>
            <w:bCs/>
            <w:sz w:val="22"/>
            <w:szCs w:val="22"/>
          </w:rPr>
          <w:t>site web de la manifestation</w:t>
        </w:r>
      </w:hyperlink>
      <w:r w:rsidRPr="00B85F29">
        <w:rPr>
          <w:bCs/>
          <w:sz w:val="22"/>
          <w:szCs w:val="22"/>
        </w:rPr>
        <w:t>.</w:t>
      </w:r>
    </w:p>
    <w:p w14:paraId="6A4CD67F" w14:textId="58099F43" w:rsidR="00307FB4" w:rsidRPr="00B85F29" w:rsidRDefault="00307FB4" w:rsidP="00307FB4">
      <w:pPr>
        <w:rPr>
          <w:bCs/>
          <w:sz w:val="22"/>
          <w:szCs w:val="22"/>
        </w:rPr>
      </w:pPr>
      <w:r w:rsidRPr="00B85F29">
        <w:rPr>
          <w:bCs/>
          <w:sz w:val="22"/>
          <w:szCs w:val="22"/>
        </w:rPr>
        <w:t>Veuillez agréer, Madame, Monsieur, l'assurance de ma considération distinguée.</w:t>
      </w:r>
    </w:p>
    <w:p w14:paraId="3B647157" w14:textId="042FBFC2" w:rsidR="00517A03" w:rsidRPr="00B85F29" w:rsidRDefault="006D7E77" w:rsidP="006A7850">
      <w:pPr>
        <w:spacing w:before="720"/>
        <w:rPr>
          <w:bCs/>
          <w:sz w:val="22"/>
          <w:szCs w:val="22"/>
        </w:rPr>
      </w:pPr>
      <w:r>
        <w:rPr>
          <w:bCs/>
          <w:noProof/>
          <w:sz w:val="22"/>
          <w:szCs w:val="22"/>
        </w:rPr>
        <w:drawing>
          <wp:anchor distT="0" distB="0" distL="114300" distR="114300" simplePos="0" relativeHeight="251658240" behindDoc="1" locked="0" layoutInCell="1" allowOverlap="1" wp14:anchorId="75C92666" wp14:editId="03CF7B99">
            <wp:simplePos x="0" y="0"/>
            <wp:positionH relativeFrom="margin">
              <wp:align>left</wp:align>
            </wp:positionH>
            <wp:positionV relativeFrom="paragraph">
              <wp:posOffset>50165</wp:posOffset>
            </wp:positionV>
            <wp:extent cx="692186" cy="330217"/>
            <wp:effectExtent l="0" t="0" r="0" b="0"/>
            <wp:wrapNone/>
            <wp:docPr id="1395404594"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404594" name="Picture 1" descr="A black text on a white background&#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692186" cy="330217"/>
                    </a:xfrm>
                    <a:prstGeom prst="rect">
                      <a:avLst/>
                    </a:prstGeom>
                  </pic:spPr>
                </pic:pic>
              </a:graphicData>
            </a:graphic>
          </wp:anchor>
        </w:drawing>
      </w:r>
      <w:r w:rsidR="00307FB4" w:rsidRPr="00B85F29">
        <w:rPr>
          <w:bCs/>
          <w:sz w:val="22"/>
          <w:szCs w:val="22"/>
        </w:rPr>
        <w:t>Seizo Onoe</w:t>
      </w:r>
      <w:r w:rsidR="00B60868" w:rsidRPr="00B85F29">
        <w:rPr>
          <w:bCs/>
          <w:sz w:val="22"/>
          <w:szCs w:val="22"/>
        </w:rPr>
        <w:br/>
      </w:r>
      <w:r w:rsidR="00307FB4" w:rsidRPr="00B85F29">
        <w:rPr>
          <w:bCs/>
          <w:sz w:val="22"/>
          <w:szCs w:val="22"/>
        </w:rPr>
        <w:t>Directeur du Bureau de la normalisation</w:t>
      </w:r>
      <w:r w:rsidR="00B60868" w:rsidRPr="00B85F29">
        <w:rPr>
          <w:bCs/>
          <w:sz w:val="22"/>
          <w:szCs w:val="22"/>
        </w:rPr>
        <w:br/>
      </w:r>
      <w:r w:rsidR="00307FB4" w:rsidRPr="00B85F29">
        <w:rPr>
          <w:bCs/>
          <w:sz w:val="22"/>
          <w:szCs w:val="22"/>
        </w:rPr>
        <w:t>des télécommunications</w:t>
      </w:r>
    </w:p>
    <w:sectPr w:rsidR="00517A03" w:rsidRPr="00B85F29" w:rsidSect="00A15179">
      <w:headerReference w:type="default" r:id="rId14"/>
      <w:footerReference w:type="first" r:id="rId15"/>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01494" w14:textId="77777777" w:rsidR="00BC0C84" w:rsidRDefault="00BC0C84">
      <w:r>
        <w:separator/>
      </w:r>
    </w:p>
  </w:endnote>
  <w:endnote w:type="continuationSeparator" w:id="0">
    <w:p w14:paraId="31F0E11D" w14:textId="77777777" w:rsidR="00BC0C84" w:rsidRDefault="00BC0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A9C5" w14:textId="77777777" w:rsidR="005120A2" w:rsidRPr="003E66AD" w:rsidRDefault="005120A2" w:rsidP="00085F5A">
    <w:pPr>
      <w:tabs>
        <w:tab w:val="clear" w:pos="794"/>
        <w:tab w:val="clear" w:pos="1191"/>
        <w:tab w:val="clear" w:pos="1588"/>
        <w:tab w:val="clear" w:pos="1985"/>
      </w:tabs>
      <w:overflowPunct/>
      <w:autoSpaceDE/>
      <w:autoSpaceDN/>
      <w:adjustRightInd/>
      <w:spacing w:before="40"/>
      <w:ind w:left="-397" w:right="-397"/>
      <w:jc w:val="center"/>
      <w:textAlignment w:val="auto"/>
      <w:rPr>
        <w:color w:val="0070C0"/>
        <w:sz w:val="18"/>
        <w:szCs w:val="18"/>
        <w:lang w:val="fr-CH"/>
      </w:rPr>
    </w:pPr>
    <w:r w:rsidRPr="003E66AD">
      <w:rPr>
        <w:color w:val="0070C0"/>
        <w:sz w:val="18"/>
        <w:szCs w:val="18"/>
        <w:lang w:val="fr-CH"/>
      </w:rPr>
      <w:t>Union internationale des télécommunications • Place des Nations</w:t>
    </w:r>
    <w:r w:rsidR="00085F5A" w:rsidRPr="003E66AD">
      <w:rPr>
        <w:color w:val="0070C0"/>
        <w:sz w:val="18"/>
        <w:szCs w:val="18"/>
        <w:lang w:val="fr-CH"/>
      </w:rPr>
      <w:t xml:space="preserve"> •</w:t>
    </w:r>
    <w:r w:rsidRPr="003E66AD">
      <w:rPr>
        <w:color w:val="0070C0"/>
        <w:sz w:val="18"/>
        <w:szCs w:val="18"/>
        <w:lang w:val="fr-CH"/>
      </w:rPr>
      <w:t xml:space="preserve"> CH</w:t>
    </w:r>
    <w:r w:rsidRPr="003E66AD">
      <w:rPr>
        <w:color w:val="0070C0"/>
        <w:sz w:val="18"/>
        <w:szCs w:val="18"/>
        <w:lang w:val="fr-CH"/>
      </w:rPr>
      <w:noBreakHyphen/>
      <w:t>1211 Genève 20</w:t>
    </w:r>
    <w:r w:rsidR="00085F5A" w:rsidRPr="003E66AD">
      <w:rPr>
        <w:color w:val="0070C0"/>
        <w:sz w:val="18"/>
        <w:szCs w:val="18"/>
        <w:lang w:val="fr-CH"/>
      </w:rPr>
      <w:t xml:space="preserve"> •</w:t>
    </w:r>
    <w:r w:rsidRPr="003E66AD">
      <w:rPr>
        <w:color w:val="0070C0"/>
        <w:sz w:val="18"/>
        <w:szCs w:val="18"/>
        <w:lang w:val="fr-CH"/>
      </w:rPr>
      <w:t xml:space="preserve"> Suisse </w:t>
    </w:r>
    <w:r w:rsidRPr="003E66AD">
      <w:rPr>
        <w:color w:val="0070C0"/>
        <w:sz w:val="18"/>
        <w:szCs w:val="18"/>
        <w:lang w:val="fr-CH"/>
      </w:rPr>
      <w:br/>
    </w:r>
    <w:proofErr w:type="gramStart"/>
    <w:r w:rsidRPr="003E66AD">
      <w:rPr>
        <w:color w:val="0070C0"/>
        <w:sz w:val="18"/>
        <w:szCs w:val="18"/>
        <w:lang w:val="fr-CH"/>
      </w:rPr>
      <w:t>Tél</w:t>
    </w:r>
    <w:r w:rsidR="00085F5A" w:rsidRPr="003E66AD">
      <w:rPr>
        <w:color w:val="0070C0"/>
        <w:sz w:val="18"/>
        <w:szCs w:val="18"/>
        <w:lang w:val="fr-CH"/>
      </w:rPr>
      <w:t>.</w:t>
    </w:r>
    <w:r w:rsidRPr="003E66AD">
      <w:rPr>
        <w:color w:val="0070C0"/>
        <w:sz w:val="18"/>
        <w:szCs w:val="18"/>
        <w:lang w:val="fr-CH"/>
      </w:rPr>
      <w:t>:</w:t>
    </w:r>
    <w:proofErr w:type="gramEnd"/>
    <w:r w:rsidRPr="003E66AD">
      <w:rPr>
        <w:color w:val="0070C0"/>
        <w:sz w:val="18"/>
        <w:szCs w:val="18"/>
        <w:lang w:val="fr-CH"/>
      </w:rPr>
      <w:t xml:space="preserve"> +41 22 730 5111 • </w:t>
    </w:r>
    <w:proofErr w:type="gramStart"/>
    <w:r w:rsidRPr="003E66AD">
      <w:rPr>
        <w:color w:val="0070C0"/>
        <w:sz w:val="18"/>
        <w:szCs w:val="18"/>
        <w:lang w:val="fr-CH"/>
      </w:rPr>
      <w:t>Fax:</w:t>
    </w:r>
    <w:proofErr w:type="gramEnd"/>
    <w:r w:rsidRPr="003E66AD">
      <w:rPr>
        <w:color w:val="0070C0"/>
        <w:sz w:val="18"/>
        <w:szCs w:val="18"/>
        <w:lang w:val="fr-CH"/>
      </w:rPr>
      <w:t xml:space="preserve"> +41 22 733 7256 • </w:t>
    </w:r>
    <w:proofErr w:type="gramStart"/>
    <w:r w:rsidR="00085F5A" w:rsidRPr="003E66AD">
      <w:rPr>
        <w:color w:val="0070C0"/>
        <w:sz w:val="18"/>
        <w:szCs w:val="18"/>
        <w:lang w:val="fr-CH"/>
      </w:rPr>
      <w:t>Courriel</w:t>
    </w:r>
    <w:r w:rsidRPr="003E66AD">
      <w:rPr>
        <w:color w:val="0070C0"/>
        <w:sz w:val="18"/>
        <w:szCs w:val="18"/>
        <w:lang w:val="fr-CH"/>
      </w:rPr>
      <w:t>:</w:t>
    </w:r>
    <w:proofErr w:type="gramEnd"/>
    <w:r w:rsidRPr="003E66AD">
      <w:rPr>
        <w:color w:val="0070C0"/>
        <w:sz w:val="18"/>
        <w:szCs w:val="18"/>
        <w:lang w:val="fr-CH"/>
      </w:rPr>
      <w:t xml:space="preserve"> </w:t>
    </w:r>
    <w:hyperlink r:id="rId1" w:history="1">
      <w:r w:rsidRPr="003E66AD">
        <w:rPr>
          <w:rStyle w:val="Hyperlink"/>
          <w:color w:val="0070C0"/>
          <w:sz w:val="18"/>
          <w:szCs w:val="18"/>
        </w:rPr>
        <w:t>itumail@itu.int</w:t>
      </w:r>
    </w:hyperlink>
    <w:r w:rsidRPr="003E66AD">
      <w:rPr>
        <w:color w:val="0070C0"/>
        <w:sz w:val="18"/>
        <w:szCs w:val="18"/>
        <w:lang w:val="fr-CH"/>
      </w:rPr>
      <w:t xml:space="preserve"> • </w:t>
    </w:r>
    <w:hyperlink r:id="rId2" w:history="1">
      <w:r w:rsidRPr="003E66AD">
        <w:rPr>
          <w:rStyle w:val="Hyperlink"/>
          <w:color w:val="0070C0"/>
          <w:sz w:val="18"/>
          <w:szCs w:val="18"/>
        </w:rPr>
        <w:t>www.itu.int</w:t>
      </w:r>
    </w:hyperlink>
    <w:r w:rsidRPr="003E66AD">
      <w:rPr>
        <w:color w:val="0070C0"/>
        <w:sz w:val="18"/>
        <w:szCs w:val="18"/>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5585D" w14:textId="77777777" w:rsidR="00BC0C84" w:rsidRDefault="00BC0C84">
      <w:r>
        <w:t>____________________</w:t>
      </w:r>
    </w:p>
  </w:footnote>
  <w:footnote w:type="continuationSeparator" w:id="0">
    <w:p w14:paraId="3AEDB511" w14:textId="77777777" w:rsidR="00BC0C84" w:rsidRDefault="00BC0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5492" w14:textId="1C6FF5CE" w:rsidR="00697BC1" w:rsidRPr="00697BC1" w:rsidRDefault="006D7E77" w:rsidP="00697BC1">
    <w:pPr>
      <w:pStyle w:val="Header"/>
      <w:rPr>
        <w:sz w:val="18"/>
        <w:szCs w:val="16"/>
      </w:rPr>
    </w:pPr>
    <w:sdt>
      <w:sdtPr>
        <w:rPr>
          <w:sz w:val="18"/>
          <w:szCs w:val="16"/>
        </w:rPr>
        <w:id w:val="526448189"/>
        <w:docPartObj>
          <w:docPartGallery w:val="Page Numbers (Top of Page)"/>
          <w:docPartUnique/>
        </w:docPartObj>
      </w:sdtPr>
      <w:sdtEndPr>
        <w:rPr>
          <w:noProof/>
        </w:rPr>
      </w:sdtEndPr>
      <w:sdtContent>
        <w:r w:rsidR="00B85F29">
          <w:rPr>
            <w:sz w:val="18"/>
            <w:szCs w:val="16"/>
          </w:rPr>
          <w:t>-</w:t>
        </w:r>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036F4F">
          <w:rPr>
            <w:noProof/>
            <w:sz w:val="18"/>
            <w:szCs w:val="16"/>
          </w:rPr>
          <w:t>2</w:t>
        </w:r>
        <w:r w:rsidR="00697BC1" w:rsidRPr="00697BC1">
          <w:rPr>
            <w:noProof/>
            <w:sz w:val="18"/>
            <w:szCs w:val="16"/>
          </w:rPr>
          <w:fldChar w:fldCharType="end"/>
        </w:r>
        <w:r w:rsidR="00B85F29">
          <w:rPr>
            <w:noProof/>
            <w:sz w:val="18"/>
            <w:szCs w:val="16"/>
          </w:rPr>
          <w:t>-</w:t>
        </w:r>
      </w:sdtContent>
    </w:sdt>
    <w:r w:rsidR="00AF0D7D">
      <w:rPr>
        <w:noProof/>
        <w:sz w:val="18"/>
        <w:szCs w:val="16"/>
      </w:rPr>
      <w:br/>
      <w:t xml:space="preserve">Circulaire TSB </w:t>
    </w:r>
    <w:r w:rsidR="00B85F29">
      <w:rPr>
        <w:noProof/>
        <w:sz w:val="18"/>
        <w:szCs w:val="16"/>
      </w:rPr>
      <w:t>0</w:t>
    </w:r>
    <w:r w:rsidR="00023BE3">
      <w:rPr>
        <w:noProof/>
        <w:sz w:val="18"/>
        <w:szCs w:val="16"/>
      </w:rPr>
      <w:t>81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5120867">
    <w:abstractNumId w:val="1"/>
  </w:num>
  <w:num w:numId="2" w16cid:durableId="2119984868">
    <w:abstractNumId w:val="3"/>
  </w:num>
  <w:num w:numId="3" w16cid:durableId="2075545744">
    <w:abstractNumId w:val="2"/>
  </w:num>
  <w:num w:numId="4" w16cid:durableId="1871449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E9"/>
    <w:rsid w:val="000039EE"/>
    <w:rsid w:val="00005622"/>
    <w:rsid w:val="00023BE3"/>
    <w:rsid w:val="0002519E"/>
    <w:rsid w:val="00035B43"/>
    <w:rsid w:val="00036F4F"/>
    <w:rsid w:val="000758B3"/>
    <w:rsid w:val="00085F5A"/>
    <w:rsid w:val="000B0D96"/>
    <w:rsid w:val="000B59D8"/>
    <w:rsid w:val="000C1F6B"/>
    <w:rsid w:val="000C25CC"/>
    <w:rsid w:val="000C56BE"/>
    <w:rsid w:val="001026FD"/>
    <w:rsid w:val="001077FD"/>
    <w:rsid w:val="00115DD7"/>
    <w:rsid w:val="00167472"/>
    <w:rsid w:val="00167F92"/>
    <w:rsid w:val="00173738"/>
    <w:rsid w:val="001B79A3"/>
    <w:rsid w:val="002152A3"/>
    <w:rsid w:val="00231CF1"/>
    <w:rsid w:val="0023667A"/>
    <w:rsid w:val="002937DB"/>
    <w:rsid w:val="002E395D"/>
    <w:rsid w:val="00307FB4"/>
    <w:rsid w:val="003131F0"/>
    <w:rsid w:val="00333A80"/>
    <w:rsid w:val="00341117"/>
    <w:rsid w:val="00364E95"/>
    <w:rsid w:val="00372875"/>
    <w:rsid w:val="003742F8"/>
    <w:rsid w:val="003B1E80"/>
    <w:rsid w:val="003B66E8"/>
    <w:rsid w:val="003E66AD"/>
    <w:rsid w:val="004033F1"/>
    <w:rsid w:val="00414B0C"/>
    <w:rsid w:val="00423C21"/>
    <w:rsid w:val="004257AC"/>
    <w:rsid w:val="0043711B"/>
    <w:rsid w:val="004419E9"/>
    <w:rsid w:val="00445B68"/>
    <w:rsid w:val="0048088B"/>
    <w:rsid w:val="004977C9"/>
    <w:rsid w:val="004B732E"/>
    <w:rsid w:val="004D51F4"/>
    <w:rsid w:val="004D64E0"/>
    <w:rsid w:val="005120A2"/>
    <w:rsid w:val="0051210D"/>
    <w:rsid w:val="005136D2"/>
    <w:rsid w:val="00517A03"/>
    <w:rsid w:val="005A3DD9"/>
    <w:rsid w:val="005B1DFC"/>
    <w:rsid w:val="00601682"/>
    <w:rsid w:val="00603470"/>
    <w:rsid w:val="00625E79"/>
    <w:rsid w:val="006333F7"/>
    <w:rsid w:val="006427A1"/>
    <w:rsid w:val="00644741"/>
    <w:rsid w:val="00697BC1"/>
    <w:rsid w:val="006A6FFE"/>
    <w:rsid w:val="006A7850"/>
    <w:rsid w:val="006C5A91"/>
    <w:rsid w:val="006D7E77"/>
    <w:rsid w:val="006F52F7"/>
    <w:rsid w:val="00716BBC"/>
    <w:rsid w:val="007321BC"/>
    <w:rsid w:val="00760063"/>
    <w:rsid w:val="00775E4B"/>
    <w:rsid w:val="0079553B"/>
    <w:rsid w:val="00795679"/>
    <w:rsid w:val="007A40FE"/>
    <w:rsid w:val="007E74F9"/>
    <w:rsid w:val="00810105"/>
    <w:rsid w:val="008157E0"/>
    <w:rsid w:val="00850477"/>
    <w:rsid w:val="00854E1D"/>
    <w:rsid w:val="00887FA6"/>
    <w:rsid w:val="008C4397"/>
    <w:rsid w:val="008C465A"/>
    <w:rsid w:val="008F2C9B"/>
    <w:rsid w:val="00923CD6"/>
    <w:rsid w:val="00935AA8"/>
    <w:rsid w:val="00971C9A"/>
    <w:rsid w:val="009D51FA"/>
    <w:rsid w:val="009F1E23"/>
    <w:rsid w:val="00A15179"/>
    <w:rsid w:val="00A51537"/>
    <w:rsid w:val="00A5280F"/>
    <w:rsid w:val="00A5645A"/>
    <w:rsid w:val="00A60FC1"/>
    <w:rsid w:val="00A97C37"/>
    <w:rsid w:val="00AA131B"/>
    <w:rsid w:val="00AC37B5"/>
    <w:rsid w:val="00AD752F"/>
    <w:rsid w:val="00AF08A4"/>
    <w:rsid w:val="00AF0D7D"/>
    <w:rsid w:val="00B27B41"/>
    <w:rsid w:val="00B42659"/>
    <w:rsid w:val="00B46F2D"/>
    <w:rsid w:val="00B60868"/>
    <w:rsid w:val="00B8573E"/>
    <w:rsid w:val="00B85F29"/>
    <w:rsid w:val="00BB24C0"/>
    <w:rsid w:val="00BC0C84"/>
    <w:rsid w:val="00BD6ECF"/>
    <w:rsid w:val="00C26F2E"/>
    <w:rsid w:val="00C302E3"/>
    <w:rsid w:val="00C41B89"/>
    <w:rsid w:val="00C45376"/>
    <w:rsid w:val="00C9028F"/>
    <w:rsid w:val="00CA0416"/>
    <w:rsid w:val="00CB1125"/>
    <w:rsid w:val="00CB4E80"/>
    <w:rsid w:val="00CC66A8"/>
    <w:rsid w:val="00CD042E"/>
    <w:rsid w:val="00CF2560"/>
    <w:rsid w:val="00CF5B46"/>
    <w:rsid w:val="00D46B68"/>
    <w:rsid w:val="00D542A5"/>
    <w:rsid w:val="00D90607"/>
    <w:rsid w:val="00DC3D47"/>
    <w:rsid w:val="00DD77DA"/>
    <w:rsid w:val="00E06C61"/>
    <w:rsid w:val="00E13DB3"/>
    <w:rsid w:val="00E2408B"/>
    <w:rsid w:val="00E62CEA"/>
    <w:rsid w:val="00E72AE1"/>
    <w:rsid w:val="00ED6A7A"/>
    <w:rsid w:val="00EE4C36"/>
    <w:rsid w:val="00EF6A23"/>
    <w:rsid w:val="00F346CE"/>
    <w:rsid w:val="00F34F98"/>
    <w:rsid w:val="00F40540"/>
    <w:rsid w:val="00F67402"/>
    <w:rsid w:val="00F766A2"/>
    <w:rsid w:val="00F9451D"/>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4031F"/>
  <w15:docId w15:val="{C0C524F5-3929-45CC-8FD1-E984F510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styleId="UnresolvedMention">
    <w:name w:val="Unresolved Mention"/>
    <w:basedOn w:val="DefaultParagraphFont"/>
    <w:uiPriority w:val="99"/>
    <w:semiHidden/>
    <w:unhideWhenUsed/>
    <w:rsid w:val="00307FB4"/>
    <w:rPr>
      <w:color w:val="605E5C"/>
      <w:shd w:val="clear" w:color="auto" w:fill="E1DFDD"/>
    </w:rPr>
  </w:style>
  <w:style w:type="character" w:styleId="FollowedHyperlink">
    <w:name w:val="FollowedHyperlink"/>
    <w:basedOn w:val="DefaultParagraphFont"/>
    <w:semiHidden/>
    <w:unhideWhenUsed/>
    <w:rsid w:val="00307F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cities/digitaltransformationdialogues/empowering-lives-through-people-centred-smart-citi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4ssc.itu.int/9th-meet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4ssc.itu.int/" TargetMode="External"/><Relationship Id="rId4" Type="http://schemas.openxmlformats.org/officeDocument/2006/relationships/settings" Target="settings.xml"/><Relationship Id="rId9" Type="http://schemas.openxmlformats.org/officeDocument/2006/relationships/hyperlink" Target="mailto:u4ssc@itu.in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6824F-16C0-45D0-B266-61AC5B6DA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574</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4206</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French</dc:creator>
  <cp:lastModifiedBy>Braud, Olivia</cp:lastModifiedBy>
  <cp:revision>6</cp:revision>
  <cp:lastPrinted>2025-11-27T13:40:00Z</cp:lastPrinted>
  <dcterms:created xsi:type="dcterms:W3CDTF">2025-10-16T13:44:00Z</dcterms:created>
  <dcterms:modified xsi:type="dcterms:W3CDTF">2025-11-27T13:40:00Z</dcterms:modified>
</cp:coreProperties>
</file>