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3467"/>
        <w:gridCol w:w="4754"/>
      </w:tblGrid>
      <w:tr w:rsidR="007B6316" w:rsidRPr="00C26DA2" w14:paraId="6A225B40" w14:textId="77777777" w:rsidTr="001B21EE">
        <w:trPr>
          <w:cantSplit/>
          <w:trHeight w:val="340"/>
        </w:trPr>
        <w:tc>
          <w:tcPr>
            <w:tcW w:w="1410" w:type="dxa"/>
          </w:tcPr>
          <w:p w14:paraId="158D18D4" w14:textId="77777777" w:rsidR="007B6316" w:rsidRPr="00C26DA2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lang w:val="es-ES"/>
              </w:rPr>
            </w:pPr>
            <w:r w:rsidRPr="00C26DA2">
              <w:rPr>
                <w:noProof/>
                <w:lang w:val="es-ES" w:eastAsia="zh-CN"/>
              </w:rPr>
              <w:drawing>
                <wp:inline distT="0" distB="0" distL="0" distR="0" wp14:anchorId="7C478A0F" wp14:editId="5F886D30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gridSpan w:val="2"/>
            <w:vAlign w:val="center"/>
          </w:tcPr>
          <w:p w14:paraId="60FE482B" w14:textId="77777777" w:rsidR="007B6316" w:rsidRPr="00C26DA2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es-ES"/>
              </w:rPr>
            </w:pPr>
            <w:r w:rsidRPr="00C26DA2">
              <w:rPr>
                <w:rFonts w:cs="Times New Roman Bold"/>
                <w:b/>
                <w:bCs/>
                <w:smallCaps/>
                <w:sz w:val="36"/>
                <w:szCs w:val="36"/>
                <w:lang w:val="es-ES"/>
              </w:rPr>
              <w:t>Unión Internacional de Telecomunicaciones</w:t>
            </w:r>
          </w:p>
          <w:p w14:paraId="16237A95" w14:textId="77777777" w:rsidR="007B6316" w:rsidRPr="00C26DA2" w:rsidRDefault="007B6316" w:rsidP="007B6316">
            <w:pPr>
              <w:spacing w:before="0"/>
              <w:rPr>
                <w:lang w:val="es-ES"/>
              </w:rPr>
            </w:pPr>
            <w:r w:rsidRPr="00C26DA2">
              <w:rPr>
                <w:rFonts w:cs="Times New Roman Bold"/>
                <w:b/>
                <w:bCs/>
                <w:smallCaps/>
                <w:sz w:val="28"/>
                <w:szCs w:val="28"/>
                <w:lang w:val="es-ES"/>
              </w:rPr>
              <w:t>Oficina</w:t>
            </w:r>
            <w:r w:rsidRPr="00C26DA2">
              <w:rPr>
                <w:rFonts w:cs="Times New Roman Bold"/>
                <w:b/>
                <w:bCs/>
                <w:iCs/>
                <w:smallCaps/>
                <w:sz w:val="22"/>
                <w:szCs w:val="22"/>
                <w:lang w:val="es-ES"/>
              </w:rPr>
              <w:t xml:space="preserve"> </w:t>
            </w:r>
            <w:r w:rsidRPr="00C26DA2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es-ES"/>
              </w:rPr>
              <w:t>de Normalización de las Telecomunicaciones</w:t>
            </w:r>
          </w:p>
        </w:tc>
      </w:tr>
      <w:tr w:rsidR="007B6316" w:rsidRPr="00C26DA2" w14:paraId="331F555C" w14:textId="77777777" w:rsidTr="000D3203">
        <w:trPr>
          <w:cantSplit/>
          <w:trHeight w:val="340"/>
        </w:trPr>
        <w:tc>
          <w:tcPr>
            <w:tcW w:w="1410" w:type="dxa"/>
          </w:tcPr>
          <w:p w14:paraId="43139E23" w14:textId="77777777" w:rsidR="007B6316" w:rsidRPr="00C26DA2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lang w:val="es-ES"/>
              </w:rPr>
            </w:pPr>
          </w:p>
        </w:tc>
        <w:tc>
          <w:tcPr>
            <w:tcW w:w="3467" w:type="dxa"/>
          </w:tcPr>
          <w:p w14:paraId="62A6702A" w14:textId="77777777" w:rsidR="007B6316" w:rsidRPr="00C26DA2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lang w:val="es-ES"/>
              </w:rPr>
            </w:pPr>
          </w:p>
        </w:tc>
        <w:tc>
          <w:tcPr>
            <w:tcW w:w="4754" w:type="dxa"/>
          </w:tcPr>
          <w:p w14:paraId="2629F817" w14:textId="40AE81AF" w:rsidR="007B6316" w:rsidRPr="00C26DA2" w:rsidRDefault="007B6316" w:rsidP="001B79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lang w:val="es-ES"/>
              </w:rPr>
            </w:pPr>
            <w:r w:rsidRPr="00C26DA2">
              <w:rPr>
                <w:szCs w:val="24"/>
                <w:lang w:val="es-ES"/>
              </w:rPr>
              <w:t>Ginebra,</w:t>
            </w:r>
            <w:r w:rsidR="001B797A" w:rsidRPr="00C26DA2">
              <w:rPr>
                <w:szCs w:val="24"/>
                <w:lang w:val="es-ES"/>
              </w:rPr>
              <w:t xml:space="preserve"> 17 de octubre de 2025</w:t>
            </w:r>
          </w:p>
        </w:tc>
      </w:tr>
      <w:tr w:rsidR="001350B9" w:rsidRPr="00C26DA2" w14:paraId="38421851" w14:textId="77777777" w:rsidTr="000D3203">
        <w:trPr>
          <w:cantSplit/>
          <w:trHeight w:val="340"/>
        </w:trPr>
        <w:tc>
          <w:tcPr>
            <w:tcW w:w="1410" w:type="dxa"/>
          </w:tcPr>
          <w:p w14:paraId="541A7D71" w14:textId="77777777" w:rsidR="001350B9" w:rsidRPr="00C26DA2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lang w:val="es-ES"/>
              </w:rPr>
            </w:pPr>
            <w:r w:rsidRPr="00C26DA2">
              <w:rPr>
                <w:b/>
                <w:bCs/>
                <w:sz w:val="22"/>
                <w:lang w:val="es-ES"/>
              </w:rPr>
              <w:t>Ref.:</w:t>
            </w:r>
          </w:p>
          <w:p w14:paraId="174B3BC8" w14:textId="77777777" w:rsidR="001350B9" w:rsidRPr="00C26DA2" w:rsidRDefault="001350B9" w:rsidP="007B6316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lang w:val="es-ES"/>
              </w:rPr>
            </w:pPr>
          </w:p>
        </w:tc>
        <w:tc>
          <w:tcPr>
            <w:tcW w:w="3467" w:type="dxa"/>
          </w:tcPr>
          <w:p w14:paraId="3C41386E" w14:textId="154402C5" w:rsidR="001350B9" w:rsidRPr="00C26DA2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b/>
                <w:lang w:val="es-ES"/>
              </w:rPr>
            </w:pPr>
            <w:r w:rsidRPr="00C26DA2">
              <w:rPr>
                <w:b/>
                <w:lang w:val="es-ES"/>
              </w:rPr>
              <w:t xml:space="preserve">Circular TSB </w:t>
            </w:r>
            <w:r w:rsidR="001B797A" w:rsidRPr="00C26DA2">
              <w:rPr>
                <w:b/>
                <w:lang w:val="es-ES"/>
              </w:rPr>
              <w:t>80</w:t>
            </w:r>
          </w:p>
          <w:p w14:paraId="0BE4AFD2" w14:textId="42B57EF0" w:rsidR="001350B9" w:rsidRPr="00C26DA2" w:rsidRDefault="001B797A" w:rsidP="001B797A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lang w:val="es-ES"/>
              </w:rPr>
            </w:pPr>
            <w:r w:rsidRPr="00C26DA2">
              <w:rPr>
                <w:b/>
                <w:bCs/>
                <w:lang w:val="es-ES"/>
              </w:rPr>
              <w:t>SG20/CB</w:t>
            </w:r>
          </w:p>
        </w:tc>
        <w:tc>
          <w:tcPr>
            <w:tcW w:w="4754" w:type="dxa"/>
            <w:vMerge w:val="restart"/>
          </w:tcPr>
          <w:p w14:paraId="1F51A7C9" w14:textId="77777777" w:rsidR="001B797A" w:rsidRPr="001B797A" w:rsidRDefault="001B797A" w:rsidP="001B79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b/>
                <w:bCs/>
                <w:lang w:val="es-ES"/>
              </w:rPr>
            </w:pPr>
            <w:bookmarkStart w:id="0" w:name="Addressee_S"/>
            <w:bookmarkEnd w:id="0"/>
            <w:r w:rsidRPr="001B797A">
              <w:rPr>
                <w:b/>
                <w:bCs/>
                <w:lang w:val="es-ES"/>
              </w:rPr>
              <w:t>A:</w:t>
            </w:r>
          </w:p>
          <w:p w14:paraId="1A9E7DDF" w14:textId="77777777" w:rsidR="001B797A" w:rsidRPr="001B797A" w:rsidRDefault="001B797A" w:rsidP="001B79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1B797A">
              <w:rPr>
                <w:lang w:val="es-ES"/>
              </w:rPr>
              <w:t>–</w:t>
            </w:r>
            <w:r w:rsidRPr="001B797A">
              <w:rPr>
                <w:lang w:val="es-ES"/>
              </w:rPr>
              <w:tab/>
              <w:t>las Administraciones de los Estados Miembros de la Unión;</w:t>
            </w:r>
          </w:p>
          <w:p w14:paraId="4D4FA229" w14:textId="77777777" w:rsidR="001B797A" w:rsidRPr="001B797A" w:rsidRDefault="001B797A" w:rsidP="001B79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1B797A">
              <w:rPr>
                <w:lang w:val="es-ES"/>
              </w:rPr>
              <w:t>–</w:t>
            </w:r>
            <w:r w:rsidRPr="001B797A">
              <w:rPr>
                <w:lang w:val="es-ES"/>
              </w:rPr>
              <w:tab/>
              <w:t>el Estado de Palestina (Res. 99 (Rev. Dubái, 2018))</w:t>
            </w:r>
          </w:p>
          <w:p w14:paraId="030CEA0C" w14:textId="77777777" w:rsidR="001B797A" w:rsidRPr="001B797A" w:rsidRDefault="001B797A" w:rsidP="001B79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b/>
                <w:bCs/>
                <w:lang w:val="es-ES"/>
              </w:rPr>
            </w:pPr>
            <w:r w:rsidRPr="001B797A">
              <w:rPr>
                <w:b/>
                <w:bCs/>
                <w:lang w:val="es-ES"/>
              </w:rPr>
              <w:t>Copia a:</w:t>
            </w:r>
          </w:p>
          <w:p w14:paraId="217B7819" w14:textId="77777777" w:rsidR="001B797A" w:rsidRPr="001B797A" w:rsidRDefault="001B797A" w:rsidP="001B79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1B797A">
              <w:rPr>
                <w:lang w:val="es-ES"/>
              </w:rPr>
              <w:t>–</w:t>
            </w:r>
            <w:r w:rsidRPr="001B797A">
              <w:rPr>
                <w:lang w:val="es-ES"/>
              </w:rPr>
              <w:tab/>
              <w:t>los Miembros del Sector UIT</w:t>
            </w:r>
            <w:r w:rsidRPr="001B797A">
              <w:rPr>
                <w:lang w:val="es-ES"/>
              </w:rPr>
              <w:noBreakHyphen/>
              <w:t>T;</w:t>
            </w:r>
          </w:p>
          <w:p w14:paraId="18BB113B" w14:textId="77777777" w:rsidR="001B797A" w:rsidRPr="001B797A" w:rsidRDefault="001B797A" w:rsidP="001B79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1B797A">
              <w:rPr>
                <w:lang w:val="es-ES"/>
              </w:rPr>
              <w:t>–</w:t>
            </w:r>
            <w:r w:rsidRPr="001B797A">
              <w:rPr>
                <w:lang w:val="es-ES"/>
              </w:rPr>
              <w:tab/>
              <w:t>los Asociados de la Comisión de Estudio 20 del UIT-T;</w:t>
            </w:r>
          </w:p>
          <w:p w14:paraId="5B90CD1D" w14:textId="77777777" w:rsidR="001B797A" w:rsidRPr="001B797A" w:rsidRDefault="001B797A" w:rsidP="001B79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1B797A">
              <w:rPr>
                <w:lang w:val="es-ES"/>
              </w:rPr>
              <w:t>–</w:t>
            </w:r>
            <w:r w:rsidRPr="001B797A">
              <w:rPr>
                <w:lang w:val="es-ES"/>
              </w:rPr>
              <w:tab/>
              <w:t>las Instituciones Académicas de la UIT;</w:t>
            </w:r>
          </w:p>
          <w:p w14:paraId="5D19B2B7" w14:textId="77777777" w:rsidR="001B797A" w:rsidRPr="001B797A" w:rsidRDefault="001B797A" w:rsidP="001B79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1B797A">
              <w:rPr>
                <w:lang w:val="es-ES"/>
              </w:rPr>
              <w:t>–</w:t>
            </w:r>
            <w:r w:rsidRPr="001B797A">
              <w:rPr>
                <w:lang w:val="es-ES"/>
              </w:rPr>
              <w:tab/>
              <w:t xml:space="preserve">el </w:t>
            </w:r>
            <w:proofErr w:type="gramStart"/>
            <w:r w:rsidRPr="001B797A">
              <w:rPr>
                <w:lang w:val="es-ES"/>
              </w:rPr>
              <w:t>Presidente</w:t>
            </w:r>
            <w:proofErr w:type="gramEnd"/>
            <w:r w:rsidRPr="001B797A">
              <w:rPr>
                <w:lang w:val="es-ES"/>
              </w:rPr>
              <w:t xml:space="preserve"> y </w:t>
            </w:r>
            <w:proofErr w:type="gramStart"/>
            <w:r w:rsidRPr="001B797A">
              <w:rPr>
                <w:lang w:val="es-ES"/>
              </w:rPr>
              <w:t>Vicepresidentes</w:t>
            </w:r>
            <w:proofErr w:type="gramEnd"/>
            <w:r w:rsidRPr="001B797A">
              <w:rPr>
                <w:lang w:val="es-ES"/>
              </w:rPr>
              <w:t xml:space="preserve"> de la Comisión de Estudio 20 del UIT</w:t>
            </w:r>
            <w:r w:rsidRPr="001B797A">
              <w:rPr>
                <w:lang w:val="es-ES"/>
              </w:rPr>
              <w:noBreakHyphen/>
              <w:t>T;</w:t>
            </w:r>
          </w:p>
          <w:p w14:paraId="3DEA06E0" w14:textId="77777777" w:rsidR="001B797A" w:rsidRPr="001B797A" w:rsidRDefault="001B797A" w:rsidP="001B79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1B797A">
              <w:rPr>
                <w:lang w:val="es-ES"/>
              </w:rPr>
              <w:t>–</w:t>
            </w:r>
            <w:r w:rsidRPr="001B797A">
              <w:rPr>
                <w:lang w:val="es-ES"/>
              </w:rPr>
              <w:tab/>
              <w:t xml:space="preserve">el </w:t>
            </w:r>
            <w:proofErr w:type="gramStart"/>
            <w:r w:rsidRPr="001B797A">
              <w:rPr>
                <w:lang w:val="es-ES"/>
              </w:rPr>
              <w:t>Director</w:t>
            </w:r>
            <w:proofErr w:type="gramEnd"/>
            <w:r w:rsidRPr="001B797A">
              <w:rPr>
                <w:lang w:val="es-ES"/>
              </w:rPr>
              <w:t xml:space="preserve"> de la Oficina de Desarrollo de las Telecomunicaciones;</w:t>
            </w:r>
          </w:p>
          <w:p w14:paraId="29B5A32F" w14:textId="505E21D9" w:rsidR="001350B9" w:rsidRPr="00C26DA2" w:rsidRDefault="001B797A" w:rsidP="001B797A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lang w:val="es-ES"/>
              </w:rPr>
            </w:pPr>
            <w:r w:rsidRPr="00C26DA2">
              <w:rPr>
                <w:lang w:val="es-ES"/>
              </w:rPr>
              <w:t>–</w:t>
            </w:r>
            <w:r w:rsidRPr="00C26DA2">
              <w:rPr>
                <w:lang w:val="es-ES"/>
              </w:rPr>
              <w:tab/>
              <w:t xml:space="preserve">el </w:t>
            </w:r>
            <w:proofErr w:type="gramStart"/>
            <w:r w:rsidRPr="00C26DA2">
              <w:rPr>
                <w:lang w:val="es-ES"/>
              </w:rPr>
              <w:t>Director</w:t>
            </w:r>
            <w:proofErr w:type="gramEnd"/>
            <w:r w:rsidRPr="00C26DA2">
              <w:rPr>
                <w:lang w:val="es-ES"/>
              </w:rPr>
              <w:t xml:space="preserve"> de la Oficina de Radiocomunicaciones</w:t>
            </w:r>
            <w:r w:rsidR="00F541E8">
              <w:rPr>
                <w:lang w:val="es-ES"/>
              </w:rPr>
              <w:t>.</w:t>
            </w:r>
          </w:p>
        </w:tc>
      </w:tr>
      <w:tr w:rsidR="001350B9" w:rsidRPr="00C26DA2" w14:paraId="4B9FDD06" w14:textId="77777777" w:rsidTr="000D3203">
        <w:trPr>
          <w:cantSplit/>
        </w:trPr>
        <w:tc>
          <w:tcPr>
            <w:tcW w:w="1410" w:type="dxa"/>
          </w:tcPr>
          <w:p w14:paraId="5AABB7E3" w14:textId="77777777" w:rsidR="001350B9" w:rsidRPr="00C26DA2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lang w:val="es-ES"/>
              </w:rPr>
            </w:pPr>
            <w:r w:rsidRPr="00C26DA2">
              <w:rPr>
                <w:b/>
                <w:bCs/>
                <w:sz w:val="22"/>
                <w:lang w:val="es-ES"/>
              </w:rPr>
              <w:t>Tel.:</w:t>
            </w:r>
          </w:p>
        </w:tc>
        <w:tc>
          <w:tcPr>
            <w:tcW w:w="3467" w:type="dxa"/>
          </w:tcPr>
          <w:p w14:paraId="08BA5EDA" w14:textId="2A0ACD24" w:rsidR="001350B9" w:rsidRPr="00C26DA2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lang w:val="es-ES"/>
              </w:rPr>
            </w:pPr>
            <w:r w:rsidRPr="00C26DA2">
              <w:rPr>
                <w:lang w:val="es-ES"/>
              </w:rPr>
              <w:t>+41 22 730</w:t>
            </w:r>
            <w:r w:rsidR="001B797A" w:rsidRPr="00C26DA2">
              <w:rPr>
                <w:lang w:val="es-ES"/>
              </w:rPr>
              <w:t xml:space="preserve"> 6301</w:t>
            </w:r>
          </w:p>
        </w:tc>
        <w:tc>
          <w:tcPr>
            <w:tcW w:w="4754" w:type="dxa"/>
            <w:vMerge/>
          </w:tcPr>
          <w:p w14:paraId="70D58D6F" w14:textId="77777777" w:rsidR="001350B9" w:rsidRPr="00C26DA2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lang w:val="es-ES"/>
              </w:rPr>
            </w:pPr>
          </w:p>
        </w:tc>
      </w:tr>
      <w:tr w:rsidR="001350B9" w:rsidRPr="00C26DA2" w14:paraId="1366FC80" w14:textId="77777777" w:rsidTr="000D3203">
        <w:trPr>
          <w:cantSplit/>
        </w:trPr>
        <w:tc>
          <w:tcPr>
            <w:tcW w:w="1410" w:type="dxa"/>
          </w:tcPr>
          <w:p w14:paraId="4EEF1934" w14:textId="77777777" w:rsidR="001350B9" w:rsidRPr="00C26DA2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lang w:val="es-ES"/>
              </w:rPr>
            </w:pPr>
            <w:r w:rsidRPr="00C26DA2">
              <w:rPr>
                <w:b/>
                <w:bCs/>
                <w:sz w:val="22"/>
                <w:lang w:val="es-ES"/>
              </w:rPr>
              <w:t>Fax:</w:t>
            </w:r>
          </w:p>
        </w:tc>
        <w:tc>
          <w:tcPr>
            <w:tcW w:w="3467" w:type="dxa"/>
          </w:tcPr>
          <w:p w14:paraId="45A6BA8E" w14:textId="77777777" w:rsidR="001350B9" w:rsidRPr="00C26DA2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lang w:val="es-ES"/>
              </w:rPr>
            </w:pPr>
            <w:r w:rsidRPr="00C26DA2">
              <w:rPr>
                <w:lang w:val="es-ES"/>
              </w:rPr>
              <w:t>+41 22 730 5853</w:t>
            </w:r>
          </w:p>
        </w:tc>
        <w:tc>
          <w:tcPr>
            <w:tcW w:w="4754" w:type="dxa"/>
            <w:vMerge/>
          </w:tcPr>
          <w:p w14:paraId="284FAB2F" w14:textId="77777777" w:rsidR="001350B9" w:rsidRPr="00C26DA2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lang w:val="es-ES"/>
              </w:rPr>
            </w:pPr>
          </w:p>
        </w:tc>
      </w:tr>
      <w:tr w:rsidR="001350B9" w:rsidRPr="00C26DA2" w14:paraId="3C141D06" w14:textId="77777777" w:rsidTr="000D3203">
        <w:trPr>
          <w:cantSplit/>
          <w:trHeight w:val="3656"/>
        </w:trPr>
        <w:tc>
          <w:tcPr>
            <w:tcW w:w="1410" w:type="dxa"/>
          </w:tcPr>
          <w:p w14:paraId="70F1667B" w14:textId="77777777" w:rsidR="001350B9" w:rsidRPr="00C26DA2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lang w:val="es-ES"/>
              </w:rPr>
            </w:pPr>
            <w:r w:rsidRPr="00C26DA2">
              <w:rPr>
                <w:b/>
                <w:bCs/>
                <w:sz w:val="22"/>
                <w:lang w:val="es-ES"/>
              </w:rPr>
              <w:t>Correo-e:</w:t>
            </w:r>
          </w:p>
        </w:tc>
        <w:tc>
          <w:tcPr>
            <w:tcW w:w="3467" w:type="dxa"/>
          </w:tcPr>
          <w:p w14:paraId="77F56E6C" w14:textId="34987EA1" w:rsidR="001350B9" w:rsidRPr="00C26DA2" w:rsidRDefault="001B797A" w:rsidP="00303D62">
            <w:pPr>
              <w:tabs>
                <w:tab w:val="left" w:pos="4111"/>
              </w:tabs>
              <w:spacing w:before="0"/>
              <w:ind w:left="57"/>
              <w:rPr>
                <w:lang w:val="es-ES"/>
              </w:rPr>
            </w:pPr>
            <w:hyperlink r:id="rId9" w:history="1">
              <w:r w:rsidRPr="00C26DA2">
                <w:rPr>
                  <w:rStyle w:val="Hyperlink"/>
                  <w:lang w:val="es-ES"/>
                </w:rPr>
                <w:t>tsbsg20@itu.int</w:t>
              </w:r>
            </w:hyperlink>
            <w:r w:rsidR="001350B9" w:rsidRPr="00C26DA2">
              <w:rPr>
                <w:lang w:val="es-ES"/>
              </w:rPr>
              <w:t xml:space="preserve"> </w:t>
            </w:r>
          </w:p>
        </w:tc>
        <w:tc>
          <w:tcPr>
            <w:tcW w:w="4754" w:type="dxa"/>
            <w:vMerge/>
          </w:tcPr>
          <w:p w14:paraId="1D9A1B40" w14:textId="77777777" w:rsidR="001350B9" w:rsidRPr="00C26DA2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lang w:val="es-ES"/>
              </w:rPr>
            </w:pPr>
          </w:p>
        </w:tc>
      </w:tr>
      <w:tr w:rsidR="007B6316" w:rsidRPr="00C26DA2" w14:paraId="1BE3B25C" w14:textId="77777777" w:rsidTr="000D3203">
        <w:trPr>
          <w:cantSplit/>
        </w:trPr>
        <w:tc>
          <w:tcPr>
            <w:tcW w:w="1410" w:type="dxa"/>
          </w:tcPr>
          <w:p w14:paraId="6AFC29C8" w14:textId="77777777" w:rsidR="007B6316" w:rsidRPr="00C26DA2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lang w:val="es-ES"/>
              </w:rPr>
            </w:pPr>
            <w:r w:rsidRPr="00C26DA2">
              <w:rPr>
                <w:b/>
                <w:bCs/>
                <w:sz w:val="22"/>
                <w:lang w:val="es-ES"/>
              </w:rPr>
              <w:t>Asunto:</w:t>
            </w:r>
          </w:p>
        </w:tc>
        <w:tc>
          <w:tcPr>
            <w:tcW w:w="8221" w:type="dxa"/>
            <w:gridSpan w:val="2"/>
          </w:tcPr>
          <w:p w14:paraId="66DBDE15" w14:textId="040B08CC" w:rsidR="007B6316" w:rsidRPr="00C26DA2" w:rsidRDefault="001B797A" w:rsidP="001B797A">
            <w:pPr>
              <w:tabs>
                <w:tab w:val="left" w:pos="4111"/>
              </w:tabs>
              <w:spacing w:before="0"/>
              <w:rPr>
                <w:b/>
                <w:lang w:val="es-ES"/>
              </w:rPr>
            </w:pPr>
            <w:r w:rsidRPr="00C26DA2">
              <w:rPr>
                <w:b/>
                <w:lang w:val="es-ES"/>
              </w:rPr>
              <w:t xml:space="preserve">Situación de las Recomendaciones UIT-T Y.4235 (ex </w:t>
            </w:r>
            <w:proofErr w:type="gramStart"/>
            <w:r w:rsidRPr="00C26DA2">
              <w:rPr>
                <w:b/>
                <w:lang w:val="es-ES"/>
              </w:rPr>
              <w:t>Y.PGComNet</w:t>
            </w:r>
            <w:proofErr w:type="gramEnd"/>
            <w:r w:rsidRPr="00C26DA2">
              <w:rPr>
                <w:b/>
                <w:lang w:val="es-ES"/>
              </w:rPr>
              <w:t xml:space="preserve">-Reqts), UIT-T Y.4236 (ex Y.EMM-Reqts), UIT-T Y.4237 (ex </w:t>
            </w:r>
            <w:proofErr w:type="gramStart"/>
            <w:r w:rsidRPr="00C26DA2">
              <w:rPr>
                <w:b/>
                <w:lang w:val="es-ES"/>
              </w:rPr>
              <w:t>Y.dt</w:t>
            </w:r>
            <w:proofErr w:type="gramEnd"/>
            <w:r w:rsidRPr="00C26DA2">
              <w:rPr>
                <w:b/>
                <w:lang w:val="es-ES"/>
              </w:rPr>
              <w:t>-IWCS), UIT-T Y.4496 (ex</w:t>
            </w:r>
            <w:r w:rsidR="00DA1A91">
              <w:rPr>
                <w:b/>
                <w:lang w:val="es-ES"/>
              </w:rPr>
              <w:t> </w:t>
            </w:r>
            <w:r w:rsidRPr="00C26DA2">
              <w:rPr>
                <w:b/>
                <w:lang w:val="es-ES"/>
              </w:rPr>
              <w:t>Y.RA</w:t>
            </w:r>
            <w:r w:rsidR="00DA1A91">
              <w:rPr>
                <w:b/>
                <w:lang w:val="es-ES"/>
              </w:rPr>
              <w:noBreakHyphen/>
            </w:r>
            <w:r w:rsidRPr="00C26DA2">
              <w:rPr>
                <w:b/>
                <w:lang w:val="es-ES"/>
              </w:rPr>
              <w:t>PHE), UIT</w:t>
            </w:r>
            <w:r w:rsidR="001B21EE" w:rsidRPr="00C26DA2">
              <w:rPr>
                <w:b/>
                <w:lang w:val="es-ES"/>
              </w:rPr>
              <w:noBreakHyphen/>
            </w:r>
            <w:r w:rsidRPr="00C26DA2">
              <w:rPr>
                <w:b/>
                <w:lang w:val="es-ES"/>
              </w:rPr>
              <w:t>T</w:t>
            </w:r>
            <w:r w:rsidR="001B21EE" w:rsidRPr="00C26DA2">
              <w:rPr>
                <w:b/>
                <w:lang w:val="es-ES"/>
              </w:rPr>
              <w:t> </w:t>
            </w:r>
            <w:r w:rsidRPr="00C26DA2">
              <w:rPr>
                <w:b/>
                <w:lang w:val="es-ES"/>
              </w:rPr>
              <w:t xml:space="preserve">Y.4708 (ex </w:t>
            </w:r>
            <w:proofErr w:type="gramStart"/>
            <w:r w:rsidRPr="00C26DA2">
              <w:rPr>
                <w:b/>
                <w:lang w:val="es-ES"/>
              </w:rPr>
              <w:t>Y.IoT</w:t>
            </w:r>
            <w:proofErr w:type="gramEnd"/>
            <w:r w:rsidRPr="00C26DA2">
              <w:rPr>
                <w:b/>
                <w:lang w:val="es-ES"/>
              </w:rPr>
              <w:t xml:space="preserve">-DPE), UIT-T Y.4609 (ex </w:t>
            </w:r>
            <w:proofErr w:type="gramStart"/>
            <w:r w:rsidRPr="00C26DA2">
              <w:rPr>
                <w:b/>
                <w:lang w:val="es-ES"/>
              </w:rPr>
              <w:t>Y.metadata</w:t>
            </w:r>
            <w:proofErr w:type="gramEnd"/>
            <w:r w:rsidRPr="00C26DA2">
              <w:rPr>
                <w:b/>
                <w:lang w:val="es-ES"/>
              </w:rPr>
              <w:t>-EPI), UIT</w:t>
            </w:r>
            <w:r w:rsidR="00DA1A91">
              <w:rPr>
                <w:b/>
                <w:lang w:val="es-ES"/>
              </w:rPr>
              <w:noBreakHyphen/>
            </w:r>
            <w:r w:rsidRPr="00C26DA2">
              <w:rPr>
                <w:b/>
                <w:lang w:val="es-ES"/>
              </w:rPr>
              <w:t>T Y.4813 (ex</w:t>
            </w:r>
            <w:r w:rsidR="001B21EE" w:rsidRPr="00C26DA2">
              <w:rPr>
                <w:b/>
                <w:lang w:val="es-ES"/>
              </w:rPr>
              <w:t> </w:t>
            </w:r>
            <w:proofErr w:type="gramStart"/>
            <w:r w:rsidRPr="00C26DA2">
              <w:rPr>
                <w:b/>
                <w:lang w:val="es-ES"/>
              </w:rPr>
              <w:t>Y.iepi</w:t>
            </w:r>
            <w:proofErr w:type="gramEnd"/>
            <w:r w:rsidR="001B21EE" w:rsidRPr="00C26DA2">
              <w:rPr>
                <w:b/>
                <w:lang w:val="es-ES"/>
              </w:rPr>
              <w:noBreakHyphen/>
            </w:r>
            <w:r w:rsidRPr="00C26DA2">
              <w:rPr>
                <w:b/>
                <w:lang w:val="es-ES"/>
              </w:rPr>
              <w:t xml:space="preserve">dm-sa), UIT-T Y.4814 (ex </w:t>
            </w:r>
            <w:proofErr w:type="gramStart"/>
            <w:r w:rsidRPr="00C26DA2">
              <w:rPr>
                <w:b/>
                <w:lang w:val="es-ES"/>
              </w:rPr>
              <w:t>Y.IoT</w:t>
            </w:r>
            <w:proofErr w:type="gramEnd"/>
            <w:r w:rsidRPr="00C26DA2">
              <w:rPr>
                <w:b/>
                <w:lang w:val="es-ES"/>
              </w:rPr>
              <w:t>-acs-fra) y UIT-T Y.4911 (ex</w:t>
            </w:r>
            <w:r w:rsidR="00DA1A91">
              <w:rPr>
                <w:b/>
                <w:lang w:val="es-ES"/>
              </w:rPr>
              <w:t> </w:t>
            </w:r>
            <w:r w:rsidRPr="00C26DA2">
              <w:rPr>
                <w:b/>
                <w:lang w:val="es-ES"/>
              </w:rPr>
              <w:t>Y.KPI-Flood) después de la reunión de la Comisión de Estudio 20 del UIT</w:t>
            </w:r>
            <w:r w:rsidRPr="00C26DA2">
              <w:rPr>
                <w:b/>
                <w:lang w:val="es-ES"/>
              </w:rPr>
              <w:noBreakHyphen/>
              <w:t>T (Ginebra, 15</w:t>
            </w:r>
            <w:r w:rsidRPr="00C26DA2">
              <w:rPr>
                <w:b/>
                <w:lang w:val="es-ES"/>
              </w:rPr>
              <w:noBreakHyphen/>
              <w:t>25 de septiembre de</w:t>
            </w:r>
            <w:r w:rsidR="001B21EE" w:rsidRPr="00C26DA2">
              <w:rPr>
                <w:b/>
                <w:lang w:val="es-ES"/>
              </w:rPr>
              <w:t> </w:t>
            </w:r>
            <w:r w:rsidRPr="00C26DA2">
              <w:rPr>
                <w:b/>
                <w:lang w:val="es-ES"/>
              </w:rPr>
              <w:t>2025)</w:t>
            </w:r>
          </w:p>
        </w:tc>
      </w:tr>
    </w:tbl>
    <w:p w14:paraId="093E2806" w14:textId="77777777" w:rsidR="00C34772" w:rsidRPr="00C26DA2" w:rsidRDefault="00C34772" w:rsidP="007B6316">
      <w:pPr>
        <w:spacing w:before="320"/>
        <w:rPr>
          <w:lang w:val="es-ES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C26DA2">
        <w:rPr>
          <w:lang w:val="es-ES"/>
        </w:rPr>
        <w:t>Muy Señora mía/Muy Señor mío:</w:t>
      </w:r>
    </w:p>
    <w:p w14:paraId="46E1F755" w14:textId="21E5A581" w:rsidR="001B797A" w:rsidRPr="00C26DA2" w:rsidRDefault="001B797A" w:rsidP="001B797A">
      <w:pPr>
        <w:spacing w:after="120"/>
        <w:rPr>
          <w:lang w:val="es-ES"/>
        </w:rPr>
      </w:pPr>
      <w:r w:rsidRPr="00C26DA2">
        <w:rPr>
          <w:bCs/>
          <w:lang w:val="es-ES"/>
        </w:rPr>
        <w:t>1</w:t>
      </w:r>
      <w:r w:rsidRPr="00C26DA2">
        <w:rPr>
          <w:lang w:val="es-ES"/>
        </w:rPr>
        <w:tab/>
      </w:r>
      <w:proofErr w:type="gramStart"/>
      <w:r w:rsidRPr="00C26DA2">
        <w:rPr>
          <w:lang w:val="es-ES"/>
        </w:rPr>
        <w:t>A</w:t>
      </w:r>
      <w:proofErr w:type="gramEnd"/>
      <w:r w:rsidRPr="00C26DA2">
        <w:rPr>
          <w:lang w:val="es-ES"/>
        </w:rPr>
        <w:t xml:space="preserve"> raíz de la </w:t>
      </w:r>
      <w:hyperlink r:id="rId10" w:history="1">
        <w:r w:rsidRPr="00C26DA2">
          <w:rPr>
            <w:rStyle w:val="Hyperlink"/>
            <w:lang w:val="es-ES"/>
          </w:rPr>
          <w:t>Circular TSB 39</w:t>
        </w:r>
      </w:hyperlink>
      <w:r w:rsidRPr="00C26DA2">
        <w:rPr>
          <w:lang w:val="es-ES"/>
        </w:rPr>
        <w:t xml:space="preserve"> de 14 de abril de 2025 y de conformidad con la cláusula 9.5 de la Resolución 1 (Rev. Ginebra, 2022), por la presente le informo de que la Comisión de Estudio 20 adoptó en sus sesiones plenarias celebradas el 15 de septiembre de 2025 y el 23 de septiembre de 2025 en Ginebra las siguientes decisiones sobre los proyectos de texto del UIT</w:t>
      </w:r>
      <w:r w:rsidRPr="00C26DA2">
        <w:rPr>
          <w:lang w:val="es-ES"/>
        </w:rPr>
        <w:noBreakHyphen/>
        <w:t>T enumerados a continuación: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5337"/>
        <w:gridCol w:w="2326"/>
      </w:tblGrid>
      <w:tr w:rsidR="001B797A" w:rsidRPr="00C26DA2" w14:paraId="0F69473D" w14:textId="77777777" w:rsidTr="001B797A">
        <w:trPr>
          <w:tblHeader/>
        </w:trPr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5DA52D7" w14:textId="77777777" w:rsidR="001B797A" w:rsidRPr="0045677B" w:rsidRDefault="001B797A" w:rsidP="001B797A">
            <w:pPr>
              <w:pStyle w:val="Tablehead0"/>
              <w:rPr>
                <w:lang w:val="es-ES"/>
              </w:rPr>
            </w:pPr>
            <w:r w:rsidRPr="0045677B">
              <w:rPr>
                <w:lang w:val="es-ES"/>
              </w:rPr>
              <w:t>Número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03A8EF94" w14:textId="77777777" w:rsidR="001B797A" w:rsidRPr="00C26DA2" w:rsidRDefault="001B797A" w:rsidP="001B797A">
            <w:pPr>
              <w:pStyle w:val="Tablehead0"/>
              <w:rPr>
                <w:lang w:val="es-ES"/>
              </w:rPr>
            </w:pPr>
            <w:r w:rsidRPr="00C26DA2">
              <w:rPr>
                <w:lang w:val="es-ES"/>
              </w:rPr>
              <w:t>Título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02FBC2B5" w14:textId="77777777" w:rsidR="001B797A" w:rsidRPr="00C26DA2" w:rsidRDefault="001B797A" w:rsidP="001B797A">
            <w:pPr>
              <w:pStyle w:val="Tablehead0"/>
              <w:rPr>
                <w:lang w:val="es-ES"/>
              </w:rPr>
            </w:pPr>
            <w:r w:rsidRPr="00C26DA2">
              <w:rPr>
                <w:lang w:val="es-ES"/>
              </w:rPr>
              <w:t>Decisión</w:t>
            </w:r>
          </w:p>
        </w:tc>
      </w:tr>
      <w:tr w:rsidR="001B797A" w:rsidRPr="00C26DA2" w14:paraId="443BEE3B" w14:textId="77777777" w:rsidTr="001B797A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4DEAC74" w14:textId="77777777" w:rsidR="001B797A" w:rsidRPr="0045677B" w:rsidRDefault="001B797A" w:rsidP="001B797A">
            <w:pPr>
              <w:pStyle w:val="Tabletext0"/>
              <w:jc w:val="center"/>
              <w:rPr>
                <w:b/>
                <w:lang w:val="fr-FR"/>
              </w:rPr>
            </w:pPr>
            <w:bookmarkStart w:id="4" w:name="_Hlk211598046"/>
            <w:r w:rsidRPr="0045677B">
              <w:rPr>
                <w:b/>
                <w:lang w:val="fr-FR"/>
              </w:rPr>
              <w:t>Y.4235</w:t>
            </w:r>
          </w:p>
          <w:p w14:paraId="7D8ABEF2" w14:textId="77777777" w:rsidR="001B797A" w:rsidRPr="0045677B" w:rsidRDefault="001B797A" w:rsidP="001B797A">
            <w:pPr>
              <w:pStyle w:val="Tabletext0"/>
              <w:jc w:val="center"/>
              <w:rPr>
                <w:b/>
                <w:lang w:val="fr-FR"/>
              </w:rPr>
            </w:pPr>
            <w:r w:rsidRPr="0045677B">
              <w:rPr>
                <w:b/>
                <w:lang w:val="fr-FR"/>
              </w:rPr>
              <w:t>(</w:t>
            </w:r>
            <w:proofErr w:type="gramStart"/>
            <w:r w:rsidRPr="0045677B">
              <w:rPr>
                <w:b/>
                <w:lang w:val="fr-FR"/>
              </w:rPr>
              <w:t>ex</w:t>
            </w:r>
            <w:proofErr w:type="gramEnd"/>
            <w:r w:rsidRPr="0045677B">
              <w:rPr>
                <w:b/>
                <w:lang w:val="fr-FR"/>
              </w:rPr>
              <w:t xml:space="preserve"> </w:t>
            </w:r>
            <w:proofErr w:type="spellStart"/>
            <w:r w:rsidRPr="0045677B">
              <w:rPr>
                <w:b/>
                <w:lang w:val="fr-FR"/>
              </w:rPr>
              <w:t>Y.PGComNet-Reqts</w:t>
            </w:r>
            <w:proofErr w:type="spellEnd"/>
            <w:r w:rsidRPr="0045677B">
              <w:rPr>
                <w:b/>
                <w:lang w:val="fr-FR"/>
              </w:rPr>
              <w:t>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ECC3DD4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Requisitos de las redes eléctricas de comunicaciones por IoT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C6CC7DC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APROBADA</w:t>
            </w:r>
          </w:p>
        </w:tc>
      </w:tr>
      <w:tr w:rsidR="001B797A" w:rsidRPr="00C26DA2" w14:paraId="1D9B7CC9" w14:textId="77777777" w:rsidTr="001B797A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A2F26D3" w14:textId="77777777" w:rsidR="001B797A" w:rsidRPr="0045677B" w:rsidRDefault="001B797A" w:rsidP="001B797A">
            <w:pPr>
              <w:pStyle w:val="Tabletext0"/>
              <w:jc w:val="center"/>
              <w:rPr>
                <w:b/>
                <w:lang w:val="es-ES"/>
              </w:rPr>
            </w:pPr>
            <w:r w:rsidRPr="0045677B">
              <w:rPr>
                <w:b/>
                <w:lang w:val="es-ES"/>
              </w:rPr>
              <w:t>Y.4236</w:t>
            </w:r>
          </w:p>
          <w:p w14:paraId="0DF13AE2" w14:textId="77777777" w:rsidR="001B797A" w:rsidRPr="0045677B" w:rsidRDefault="001B797A" w:rsidP="001B797A">
            <w:pPr>
              <w:pStyle w:val="Tabletext0"/>
              <w:jc w:val="center"/>
              <w:rPr>
                <w:b/>
                <w:lang w:val="es-ES"/>
              </w:rPr>
            </w:pPr>
            <w:r w:rsidRPr="0045677B">
              <w:rPr>
                <w:b/>
                <w:lang w:val="es-ES"/>
              </w:rPr>
              <w:t>(ex Y.EMM-reqts)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A6C957D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Requisitos para la supervisión y gestión integrada de eventos en tiempo real en plataformas de ciudades inteligentes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2AFCEC0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APROBADA</w:t>
            </w:r>
          </w:p>
        </w:tc>
      </w:tr>
      <w:tr w:rsidR="001B797A" w:rsidRPr="00C26DA2" w14:paraId="48E436B5" w14:textId="77777777" w:rsidTr="001B797A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10EE71C" w14:textId="77777777" w:rsidR="001B797A" w:rsidRPr="00341EC6" w:rsidRDefault="001B797A" w:rsidP="001B797A">
            <w:pPr>
              <w:pStyle w:val="Tabletext0"/>
              <w:jc w:val="center"/>
              <w:rPr>
                <w:b/>
                <w:lang w:val="fr-CH"/>
              </w:rPr>
            </w:pPr>
            <w:r w:rsidRPr="00341EC6">
              <w:rPr>
                <w:b/>
                <w:lang w:val="fr-CH"/>
              </w:rPr>
              <w:t>Y.4237</w:t>
            </w:r>
          </w:p>
          <w:p w14:paraId="63C510EF" w14:textId="77777777" w:rsidR="001B797A" w:rsidRPr="00341EC6" w:rsidRDefault="001B797A" w:rsidP="001B797A">
            <w:pPr>
              <w:pStyle w:val="Tabletext0"/>
              <w:jc w:val="center"/>
              <w:rPr>
                <w:b/>
                <w:lang w:val="fr-CH"/>
              </w:rPr>
            </w:pPr>
            <w:r w:rsidRPr="00341EC6">
              <w:rPr>
                <w:b/>
                <w:lang w:val="fr-CH"/>
              </w:rPr>
              <w:t>(ex Y.dt-IWCS)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A279318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Requisitos y marco de capacidades de gemelos digitales para sistemas de conservación del agua inteligentes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B42B344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APROBADA</w:t>
            </w:r>
          </w:p>
        </w:tc>
      </w:tr>
      <w:tr w:rsidR="001B797A" w:rsidRPr="00C26DA2" w14:paraId="362B936F" w14:textId="77777777" w:rsidTr="001B797A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6139318" w14:textId="77777777" w:rsidR="001B797A" w:rsidRPr="0045677B" w:rsidRDefault="001B797A" w:rsidP="001B797A">
            <w:pPr>
              <w:pStyle w:val="Tabletext0"/>
              <w:jc w:val="center"/>
              <w:rPr>
                <w:b/>
                <w:lang w:val="es-ES"/>
              </w:rPr>
            </w:pPr>
            <w:r w:rsidRPr="0045677B">
              <w:rPr>
                <w:b/>
                <w:lang w:val="es-ES"/>
              </w:rPr>
              <w:lastRenderedPageBreak/>
              <w:t>Y.4496</w:t>
            </w:r>
          </w:p>
          <w:p w14:paraId="67FEFBA6" w14:textId="77777777" w:rsidR="001B797A" w:rsidRPr="0045677B" w:rsidRDefault="001B797A" w:rsidP="001B797A">
            <w:pPr>
              <w:pStyle w:val="Tabletext0"/>
              <w:jc w:val="center"/>
              <w:rPr>
                <w:b/>
                <w:lang w:val="es-ES"/>
              </w:rPr>
            </w:pPr>
            <w:r w:rsidRPr="0045677B">
              <w:rPr>
                <w:b/>
                <w:lang w:val="es-ES"/>
              </w:rPr>
              <w:t>(ex Y.RA-PHE)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C08F9EE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Requisitos y arquitectura de referencia del sistema inteligente de información sobre emergencias de salud pública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F68E525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APROBADA</w:t>
            </w:r>
          </w:p>
        </w:tc>
      </w:tr>
      <w:tr w:rsidR="001B797A" w:rsidRPr="00C26DA2" w14:paraId="33D50738" w14:textId="77777777" w:rsidTr="001B797A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0C3DEBE" w14:textId="77777777" w:rsidR="001B797A" w:rsidRPr="0045677B" w:rsidRDefault="001B797A" w:rsidP="001B797A">
            <w:pPr>
              <w:pStyle w:val="Tabletext0"/>
              <w:jc w:val="center"/>
              <w:rPr>
                <w:b/>
                <w:lang w:val="es-ES"/>
              </w:rPr>
            </w:pPr>
            <w:r w:rsidRPr="0045677B">
              <w:rPr>
                <w:b/>
                <w:lang w:val="es-ES"/>
              </w:rPr>
              <w:t>Y.4708</w:t>
            </w:r>
          </w:p>
          <w:p w14:paraId="3544FB90" w14:textId="77777777" w:rsidR="001B797A" w:rsidRPr="0045677B" w:rsidRDefault="001B797A" w:rsidP="001B797A">
            <w:pPr>
              <w:pStyle w:val="Tabletext0"/>
              <w:jc w:val="center"/>
              <w:rPr>
                <w:b/>
                <w:lang w:val="es-ES"/>
              </w:rPr>
            </w:pPr>
            <w:r w:rsidRPr="0045677B">
              <w:rPr>
                <w:b/>
                <w:lang w:val="es-ES"/>
              </w:rPr>
              <w:t xml:space="preserve">(ex </w:t>
            </w:r>
            <w:proofErr w:type="gramStart"/>
            <w:r w:rsidRPr="0045677B">
              <w:rPr>
                <w:b/>
                <w:lang w:val="es-ES"/>
              </w:rPr>
              <w:t>Y.IoT</w:t>
            </w:r>
            <w:proofErr w:type="gramEnd"/>
            <w:r w:rsidRPr="0045677B">
              <w:rPr>
                <w:b/>
                <w:lang w:val="es-ES"/>
              </w:rPr>
              <w:t>-DPE)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273834D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Marco de gestión para equipos de alimentación distribuidos basados en IoT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480FF76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APROBADA</w:t>
            </w:r>
          </w:p>
        </w:tc>
      </w:tr>
      <w:tr w:rsidR="001B797A" w:rsidRPr="00C26DA2" w14:paraId="554B1022" w14:textId="77777777" w:rsidTr="001B797A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E82AF69" w14:textId="77777777" w:rsidR="001B797A" w:rsidRPr="00341EC6" w:rsidRDefault="001B797A" w:rsidP="001B797A">
            <w:pPr>
              <w:pStyle w:val="Tabletext0"/>
              <w:jc w:val="center"/>
              <w:rPr>
                <w:b/>
                <w:lang w:val="pt-BR"/>
              </w:rPr>
            </w:pPr>
            <w:r w:rsidRPr="00341EC6">
              <w:rPr>
                <w:b/>
                <w:lang w:val="pt-BR"/>
              </w:rPr>
              <w:t>Y.4609</w:t>
            </w:r>
          </w:p>
          <w:p w14:paraId="46900E3C" w14:textId="77777777" w:rsidR="001B797A" w:rsidRPr="00341EC6" w:rsidRDefault="001B797A" w:rsidP="001B797A">
            <w:pPr>
              <w:pStyle w:val="Tabletext0"/>
              <w:jc w:val="center"/>
              <w:rPr>
                <w:b/>
                <w:lang w:val="pt-BR"/>
              </w:rPr>
            </w:pPr>
            <w:r w:rsidRPr="00341EC6">
              <w:rPr>
                <w:b/>
                <w:lang w:val="pt-BR"/>
              </w:rPr>
              <w:t>(ex Y.metadata-EPI)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F7EEB64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Metadatos de inventario para sistemas de supervisión de infraestructuras de energía eléctrica basados en la IoT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3191BC4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APROBADA</w:t>
            </w:r>
          </w:p>
        </w:tc>
      </w:tr>
      <w:tr w:rsidR="001B797A" w:rsidRPr="00C26DA2" w14:paraId="3B58B516" w14:textId="77777777" w:rsidTr="001B797A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BB6D1B4" w14:textId="77777777" w:rsidR="001B797A" w:rsidRPr="0045677B" w:rsidRDefault="001B797A" w:rsidP="001B797A">
            <w:pPr>
              <w:pStyle w:val="Tabletext0"/>
              <w:jc w:val="center"/>
              <w:rPr>
                <w:b/>
                <w:lang w:val="fr-FR"/>
              </w:rPr>
            </w:pPr>
            <w:r w:rsidRPr="0045677B">
              <w:rPr>
                <w:b/>
                <w:lang w:val="fr-FR"/>
              </w:rPr>
              <w:t>Y.4813</w:t>
            </w:r>
          </w:p>
          <w:p w14:paraId="6F97A8B3" w14:textId="77777777" w:rsidR="001B797A" w:rsidRPr="0045677B" w:rsidRDefault="001B797A" w:rsidP="001B797A">
            <w:pPr>
              <w:pStyle w:val="Tabletext0"/>
              <w:jc w:val="center"/>
              <w:rPr>
                <w:b/>
                <w:lang w:val="fr-FR"/>
              </w:rPr>
            </w:pPr>
            <w:r w:rsidRPr="0045677B">
              <w:rPr>
                <w:b/>
                <w:lang w:val="fr-FR"/>
              </w:rPr>
              <w:t>(</w:t>
            </w:r>
            <w:proofErr w:type="gramStart"/>
            <w:r w:rsidRPr="0045677B">
              <w:rPr>
                <w:b/>
                <w:lang w:val="fr-FR"/>
              </w:rPr>
              <w:t>ex</w:t>
            </w:r>
            <w:proofErr w:type="gramEnd"/>
            <w:r w:rsidRPr="0045677B">
              <w:rPr>
                <w:b/>
                <w:lang w:val="fr-FR"/>
              </w:rPr>
              <w:t xml:space="preserve"> </w:t>
            </w:r>
            <w:proofErr w:type="spellStart"/>
            <w:r w:rsidRPr="0045677B">
              <w:rPr>
                <w:b/>
                <w:lang w:val="fr-FR"/>
              </w:rPr>
              <w:t>Y.iepi</w:t>
            </w:r>
            <w:proofErr w:type="spellEnd"/>
            <w:r w:rsidRPr="0045677B">
              <w:rPr>
                <w:b/>
                <w:lang w:val="fr-FR"/>
              </w:rPr>
              <w:t>-dm-sa)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82FD1B7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Marco de evaluación de la seguridad de la gestión de datos para infraestructuras de energía eléctrica basadas en IoT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D8D2888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APROBACIÓN APLAZADA</w:t>
            </w:r>
          </w:p>
        </w:tc>
      </w:tr>
      <w:tr w:rsidR="001B797A" w:rsidRPr="00C26DA2" w14:paraId="3E4074E2" w14:textId="77777777" w:rsidTr="001B797A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527D200" w14:textId="77777777" w:rsidR="001B797A" w:rsidRPr="00341EC6" w:rsidRDefault="001B797A" w:rsidP="001B797A">
            <w:pPr>
              <w:pStyle w:val="Tabletext0"/>
              <w:jc w:val="center"/>
              <w:rPr>
                <w:b/>
                <w:lang w:val="it-IT"/>
              </w:rPr>
            </w:pPr>
            <w:r w:rsidRPr="00341EC6">
              <w:rPr>
                <w:b/>
                <w:lang w:val="it-IT"/>
              </w:rPr>
              <w:t>Y.4814</w:t>
            </w:r>
          </w:p>
          <w:p w14:paraId="73B02F00" w14:textId="77777777" w:rsidR="001B797A" w:rsidRPr="00341EC6" w:rsidRDefault="001B797A" w:rsidP="001B797A">
            <w:pPr>
              <w:pStyle w:val="Tabletext0"/>
              <w:jc w:val="center"/>
              <w:rPr>
                <w:b/>
                <w:lang w:val="it-IT"/>
              </w:rPr>
            </w:pPr>
            <w:r w:rsidRPr="00341EC6">
              <w:rPr>
                <w:b/>
                <w:lang w:val="it-IT"/>
              </w:rPr>
              <w:t>(ex Y.IoT-acs-fra)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9080D82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Requisitos funcionales y arquitectura del servicio de control de acceso de la plataforma de Internet de las cosas (IoT) habilitada por confianza cero en entornos descentralizados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4FB0D77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APROBADA</w:t>
            </w:r>
          </w:p>
        </w:tc>
      </w:tr>
      <w:tr w:rsidR="001B797A" w:rsidRPr="00C26DA2" w14:paraId="75F7168A" w14:textId="77777777" w:rsidTr="001B797A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9D0D619" w14:textId="77777777" w:rsidR="001B797A" w:rsidRPr="0045677B" w:rsidRDefault="001B797A" w:rsidP="001B797A">
            <w:pPr>
              <w:pStyle w:val="Tabletext0"/>
              <w:jc w:val="center"/>
              <w:rPr>
                <w:b/>
                <w:lang w:val="es-ES"/>
              </w:rPr>
            </w:pPr>
            <w:r w:rsidRPr="0045677B">
              <w:rPr>
                <w:b/>
                <w:lang w:val="es-ES"/>
              </w:rPr>
              <w:t>Y.4911</w:t>
            </w:r>
          </w:p>
          <w:p w14:paraId="6BB2484F" w14:textId="77777777" w:rsidR="001B797A" w:rsidRPr="0045677B" w:rsidRDefault="001B797A" w:rsidP="001B797A">
            <w:pPr>
              <w:pStyle w:val="Tabletext0"/>
              <w:jc w:val="center"/>
              <w:rPr>
                <w:b/>
                <w:lang w:val="es-ES"/>
              </w:rPr>
            </w:pPr>
            <w:r w:rsidRPr="0045677B">
              <w:rPr>
                <w:b/>
                <w:lang w:val="es-ES"/>
              </w:rPr>
              <w:t>(ex Y.KPI-Flood)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18CE6A0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Indicadores fundamentales de rendimiento de las funciones de apoyo mediante datos basadas en las TIC para la prevención de situaciones de catástrofe provocadas por inundaciones urbanas y la atenuación de sus efectos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5785F92" w14:textId="77777777" w:rsidR="001B797A" w:rsidRPr="00C26DA2" w:rsidRDefault="001B797A" w:rsidP="001B797A">
            <w:pPr>
              <w:pStyle w:val="Tabletext0"/>
              <w:jc w:val="center"/>
              <w:rPr>
                <w:lang w:val="es-ES"/>
              </w:rPr>
            </w:pPr>
            <w:r w:rsidRPr="00C26DA2">
              <w:rPr>
                <w:lang w:val="es-ES"/>
              </w:rPr>
              <w:t>APROBADA</w:t>
            </w:r>
          </w:p>
        </w:tc>
      </w:tr>
    </w:tbl>
    <w:bookmarkEnd w:id="4"/>
    <w:p w14:paraId="2328964F" w14:textId="390F1EE6" w:rsidR="001B797A" w:rsidRPr="00C26DA2" w:rsidRDefault="001B797A" w:rsidP="001B797A">
      <w:pPr>
        <w:pStyle w:val="Normalaftertitle"/>
        <w:rPr>
          <w:lang w:val="es-ES"/>
        </w:rPr>
      </w:pPr>
      <w:r w:rsidRPr="00C26DA2">
        <w:rPr>
          <w:lang w:val="es-ES"/>
        </w:rPr>
        <w:t>2</w:t>
      </w:r>
      <w:r w:rsidRPr="00C26DA2">
        <w:rPr>
          <w:lang w:val="es-ES"/>
        </w:rPr>
        <w:tab/>
      </w:r>
      <w:proofErr w:type="gramStart"/>
      <w:r w:rsidRPr="00C26DA2">
        <w:rPr>
          <w:lang w:val="es-ES"/>
        </w:rPr>
        <w:t>La</w:t>
      </w:r>
      <w:proofErr w:type="gramEnd"/>
      <w:r w:rsidRPr="00C26DA2">
        <w:rPr>
          <w:lang w:val="es-ES"/>
        </w:rPr>
        <w:t xml:space="preserve"> información sobre patentes disponible puede consultarse en línea en el </w:t>
      </w:r>
      <w:hyperlink r:id="rId11" w:history="1">
        <w:r w:rsidRPr="00C26DA2">
          <w:rPr>
            <w:rStyle w:val="Hyperlink"/>
            <w:lang w:val="es-ES"/>
          </w:rPr>
          <w:t>sitio web del UIT-T</w:t>
        </w:r>
      </w:hyperlink>
      <w:r w:rsidRPr="00C26DA2">
        <w:rPr>
          <w:lang w:val="es-ES"/>
        </w:rPr>
        <w:t>.</w:t>
      </w:r>
    </w:p>
    <w:p w14:paraId="671B1702" w14:textId="142126D6" w:rsidR="001B797A" w:rsidRPr="001B797A" w:rsidRDefault="001B797A" w:rsidP="001B797A">
      <w:pPr>
        <w:rPr>
          <w:lang w:val="es-ES"/>
        </w:rPr>
      </w:pPr>
      <w:r w:rsidRPr="001B797A">
        <w:rPr>
          <w:lang w:val="es-ES"/>
        </w:rPr>
        <w:t>3</w:t>
      </w:r>
      <w:r w:rsidRPr="001B797A">
        <w:rPr>
          <w:lang w:val="es-ES"/>
        </w:rPr>
        <w:tab/>
      </w:r>
      <w:proofErr w:type="gramStart"/>
      <w:r w:rsidRPr="001B797A">
        <w:rPr>
          <w:lang w:val="es-ES"/>
        </w:rPr>
        <w:t>El</w:t>
      </w:r>
      <w:proofErr w:type="gramEnd"/>
      <w:r w:rsidRPr="001B797A">
        <w:rPr>
          <w:lang w:val="es-ES"/>
        </w:rPr>
        <w:t xml:space="preserve"> texto de las Recomendaciones prepublicadas estará disponible en el sitio web del UIT-T en la dirección </w:t>
      </w:r>
      <w:hyperlink r:id="rId12" w:history="1">
        <w:r w:rsidRPr="001B797A">
          <w:rPr>
            <w:rStyle w:val="Hyperlink"/>
            <w:lang w:val="es-ES"/>
          </w:rPr>
          <w:t>https://www.itu.int/itu-t/recommendations/</w:t>
        </w:r>
      </w:hyperlink>
      <w:r w:rsidRPr="001B797A">
        <w:rPr>
          <w:lang w:val="es-ES"/>
        </w:rPr>
        <w:t>.</w:t>
      </w:r>
    </w:p>
    <w:p w14:paraId="154E9E6A" w14:textId="56DBABF1" w:rsidR="001B797A" w:rsidRPr="001B797A" w:rsidRDefault="001B797A" w:rsidP="001B797A">
      <w:pPr>
        <w:rPr>
          <w:lang w:val="es-ES"/>
        </w:rPr>
      </w:pPr>
      <w:r w:rsidRPr="001B797A">
        <w:rPr>
          <w:lang w:val="es-ES"/>
        </w:rPr>
        <w:t>4</w:t>
      </w:r>
      <w:r w:rsidRPr="001B797A">
        <w:rPr>
          <w:lang w:val="es-ES"/>
        </w:rPr>
        <w:tab/>
      </w:r>
      <w:proofErr w:type="gramStart"/>
      <w:r w:rsidRPr="001B797A">
        <w:rPr>
          <w:lang w:val="es-ES"/>
        </w:rPr>
        <w:t>La</w:t>
      </w:r>
      <w:proofErr w:type="gramEnd"/>
      <w:r w:rsidRPr="001B797A">
        <w:rPr>
          <w:lang w:val="es-ES"/>
        </w:rPr>
        <w:t xml:space="preserve"> UIT publicará las Recomendaciones aprobadas a la mayor brevedad.</w:t>
      </w:r>
    </w:p>
    <w:p w14:paraId="1BD26123" w14:textId="77777777" w:rsidR="007B6316" w:rsidRPr="00C26DA2" w:rsidRDefault="007B6316" w:rsidP="001B797A">
      <w:pPr>
        <w:spacing w:before="480"/>
        <w:rPr>
          <w:lang w:val="es-ES"/>
        </w:rPr>
      </w:pPr>
      <w:r w:rsidRPr="00C26DA2">
        <w:rPr>
          <w:lang w:val="es-ES"/>
        </w:rPr>
        <w:t>Atentamente,</w:t>
      </w:r>
    </w:p>
    <w:p w14:paraId="70E53914" w14:textId="77777777" w:rsidR="007B6316" w:rsidRPr="00C26DA2" w:rsidRDefault="007B6316" w:rsidP="007B6316">
      <w:pPr>
        <w:spacing w:before="480" w:line="480" w:lineRule="auto"/>
        <w:rPr>
          <w:sz w:val="28"/>
          <w:szCs w:val="22"/>
          <w:lang w:val="es-ES"/>
        </w:rPr>
      </w:pPr>
      <w:r w:rsidRPr="00C26DA2">
        <w:rPr>
          <w:i/>
          <w:iCs/>
          <w:szCs w:val="24"/>
          <w:lang w:val="es-ES"/>
        </w:rPr>
        <w:t>(firmado)</w:t>
      </w:r>
    </w:p>
    <w:p w14:paraId="24CBAB67" w14:textId="77777777" w:rsidR="007B6316" w:rsidRPr="00C26DA2" w:rsidRDefault="001350B9" w:rsidP="007B6316">
      <w:pPr>
        <w:spacing w:before="360"/>
        <w:rPr>
          <w:lang w:val="es-ES"/>
        </w:rPr>
      </w:pPr>
      <w:r w:rsidRPr="00C26DA2">
        <w:rPr>
          <w:rFonts w:cstheme="minorHAnsi"/>
          <w:szCs w:val="22"/>
          <w:lang w:val="es-ES"/>
        </w:rPr>
        <w:t>Seizo Onoe</w:t>
      </w:r>
      <w:r w:rsidR="007B6316" w:rsidRPr="00C26DA2">
        <w:rPr>
          <w:lang w:val="es-ES"/>
        </w:rPr>
        <w:br/>
      </w:r>
      <w:proofErr w:type="gramStart"/>
      <w:r w:rsidR="007B6316" w:rsidRPr="00C26DA2">
        <w:rPr>
          <w:lang w:val="es-ES"/>
        </w:rPr>
        <w:t>Director</w:t>
      </w:r>
      <w:proofErr w:type="gramEnd"/>
      <w:r w:rsidR="007B6316" w:rsidRPr="00C26DA2">
        <w:rPr>
          <w:lang w:val="es-ES"/>
        </w:rPr>
        <w:t xml:space="preserve"> de la Oficina de </w:t>
      </w:r>
      <w:r w:rsidR="007B6316" w:rsidRPr="00C26DA2">
        <w:rPr>
          <w:lang w:val="es-ES"/>
        </w:rPr>
        <w:br/>
        <w:t>Normalización de las Telecomunicaciones</w:t>
      </w:r>
    </w:p>
    <w:sectPr w:rsidR="007B6316" w:rsidRPr="00C26DA2" w:rsidSect="00B87E9E">
      <w:headerReference w:type="default" r:id="rId13"/>
      <w:footerReference w:type="first" r:id="rId14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6602" w14:textId="77777777" w:rsidR="006102E6" w:rsidRDefault="006102E6">
      <w:r>
        <w:separator/>
      </w:r>
    </w:p>
  </w:endnote>
  <w:endnote w:type="continuationSeparator" w:id="0">
    <w:p w14:paraId="3E2327D0" w14:textId="77777777" w:rsidR="006102E6" w:rsidRDefault="0061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82BD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1706" w14:textId="77777777" w:rsidR="006102E6" w:rsidRDefault="006102E6">
      <w:r>
        <w:t>____________________</w:t>
      </w:r>
    </w:p>
  </w:footnote>
  <w:footnote w:type="continuationSeparator" w:id="0">
    <w:p w14:paraId="2E641824" w14:textId="77777777" w:rsidR="006102E6" w:rsidRDefault="00610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5B12" w14:textId="7ECAC219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43854739" w14:textId="255EFEE1" w:rsidR="001B797A" w:rsidRPr="00303D62" w:rsidRDefault="001B797A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>Circular TSB 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1228347574">
    <w:abstractNumId w:val="0"/>
  </w:num>
  <w:num w:numId="2" w16cid:durableId="1379815845">
    <w:abstractNumId w:val="3"/>
  </w:num>
  <w:num w:numId="3" w16cid:durableId="672295038">
    <w:abstractNumId w:val="2"/>
  </w:num>
  <w:num w:numId="4" w16cid:durableId="151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E6"/>
    <w:rsid w:val="00002529"/>
    <w:rsid w:val="00085662"/>
    <w:rsid w:val="000C382F"/>
    <w:rsid w:val="000D3203"/>
    <w:rsid w:val="001173CC"/>
    <w:rsid w:val="001350B9"/>
    <w:rsid w:val="0014464D"/>
    <w:rsid w:val="001A54CC"/>
    <w:rsid w:val="001B21EE"/>
    <w:rsid w:val="001B797A"/>
    <w:rsid w:val="00257FB4"/>
    <w:rsid w:val="002C2F1D"/>
    <w:rsid w:val="002E496E"/>
    <w:rsid w:val="00303D62"/>
    <w:rsid w:val="00335367"/>
    <w:rsid w:val="00341EC6"/>
    <w:rsid w:val="00370C2D"/>
    <w:rsid w:val="003D1E8D"/>
    <w:rsid w:val="003D673B"/>
    <w:rsid w:val="003F2855"/>
    <w:rsid w:val="00401C20"/>
    <w:rsid w:val="0045677B"/>
    <w:rsid w:val="004A7957"/>
    <w:rsid w:val="004C4144"/>
    <w:rsid w:val="0055719E"/>
    <w:rsid w:val="006102E6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26DA2"/>
    <w:rsid w:val="00C34772"/>
    <w:rsid w:val="00C5465A"/>
    <w:rsid w:val="00D54642"/>
    <w:rsid w:val="00D834E7"/>
    <w:rsid w:val="00DA1A91"/>
    <w:rsid w:val="00DD77C9"/>
    <w:rsid w:val="00DF3538"/>
    <w:rsid w:val="00E839B0"/>
    <w:rsid w:val="00E92C09"/>
    <w:rsid w:val="00F14380"/>
    <w:rsid w:val="00F541E8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DCDAEB"/>
  <w15:docId w15:val="{1FCD1847-8B0B-4F22-9A73-513BE2AB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B7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recommendation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T25-TSB-CIR-0039/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20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3626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Maguire, Mairéad</cp:lastModifiedBy>
  <cp:revision>2</cp:revision>
  <cp:lastPrinted>2011-04-15T08:24:00Z</cp:lastPrinted>
  <dcterms:created xsi:type="dcterms:W3CDTF">2026-01-28T16:45:00Z</dcterms:created>
  <dcterms:modified xsi:type="dcterms:W3CDTF">2026-01-28T16:45:00Z</dcterms:modified>
</cp:coreProperties>
</file>