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3346"/>
        <w:gridCol w:w="5104"/>
      </w:tblGrid>
      <w:tr w:rsidR="00EF6A23" w:rsidRPr="004F3D4C" w14:paraId="3FDAE1F3" w14:textId="77777777" w:rsidTr="003F083D">
        <w:trPr>
          <w:cantSplit/>
        </w:trPr>
        <w:tc>
          <w:tcPr>
            <w:tcW w:w="0" w:type="auto"/>
            <w:vAlign w:val="center"/>
          </w:tcPr>
          <w:p w14:paraId="3DE42CAA" w14:textId="77777777" w:rsidR="00EF6A23" w:rsidRPr="004F3D4C" w:rsidRDefault="00EF6A23" w:rsidP="00D14F31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4F3D4C">
              <w:rPr>
                <w:noProof/>
                <w:lang w:eastAsia="zh-CN"/>
              </w:rPr>
              <w:drawing>
                <wp:inline distT="0" distB="0" distL="0" distR="0" wp14:anchorId="05764050" wp14:editId="248DEEAB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</w:tcPr>
          <w:p w14:paraId="75924CEF" w14:textId="77777777" w:rsidR="00EF6A23" w:rsidRPr="004F3D4C" w:rsidRDefault="00EF6A23" w:rsidP="00EF6A23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4F3D4C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089E66D0" w14:textId="77777777" w:rsidR="00EF6A23" w:rsidRPr="004F3D4C" w:rsidRDefault="00EF6A23" w:rsidP="00EF6A23">
            <w:pPr>
              <w:spacing w:before="0"/>
              <w:rPr>
                <w:color w:val="FFFFFF"/>
                <w:sz w:val="26"/>
                <w:szCs w:val="26"/>
              </w:rPr>
            </w:pPr>
            <w:r w:rsidRPr="004F3D4C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4F3D4C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</w:tr>
      <w:tr w:rsidR="00036F4F" w:rsidRPr="004F3D4C" w14:paraId="18B25741" w14:textId="77777777" w:rsidTr="00307FB4">
        <w:trPr>
          <w:cantSplit/>
        </w:trPr>
        <w:tc>
          <w:tcPr>
            <w:tcW w:w="0" w:type="auto"/>
          </w:tcPr>
          <w:p w14:paraId="4B1AFD72" w14:textId="77777777" w:rsidR="00036F4F" w:rsidRPr="004F3D4C" w:rsidRDefault="00036F4F" w:rsidP="00A5280F">
            <w:pPr>
              <w:tabs>
                <w:tab w:val="left" w:pos="4111"/>
              </w:tabs>
              <w:spacing w:before="10"/>
              <w:ind w:left="57"/>
            </w:pPr>
          </w:p>
        </w:tc>
        <w:tc>
          <w:tcPr>
            <w:tcW w:w="3399" w:type="dxa"/>
          </w:tcPr>
          <w:p w14:paraId="6579D3E8" w14:textId="77777777" w:rsidR="00036F4F" w:rsidRPr="004F3D4C" w:rsidRDefault="00036F4F" w:rsidP="00A5280F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</w:p>
        </w:tc>
        <w:tc>
          <w:tcPr>
            <w:tcW w:w="5051" w:type="dxa"/>
          </w:tcPr>
          <w:p w14:paraId="0DC34ECA" w14:textId="618A8875" w:rsidR="00036F4F" w:rsidRPr="004F3D4C" w:rsidRDefault="00036F4F" w:rsidP="00A5645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</w:pPr>
            <w:r w:rsidRPr="004F3D4C">
              <w:t>Genève, le</w:t>
            </w:r>
            <w:r w:rsidR="004419E9" w:rsidRPr="004F3D4C">
              <w:t xml:space="preserve"> </w:t>
            </w:r>
            <w:r w:rsidR="006B1897" w:rsidRPr="004F3D4C">
              <w:t>17 octobre 2025</w:t>
            </w:r>
          </w:p>
        </w:tc>
      </w:tr>
      <w:tr w:rsidR="00445B68" w:rsidRPr="004F3D4C" w14:paraId="16CDDFEF" w14:textId="77777777" w:rsidTr="00307FB4">
        <w:trPr>
          <w:cantSplit/>
          <w:trHeight w:val="340"/>
        </w:trPr>
        <w:tc>
          <w:tcPr>
            <w:tcW w:w="0" w:type="auto"/>
          </w:tcPr>
          <w:p w14:paraId="3EFF375D" w14:textId="58556577" w:rsidR="00445B68" w:rsidRPr="004F3D4C" w:rsidRDefault="00445B68" w:rsidP="00307FB4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  <w:r w:rsidRPr="004F3D4C">
              <w:rPr>
                <w:b/>
                <w:bCs/>
              </w:rPr>
              <w:t>Réf.:</w:t>
            </w:r>
          </w:p>
        </w:tc>
        <w:tc>
          <w:tcPr>
            <w:tcW w:w="3399" w:type="dxa"/>
          </w:tcPr>
          <w:p w14:paraId="5FFBBC9B" w14:textId="05513A9F" w:rsidR="00445B68" w:rsidRPr="004F3D4C" w:rsidRDefault="00445B68" w:rsidP="00A5280F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  <w:r w:rsidRPr="004F3D4C">
              <w:rPr>
                <w:b/>
              </w:rPr>
              <w:t xml:space="preserve">Circulaire TSB </w:t>
            </w:r>
            <w:r w:rsidR="006B1897" w:rsidRPr="004F3D4C">
              <w:rPr>
                <w:b/>
              </w:rPr>
              <w:t>80</w:t>
            </w:r>
          </w:p>
          <w:p w14:paraId="577F6DA2" w14:textId="1930A65E" w:rsidR="00445B68" w:rsidRPr="004F3D4C" w:rsidRDefault="006B1897" w:rsidP="00307FB4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  <w:r w:rsidRPr="004F3D4C">
              <w:rPr>
                <w:b/>
                <w:bCs/>
              </w:rPr>
              <w:t>CE 20/CB</w:t>
            </w:r>
          </w:p>
        </w:tc>
        <w:tc>
          <w:tcPr>
            <w:tcW w:w="5051" w:type="dxa"/>
            <w:vMerge w:val="restart"/>
          </w:tcPr>
          <w:p w14:paraId="35271D8E" w14:textId="337A1357" w:rsidR="00307FB4" w:rsidRPr="004F3D4C" w:rsidRDefault="00307FB4" w:rsidP="006B189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420" w:hanging="363"/>
            </w:pPr>
            <w:bookmarkStart w:id="0" w:name="Addressee_F"/>
            <w:bookmarkEnd w:id="0"/>
            <w:r w:rsidRPr="004F3D4C">
              <w:t>–</w:t>
            </w:r>
            <w:r w:rsidRPr="004F3D4C">
              <w:tab/>
            </w:r>
            <w:r w:rsidR="006B1897" w:rsidRPr="004F3D4C">
              <w:t xml:space="preserve">Aux </w:t>
            </w:r>
            <w:r w:rsidRPr="004F3D4C">
              <w:t>Administrations des États Membres de l'Union;</w:t>
            </w:r>
          </w:p>
          <w:p w14:paraId="461460AE" w14:textId="46C6484F" w:rsidR="00445B68" w:rsidRPr="004F3D4C" w:rsidRDefault="00307FB4" w:rsidP="006B189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420" w:hanging="363"/>
            </w:pPr>
            <w:r w:rsidRPr="004F3D4C">
              <w:t>–</w:t>
            </w:r>
            <w:r w:rsidRPr="004F3D4C">
              <w:tab/>
            </w:r>
            <w:r w:rsidR="006B1897" w:rsidRPr="004F3D4C">
              <w:t>À l'État de Palestine (Résolution 99 (Rév. Dubaï, 2018))</w:t>
            </w:r>
          </w:p>
        </w:tc>
      </w:tr>
      <w:tr w:rsidR="00307FB4" w:rsidRPr="004F3D4C" w14:paraId="06A3F0E7" w14:textId="77777777" w:rsidTr="00307FB4">
        <w:trPr>
          <w:cantSplit/>
          <w:trHeight w:val="340"/>
        </w:trPr>
        <w:tc>
          <w:tcPr>
            <w:tcW w:w="0" w:type="auto"/>
          </w:tcPr>
          <w:p w14:paraId="5CF43A7B" w14:textId="7A6B2050" w:rsidR="00307FB4" w:rsidRPr="004F3D4C" w:rsidRDefault="00307FB4" w:rsidP="00A5280F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</w:p>
        </w:tc>
        <w:tc>
          <w:tcPr>
            <w:tcW w:w="3399" w:type="dxa"/>
          </w:tcPr>
          <w:p w14:paraId="2074781F" w14:textId="09A503B7" w:rsidR="00307FB4" w:rsidRPr="004F3D4C" w:rsidRDefault="00307FB4" w:rsidP="00A5280F">
            <w:pPr>
              <w:tabs>
                <w:tab w:val="left" w:pos="4111"/>
              </w:tabs>
              <w:spacing w:before="10"/>
              <w:ind w:left="57"/>
              <w:rPr>
                <w:b/>
              </w:rPr>
            </w:pPr>
          </w:p>
        </w:tc>
        <w:tc>
          <w:tcPr>
            <w:tcW w:w="5051" w:type="dxa"/>
            <w:vMerge/>
          </w:tcPr>
          <w:p w14:paraId="2F310545" w14:textId="77777777" w:rsidR="00307FB4" w:rsidRPr="004F3D4C" w:rsidRDefault="00307FB4" w:rsidP="00A5280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</w:p>
        </w:tc>
      </w:tr>
      <w:tr w:rsidR="006B1897" w:rsidRPr="004F3D4C" w14:paraId="724FD23E" w14:textId="77777777" w:rsidTr="00307FB4">
        <w:trPr>
          <w:cantSplit/>
        </w:trPr>
        <w:tc>
          <w:tcPr>
            <w:tcW w:w="0" w:type="auto"/>
          </w:tcPr>
          <w:p w14:paraId="73149CCD" w14:textId="77777777" w:rsidR="006B1897" w:rsidRPr="004F3D4C" w:rsidRDefault="006B1897" w:rsidP="006B1897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0"/>
              </w:rPr>
            </w:pPr>
            <w:r w:rsidRPr="004F3D4C">
              <w:rPr>
                <w:b/>
                <w:bCs/>
              </w:rPr>
              <w:t>Tél.:</w:t>
            </w:r>
          </w:p>
        </w:tc>
        <w:tc>
          <w:tcPr>
            <w:tcW w:w="3399" w:type="dxa"/>
          </w:tcPr>
          <w:p w14:paraId="78D06186" w14:textId="5BEFDA7F" w:rsidR="006B1897" w:rsidRPr="004F3D4C" w:rsidRDefault="006B1897" w:rsidP="006B1897">
            <w:pPr>
              <w:tabs>
                <w:tab w:val="left" w:pos="4111"/>
              </w:tabs>
              <w:spacing w:before="0"/>
              <w:ind w:left="57"/>
            </w:pPr>
            <w:r w:rsidRPr="004F3D4C">
              <w:t>+41 22 730 6301</w:t>
            </w:r>
          </w:p>
        </w:tc>
        <w:tc>
          <w:tcPr>
            <w:tcW w:w="5051" w:type="dxa"/>
            <w:vMerge/>
          </w:tcPr>
          <w:p w14:paraId="6D3A5806" w14:textId="77777777" w:rsidR="006B1897" w:rsidRPr="004F3D4C" w:rsidRDefault="006B1897" w:rsidP="006B1897">
            <w:pPr>
              <w:tabs>
                <w:tab w:val="left" w:pos="226"/>
                <w:tab w:val="left" w:pos="4111"/>
              </w:tabs>
              <w:spacing w:before="0"/>
              <w:ind w:left="226" w:hanging="226"/>
              <w:rPr>
                <w:b/>
              </w:rPr>
            </w:pPr>
          </w:p>
        </w:tc>
      </w:tr>
      <w:tr w:rsidR="006B1897" w:rsidRPr="004F3D4C" w14:paraId="030F9AE5" w14:textId="77777777" w:rsidTr="00E75269">
        <w:trPr>
          <w:cantSplit/>
          <w:trHeight w:val="586"/>
        </w:trPr>
        <w:tc>
          <w:tcPr>
            <w:tcW w:w="0" w:type="auto"/>
          </w:tcPr>
          <w:p w14:paraId="7B417C4C" w14:textId="77777777" w:rsidR="006B1897" w:rsidRPr="004F3D4C" w:rsidRDefault="006B1897" w:rsidP="006B1897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0"/>
              </w:rPr>
            </w:pPr>
            <w:r w:rsidRPr="004F3D4C">
              <w:rPr>
                <w:b/>
                <w:bCs/>
              </w:rPr>
              <w:t>Télécopie:</w:t>
            </w:r>
          </w:p>
        </w:tc>
        <w:tc>
          <w:tcPr>
            <w:tcW w:w="3399" w:type="dxa"/>
          </w:tcPr>
          <w:p w14:paraId="1A4A5F7B" w14:textId="19EA1593" w:rsidR="006B1897" w:rsidRPr="004F3D4C" w:rsidRDefault="006B1897" w:rsidP="006B1897">
            <w:pPr>
              <w:tabs>
                <w:tab w:val="left" w:pos="4111"/>
              </w:tabs>
              <w:spacing w:before="0"/>
              <w:ind w:left="57"/>
            </w:pPr>
            <w:r w:rsidRPr="004F3D4C">
              <w:t>+41 22 730 5853</w:t>
            </w:r>
          </w:p>
        </w:tc>
        <w:tc>
          <w:tcPr>
            <w:tcW w:w="5051" w:type="dxa"/>
            <w:vMerge/>
          </w:tcPr>
          <w:p w14:paraId="323DAC81" w14:textId="77777777" w:rsidR="006B1897" w:rsidRPr="004F3D4C" w:rsidRDefault="006B1897" w:rsidP="006B1897">
            <w:pPr>
              <w:tabs>
                <w:tab w:val="left" w:pos="226"/>
                <w:tab w:val="left" w:pos="4111"/>
              </w:tabs>
              <w:spacing w:before="0"/>
              <w:ind w:left="226" w:hanging="226"/>
              <w:rPr>
                <w:b/>
              </w:rPr>
            </w:pPr>
          </w:p>
        </w:tc>
      </w:tr>
      <w:tr w:rsidR="006B1897" w:rsidRPr="004F3D4C" w14:paraId="640FB6B9" w14:textId="77777777" w:rsidTr="00307FB4">
        <w:trPr>
          <w:cantSplit/>
        </w:trPr>
        <w:tc>
          <w:tcPr>
            <w:tcW w:w="0" w:type="auto"/>
          </w:tcPr>
          <w:p w14:paraId="15527369" w14:textId="0865F49A" w:rsidR="006B1897" w:rsidRPr="004F3D4C" w:rsidRDefault="006B1897" w:rsidP="006B1897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  <w:r w:rsidRPr="004F3D4C">
              <w:rPr>
                <w:b/>
                <w:bCs/>
              </w:rPr>
              <w:t>Courriel:</w:t>
            </w:r>
          </w:p>
        </w:tc>
        <w:tc>
          <w:tcPr>
            <w:tcW w:w="3399" w:type="dxa"/>
          </w:tcPr>
          <w:p w14:paraId="172249CE" w14:textId="7B31C9BA" w:rsidR="006B1897" w:rsidRPr="004F3D4C" w:rsidRDefault="006B1897" w:rsidP="006B1897">
            <w:pPr>
              <w:tabs>
                <w:tab w:val="left" w:pos="4111"/>
              </w:tabs>
              <w:spacing w:before="0"/>
              <w:ind w:left="57"/>
            </w:pPr>
            <w:hyperlink r:id="rId9" w:history="1">
              <w:r w:rsidRPr="004F3D4C">
                <w:rPr>
                  <w:rStyle w:val="Hyperlink"/>
                </w:rPr>
                <w:t>tsbsg20@itu.int</w:t>
              </w:r>
            </w:hyperlink>
          </w:p>
        </w:tc>
        <w:tc>
          <w:tcPr>
            <w:tcW w:w="5051" w:type="dxa"/>
          </w:tcPr>
          <w:p w14:paraId="55E5D357" w14:textId="77777777" w:rsidR="006B1897" w:rsidRPr="004F3D4C" w:rsidRDefault="006B1897" w:rsidP="006B189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b/>
                <w:bCs/>
              </w:rPr>
            </w:pPr>
            <w:r w:rsidRPr="004F3D4C">
              <w:rPr>
                <w:b/>
                <w:bCs/>
              </w:rPr>
              <w:t>Copie:</w:t>
            </w:r>
          </w:p>
          <w:p w14:paraId="5DF63142" w14:textId="77777777" w:rsidR="006B1897" w:rsidRPr="004F3D4C" w:rsidRDefault="006B1897" w:rsidP="006B189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420" w:hanging="363"/>
            </w:pPr>
            <w:r w:rsidRPr="004F3D4C">
              <w:t>–</w:t>
            </w:r>
            <w:r w:rsidRPr="004F3D4C">
              <w:tab/>
              <w:t>Aux Membres du Secteur de l'UIT-T;</w:t>
            </w:r>
          </w:p>
          <w:p w14:paraId="48CCA81D" w14:textId="135A64D2" w:rsidR="006B1897" w:rsidRPr="004F3D4C" w:rsidRDefault="006B1897" w:rsidP="006B189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420" w:hanging="363"/>
            </w:pPr>
            <w:r w:rsidRPr="004F3D4C">
              <w:t>–</w:t>
            </w:r>
            <w:r w:rsidRPr="004F3D4C">
              <w:tab/>
              <w:t>Aux Associés de la Commission d'études 20 de l'UIT-T;</w:t>
            </w:r>
          </w:p>
          <w:p w14:paraId="6E5A3307" w14:textId="0DDA82C4" w:rsidR="006B1897" w:rsidRPr="004F3D4C" w:rsidRDefault="006B1897" w:rsidP="006B189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420" w:hanging="363"/>
            </w:pPr>
            <w:r w:rsidRPr="004F3D4C">
              <w:t>–</w:t>
            </w:r>
            <w:r w:rsidRPr="004F3D4C">
              <w:tab/>
              <w:t>Aux établissements universitaires participant aux travaux de l'UIT;</w:t>
            </w:r>
          </w:p>
          <w:p w14:paraId="15649339" w14:textId="12D74EB4" w:rsidR="006B1897" w:rsidRPr="004F3D4C" w:rsidRDefault="006B1897" w:rsidP="006B189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420" w:hanging="363"/>
            </w:pPr>
            <w:r w:rsidRPr="004F3D4C">
              <w:t>–</w:t>
            </w:r>
            <w:r w:rsidRPr="004F3D4C">
              <w:tab/>
              <w:t>Aux Président et Vice-Présidents de la Commission d'études 20 de l'UIT-T;</w:t>
            </w:r>
          </w:p>
          <w:p w14:paraId="4E70B8F7" w14:textId="68F31D64" w:rsidR="006B1897" w:rsidRPr="004F3D4C" w:rsidRDefault="006B1897" w:rsidP="006B189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420" w:hanging="363"/>
            </w:pPr>
            <w:r w:rsidRPr="004F3D4C">
              <w:t>–</w:t>
            </w:r>
            <w:r w:rsidRPr="004F3D4C">
              <w:tab/>
              <w:t>Au Directeur du Bureau de développement des télécommunications;</w:t>
            </w:r>
          </w:p>
          <w:p w14:paraId="19762254" w14:textId="51BB628A" w:rsidR="006B1897" w:rsidRPr="004F3D4C" w:rsidRDefault="006B1897" w:rsidP="006B189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420" w:hanging="363"/>
            </w:pPr>
            <w:r w:rsidRPr="004F3D4C">
              <w:t>–</w:t>
            </w:r>
            <w:r w:rsidRPr="004F3D4C">
              <w:tab/>
              <w:t>Au Directeur du Bureau des radiocommunications</w:t>
            </w:r>
          </w:p>
        </w:tc>
      </w:tr>
      <w:tr w:rsidR="00517A03" w:rsidRPr="004F3D4C" w14:paraId="5435C04A" w14:textId="77777777" w:rsidTr="00C41B89">
        <w:trPr>
          <w:cantSplit/>
          <w:trHeight w:val="397"/>
        </w:trPr>
        <w:tc>
          <w:tcPr>
            <w:tcW w:w="0" w:type="auto"/>
          </w:tcPr>
          <w:p w14:paraId="2A0B9B4F" w14:textId="77777777" w:rsidR="00517A03" w:rsidRPr="004F3D4C" w:rsidRDefault="00517A03" w:rsidP="00307FB4">
            <w:pPr>
              <w:tabs>
                <w:tab w:val="left" w:pos="4111"/>
              </w:tabs>
              <w:ind w:left="57"/>
              <w:rPr>
                <w:b/>
                <w:bCs/>
                <w:szCs w:val="22"/>
              </w:rPr>
            </w:pPr>
            <w:r w:rsidRPr="004F3D4C">
              <w:rPr>
                <w:b/>
                <w:bCs/>
                <w:szCs w:val="22"/>
              </w:rPr>
              <w:t>Objet:</w:t>
            </w:r>
          </w:p>
        </w:tc>
        <w:tc>
          <w:tcPr>
            <w:tcW w:w="0" w:type="auto"/>
            <w:gridSpan w:val="2"/>
          </w:tcPr>
          <w:p w14:paraId="1A51EE75" w14:textId="3FC83CA2" w:rsidR="00517A03" w:rsidRPr="004F3D4C" w:rsidRDefault="006B1897" w:rsidP="006B1897">
            <w:pPr>
              <w:tabs>
                <w:tab w:val="left" w:pos="4111"/>
              </w:tabs>
              <w:spacing w:after="120"/>
              <w:ind w:left="57" w:right="40"/>
              <w:rPr>
                <w:b/>
                <w:bCs/>
                <w:szCs w:val="22"/>
              </w:rPr>
            </w:pPr>
            <w:r w:rsidRPr="004F3D4C">
              <w:rPr>
                <w:b/>
                <w:bCs/>
                <w:szCs w:val="22"/>
              </w:rPr>
              <w:t>Statut des Recommandations UIT-T Y.4235 (ex Y.PGComNet-Reqts), UIT-T Y.4236 (ex Y.EMM-Reqts), UIT-T Y.4237 (ex Y.dt-IWCS), UIT-T Y.4496 (ex Y.RA-PHE), UIT-T Y.4708 (ex Y.IoT-DPE), UIT-T Y.4609 (ex Y.metadata-EPI), UIT-T Y.4813 (ex Y.iepi</w:t>
            </w:r>
            <w:r w:rsidRPr="004F3D4C">
              <w:rPr>
                <w:b/>
                <w:bCs/>
                <w:szCs w:val="22"/>
              </w:rPr>
              <w:noBreakHyphen/>
              <w:t>dm-sa), UIT-T Y.4814 (ex Y.IoT-acs-fra) et UIT-T Y.4911 (ex Y.KPI-Flood), à la suite de la réunion de la Commission d'études 20 de l'UIT-T (Genève, 15</w:t>
            </w:r>
            <w:r w:rsidRPr="004F3D4C">
              <w:rPr>
                <w:b/>
                <w:bCs/>
                <w:szCs w:val="22"/>
              </w:rPr>
              <w:noBreakHyphen/>
              <w:t>25 septembre 2025)</w:t>
            </w:r>
          </w:p>
        </w:tc>
      </w:tr>
    </w:tbl>
    <w:p w14:paraId="2D1EC328" w14:textId="77777777" w:rsidR="00517A03" w:rsidRPr="004F3D4C" w:rsidRDefault="00517A03" w:rsidP="0048088B">
      <w:pPr>
        <w:spacing w:before="360"/>
      </w:pPr>
      <w:bookmarkStart w:id="1" w:name="StartTyping_F"/>
      <w:bookmarkEnd w:id="1"/>
      <w:r w:rsidRPr="004F3D4C">
        <w:t>Madame, Monsieur,</w:t>
      </w:r>
    </w:p>
    <w:p w14:paraId="46F2C3C2" w14:textId="0E659348" w:rsidR="00307FB4" w:rsidRPr="004F3D4C" w:rsidRDefault="006B1897" w:rsidP="006B1897">
      <w:pPr>
        <w:spacing w:after="120"/>
        <w:rPr>
          <w:bCs/>
        </w:rPr>
      </w:pPr>
      <w:r w:rsidRPr="004F3D4C">
        <w:rPr>
          <w:bCs/>
        </w:rPr>
        <w:t>1</w:t>
      </w:r>
      <w:r w:rsidRPr="004F3D4C">
        <w:rPr>
          <w:bCs/>
        </w:rPr>
        <w:tab/>
        <w:t xml:space="preserve">À la suite de la </w:t>
      </w:r>
      <w:hyperlink r:id="rId10" w:history="1">
        <w:r w:rsidRPr="004F3D4C">
          <w:rPr>
            <w:rStyle w:val="Hyperlink"/>
            <w:bCs/>
          </w:rPr>
          <w:t>Circulaire TSB 39</w:t>
        </w:r>
      </w:hyperlink>
      <w:r w:rsidRPr="004F3D4C">
        <w:rPr>
          <w:bCs/>
        </w:rPr>
        <w:t xml:space="preserve"> du 14 avril 2025, et conformément au § 9.5 de la Résolution 1 (Rév. Genève, 2022) de l'AMNT, j'ai l'honneur de vous informer que la Commission d'études 20 a pris les décisions suivantes, durant les séances plénières qu'elle a tenues les 15 et 23 septembre 2025 à Genève, concernant les projets de textes de l'UIT-T énumérés ci</w:t>
      </w:r>
      <w:r w:rsidRPr="004F3D4C">
        <w:rPr>
          <w:bCs/>
        </w:rPr>
        <w:noBreakHyphen/>
        <w:t>après: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5387"/>
        <w:gridCol w:w="1922"/>
      </w:tblGrid>
      <w:tr w:rsidR="006B1897" w:rsidRPr="004F3D4C" w14:paraId="4A43FB0B" w14:textId="77777777" w:rsidTr="006B1897">
        <w:trPr>
          <w:tblHeader/>
        </w:trPr>
        <w:tc>
          <w:tcPr>
            <w:tcW w:w="1236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497FA9ED" w14:textId="77777777" w:rsidR="006B1897" w:rsidRPr="004F3D4C" w:rsidRDefault="006B1897" w:rsidP="006B1897">
            <w:pPr>
              <w:pStyle w:val="TableHead"/>
              <w:rPr>
                <w:rFonts w:cs="Calibri"/>
                <w:szCs w:val="22"/>
              </w:rPr>
            </w:pPr>
            <w:r w:rsidRPr="004F3D4C">
              <w:t>Numéro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41A6BC45" w14:textId="77777777" w:rsidR="006B1897" w:rsidRPr="004F3D4C" w:rsidRDefault="006B1897" w:rsidP="006B1897">
            <w:pPr>
              <w:pStyle w:val="TableHead"/>
              <w:rPr>
                <w:rFonts w:cs="Calibri"/>
                <w:szCs w:val="22"/>
              </w:rPr>
            </w:pPr>
            <w:r w:rsidRPr="004F3D4C">
              <w:t>Titre</w:t>
            </w:r>
          </w:p>
        </w:tc>
        <w:tc>
          <w:tcPr>
            <w:tcW w:w="990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34916E5F" w14:textId="77777777" w:rsidR="006B1897" w:rsidRPr="004F3D4C" w:rsidRDefault="006B1897" w:rsidP="006B1897">
            <w:pPr>
              <w:pStyle w:val="TableHead"/>
              <w:rPr>
                <w:rFonts w:cs="Calibri"/>
                <w:szCs w:val="22"/>
              </w:rPr>
            </w:pPr>
            <w:r w:rsidRPr="004F3D4C">
              <w:t>Décision</w:t>
            </w:r>
          </w:p>
        </w:tc>
      </w:tr>
      <w:tr w:rsidR="006B1897" w:rsidRPr="004F3D4C" w14:paraId="02531CF1" w14:textId="77777777" w:rsidTr="006B1897">
        <w:tc>
          <w:tcPr>
            <w:tcW w:w="1236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2D02A83E" w14:textId="77777777" w:rsidR="006B1897" w:rsidRPr="004F3D4C" w:rsidRDefault="006B1897" w:rsidP="006B1897">
            <w:pPr>
              <w:pStyle w:val="TableText"/>
              <w:jc w:val="center"/>
              <w:rPr>
                <w:rFonts w:cs="Calibri"/>
                <w:b/>
                <w:szCs w:val="22"/>
              </w:rPr>
            </w:pPr>
            <w:bookmarkStart w:id="2" w:name="_Hlk211598046"/>
            <w:r w:rsidRPr="004F3D4C">
              <w:rPr>
                <w:b/>
              </w:rPr>
              <w:t>Y.4235</w:t>
            </w:r>
          </w:p>
          <w:p w14:paraId="59FD24CB" w14:textId="77777777" w:rsidR="006B1897" w:rsidRPr="004F3D4C" w:rsidRDefault="006B1897" w:rsidP="006B1897">
            <w:pPr>
              <w:pStyle w:val="TableText"/>
              <w:jc w:val="center"/>
              <w:rPr>
                <w:rFonts w:cs="Calibri"/>
                <w:b/>
                <w:szCs w:val="22"/>
              </w:rPr>
            </w:pPr>
            <w:r w:rsidRPr="004F3D4C">
              <w:rPr>
                <w:b/>
              </w:rPr>
              <w:t>(ex Y.PGComNet-Reqts)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F796A84" w14:textId="16EF58CC" w:rsidR="006B1897" w:rsidRPr="004F3D4C" w:rsidRDefault="006B1897" w:rsidP="006B1897">
            <w:pPr>
              <w:pStyle w:val="TableText"/>
              <w:jc w:val="center"/>
              <w:rPr>
                <w:rFonts w:cs="Calibri"/>
                <w:szCs w:val="22"/>
              </w:rPr>
            </w:pPr>
            <w:r w:rsidRPr="004F3D4C">
              <w:t>Exigences relatives au réseau de communication du réseau électrique fondé sur l'IoT</w:t>
            </w:r>
          </w:p>
        </w:tc>
        <w:tc>
          <w:tcPr>
            <w:tcW w:w="990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FF843F0" w14:textId="77777777" w:rsidR="006B1897" w:rsidRPr="004F3D4C" w:rsidRDefault="006B1897" w:rsidP="006B1897">
            <w:pPr>
              <w:pStyle w:val="TableText"/>
              <w:jc w:val="center"/>
              <w:rPr>
                <w:rFonts w:cs="Calibri"/>
                <w:szCs w:val="22"/>
              </w:rPr>
            </w:pPr>
            <w:r w:rsidRPr="004F3D4C">
              <w:t>APPROUVÉ</w:t>
            </w:r>
          </w:p>
        </w:tc>
      </w:tr>
      <w:tr w:rsidR="006B1897" w:rsidRPr="004F3D4C" w14:paraId="74D175C3" w14:textId="77777777" w:rsidTr="006B1897">
        <w:tc>
          <w:tcPr>
            <w:tcW w:w="1236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989F95B" w14:textId="77777777" w:rsidR="006B1897" w:rsidRPr="004F3D4C" w:rsidRDefault="006B1897" w:rsidP="006B1897">
            <w:pPr>
              <w:pStyle w:val="TableText"/>
              <w:jc w:val="center"/>
              <w:rPr>
                <w:rFonts w:cs="Calibri"/>
                <w:b/>
                <w:szCs w:val="22"/>
              </w:rPr>
            </w:pPr>
            <w:r w:rsidRPr="004F3D4C">
              <w:rPr>
                <w:b/>
              </w:rPr>
              <w:t>Y.4236</w:t>
            </w:r>
          </w:p>
          <w:p w14:paraId="4D2FED8E" w14:textId="77777777" w:rsidR="006B1897" w:rsidRPr="004F3D4C" w:rsidRDefault="006B1897" w:rsidP="006B1897">
            <w:pPr>
              <w:pStyle w:val="TableText"/>
              <w:jc w:val="center"/>
              <w:rPr>
                <w:rFonts w:cs="Calibri"/>
                <w:b/>
                <w:szCs w:val="22"/>
              </w:rPr>
            </w:pPr>
            <w:r w:rsidRPr="004F3D4C">
              <w:rPr>
                <w:b/>
              </w:rPr>
              <w:t>(ex Y.EMM-reqts)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2B934BB" w14:textId="65125340" w:rsidR="006B1897" w:rsidRPr="004F3D4C" w:rsidRDefault="006B1897" w:rsidP="006B1897">
            <w:pPr>
              <w:pStyle w:val="TableText"/>
              <w:jc w:val="center"/>
              <w:rPr>
                <w:rFonts w:cs="Calibri"/>
                <w:szCs w:val="22"/>
              </w:rPr>
            </w:pPr>
            <w:r w:rsidRPr="004F3D4C">
              <w:t>Exigences relatives à la surveillance en temps réel et à la gestion intégrée des événements dans les plates</w:t>
            </w:r>
            <w:r w:rsidRPr="004F3D4C">
              <w:noBreakHyphen/>
              <w:t>formes de ville intelligente</w:t>
            </w:r>
          </w:p>
        </w:tc>
        <w:tc>
          <w:tcPr>
            <w:tcW w:w="990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628C319" w14:textId="77777777" w:rsidR="006B1897" w:rsidRPr="004F3D4C" w:rsidRDefault="006B1897" w:rsidP="006B1897">
            <w:pPr>
              <w:pStyle w:val="TableText"/>
              <w:jc w:val="center"/>
              <w:rPr>
                <w:rFonts w:cs="Calibri"/>
                <w:szCs w:val="22"/>
              </w:rPr>
            </w:pPr>
            <w:r w:rsidRPr="004F3D4C">
              <w:t>APPROUVÉ</w:t>
            </w:r>
          </w:p>
        </w:tc>
      </w:tr>
      <w:tr w:rsidR="006B1897" w:rsidRPr="004F3D4C" w14:paraId="5F024531" w14:textId="77777777" w:rsidTr="006B1897">
        <w:tc>
          <w:tcPr>
            <w:tcW w:w="1236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229FB852" w14:textId="77777777" w:rsidR="006B1897" w:rsidRPr="004F3D4C" w:rsidRDefault="006B1897" w:rsidP="006B1897">
            <w:pPr>
              <w:pStyle w:val="TableText"/>
              <w:jc w:val="center"/>
              <w:rPr>
                <w:rFonts w:cs="Calibri"/>
                <w:b/>
                <w:szCs w:val="22"/>
              </w:rPr>
            </w:pPr>
            <w:r w:rsidRPr="004F3D4C">
              <w:rPr>
                <w:b/>
              </w:rPr>
              <w:lastRenderedPageBreak/>
              <w:t>Y.4237</w:t>
            </w:r>
          </w:p>
          <w:p w14:paraId="646EECA4" w14:textId="77777777" w:rsidR="006B1897" w:rsidRPr="004F3D4C" w:rsidRDefault="006B1897" w:rsidP="006B1897">
            <w:pPr>
              <w:pStyle w:val="TableText"/>
              <w:jc w:val="center"/>
              <w:rPr>
                <w:rFonts w:cs="Calibri"/>
                <w:b/>
                <w:szCs w:val="22"/>
              </w:rPr>
            </w:pPr>
            <w:r w:rsidRPr="004F3D4C">
              <w:rPr>
                <w:b/>
              </w:rPr>
              <w:t>(ex Y.dt-IWCS)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0E793B07" w14:textId="7E8F6161" w:rsidR="006B1897" w:rsidRPr="004F3D4C" w:rsidRDefault="006B1897" w:rsidP="006B1897">
            <w:pPr>
              <w:pStyle w:val="TableText"/>
              <w:jc w:val="center"/>
              <w:rPr>
                <w:rFonts w:cs="Calibri"/>
                <w:szCs w:val="22"/>
              </w:rPr>
            </w:pPr>
            <w:r w:rsidRPr="004F3D4C">
              <w:t>Exigences et cadre des capacités pour les jumeaux numériques utilisés pour le système intelligent de conservation des eaux</w:t>
            </w:r>
          </w:p>
        </w:tc>
        <w:tc>
          <w:tcPr>
            <w:tcW w:w="990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BDA4126" w14:textId="77777777" w:rsidR="006B1897" w:rsidRPr="004F3D4C" w:rsidRDefault="006B1897" w:rsidP="006B1897">
            <w:pPr>
              <w:pStyle w:val="TableText"/>
              <w:jc w:val="center"/>
              <w:rPr>
                <w:rFonts w:cs="Calibri"/>
                <w:szCs w:val="22"/>
              </w:rPr>
            </w:pPr>
            <w:r w:rsidRPr="004F3D4C">
              <w:t>APPROUVÉ</w:t>
            </w:r>
          </w:p>
        </w:tc>
      </w:tr>
      <w:tr w:rsidR="006B1897" w:rsidRPr="004F3D4C" w14:paraId="0A1928E6" w14:textId="77777777" w:rsidTr="006B1897">
        <w:tc>
          <w:tcPr>
            <w:tcW w:w="1236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5254256" w14:textId="77777777" w:rsidR="006B1897" w:rsidRPr="004F3D4C" w:rsidRDefault="006B1897" w:rsidP="006B1897">
            <w:pPr>
              <w:pStyle w:val="TableText"/>
              <w:jc w:val="center"/>
              <w:rPr>
                <w:rFonts w:cs="Calibri"/>
                <w:b/>
                <w:szCs w:val="22"/>
              </w:rPr>
            </w:pPr>
            <w:r w:rsidRPr="004F3D4C">
              <w:rPr>
                <w:b/>
              </w:rPr>
              <w:t>Y.4496</w:t>
            </w:r>
          </w:p>
          <w:p w14:paraId="316EDFC5" w14:textId="77777777" w:rsidR="006B1897" w:rsidRPr="004F3D4C" w:rsidRDefault="006B1897" w:rsidP="006B1897">
            <w:pPr>
              <w:pStyle w:val="TableText"/>
              <w:jc w:val="center"/>
              <w:rPr>
                <w:rFonts w:cs="Calibri"/>
                <w:b/>
                <w:szCs w:val="22"/>
              </w:rPr>
            </w:pPr>
            <w:r w:rsidRPr="004F3D4C">
              <w:rPr>
                <w:b/>
              </w:rPr>
              <w:t>(ex Y.RA-PHE)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058B4C3B" w14:textId="140B0ED5" w:rsidR="006B1897" w:rsidRPr="004F3D4C" w:rsidRDefault="006B1897" w:rsidP="006B1897">
            <w:pPr>
              <w:pStyle w:val="TableText"/>
              <w:jc w:val="center"/>
              <w:rPr>
                <w:rFonts w:cs="Calibri"/>
                <w:szCs w:val="22"/>
              </w:rPr>
            </w:pPr>
            <w:r w:rsidRPr="004F3D4C">
              <w:t>Exigences et architecture de référence d'un système intelligent d'information sur les urgences de santé publique</w:t>
            </w:r>
          </w:p>
        </w:tc>
        <w:tc>
          <w:tcPr>
            <w:tcW w:w="990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BF827BC" w14:textId="77777777" w:rsidR="006B1897" w:rsidRPr="004F3D4C" w:rsidRDefault="006B1897" w:rsidP="006B1897">
            <w:pPr>
              <w:pStyle w:val="TableText"/>
              <w:jc w:val="center"/>
              <w:rPr>
                <w:rFonts w:cs="Calibri"/>
                <w:szCs w:val="22"/>
              </w:rPr>
            </w:pPr>
            <w:r w:rsidRPr="004F3D4C">
              <w:t>APPROUVÉ</w:t>
            </w:r>
          </w:p>
        </w:tc>
      </w:tr>
      <w:tr w:rsidR="006B1897" w:rsidRPr="004F3D4C" w14:paraId="670FDEFE" w14:textId="77777777" w:rsidTr="006B1897">
        <w:tc>
          <w:tcPr>
            <w:tcW w:w="1236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0242AB9E" w14:textId="77777777" w:rsidR="006B1897" w:rsidRPr="004F3D4C" w:rsidRDefault="006B1897" w:rsidP="006B1897">
            <w:pPr>
              <w:pStyle w:val="TableText"/>
              <w:jc w:val="center"/>
              <w:rPr>
                <w:rFonts w:cs="Calibri"/>
                <w:b/>
                <w:szCs w:val="22"/>
              </w:rPr>
            </w:pPr>
            <w:r w:rsidRPr="004F3D4C">
              <w:rPr>
                <w:b/>
              </w:rPr>
              <w:t>Y.4708</w:t>
            </w:r>
          </w:p>
          <w:p w14:paraId="52BE7861" w14:textId="77777777" w:rsidR="006B1897" w:rsidRPr="004F3D4C" w:rsidRDefault="006B1897" w:rsidP="006B1897">
            <w:pPr>
              <w:pStyle w:val="TableText"/>
              <w:jc w:val="center"/>
              <w:rPr>
                <w:rFonts w:cs="Calibri"/>
                <w:b/>
                <w:szCs w:val="22"/>
              </w:rPr>
            </w:pPr>
            <w:r w:rsidRPr="004F3D4C">
              <w:rPr>
                <w:b/>
              </w:rPr>
              <w:t>(ex Y.IoT-DPE)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01D12FB" w14:textId="738FF392" w:rsidR="006B1897" w:rsidRPr="004F3D4C" w:rsidRDefault="006B1897" w:rsidP="006B1897">
            <w:pPr>
              <w:pStyle w:val="TableText"/>
              <w:jc w:val="center"/>
              <w:rPr>
                <w:rFonts w:cs="Calibri"/>
                <w:szCs w:val="22"/>
              </w:rPr>
            </w:pPr>
            <w:r w:rsidRPr="004F3D4C">
              <w:t>Cadre de gestion pour les équipements électriques répartis fondés sur l'IoT</w:t>
            </w:r>
          </w:p>
        </w:tc>
        <w:tc>
          <w:tcPr>
            <w:tcW w:w="990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266E0DB0" w14:textId="77777777" w:rsidR="006B1897" w:rsidRPr="004F3D4C" w:rsidRDefault="006B1897" w:rsidP="006B1897">
            <w:pPr>
              <w:pStyle w:val="TableText"/>
              <w:jc w:val="center"/>
              <w:rPr>
                <w:rFonts w:cs="Calibri"/>
                <w:szCs w:val="22"/>
              </w:rPr>
            </w:pPr>
            <w:r w:rsidRPr="004F3D4C">
              <w:t>APPROUVÉ</w:t>
            </w:r>
          </w:p>
        </w:tc>
      </w:tr>
      <w:tr w:rsidR="006B1897" w:rsidRPr="004F3D4C" w14:paraId="5E36DBEF" w14:textId="77777777" w:rsidTr="006B1897">
        <w:tc>
          <w:tcPr>
            <w:tcW w:w="1236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66EAB01B" w14:textId="77777777" w:rsidR="006B1897" w:rsidRPr="004F3D4C" w:rsidRDefault="006B1897" w:rsidP="006B1897">
            <w:pPr>
              <w:pStyle w:val="TableText"/>
              <w:jc w:val="center"/>
              <w:rPr>
                <w:rFonts w:cs="Calibri"/>
                <w:b/>
                <w:szCs w:val="22"/>
              </w:rPr>
            </w:pPr>
            <w:r w:rsidRPr="004F3D4C">
              <w:rPr>
                <w:b/>
              </w:rPr>
              <w:t>Y.4609</w:t>
            </w:r>
          </w:p>
          <w:p w14:paraId="5472E2FC" w14:textId="77777777" w:rsidR="006B1897" w:rsidRPr="004F3D4C" w:rsidRDefault="006B1897" w:rsidP="006B1897">
            <w:pPr>
              <w:pStyle w:val="TableText"/>
              <w:jc w:val="center"/>
              <w:rPr>
                <w:rFonts w:cs="Calibri"/>
                <w:b/>
                <w:szCs w:val="22"/>
              </w:rPr>
            </w:pPr>
            <w:r w:rsidRPr="004F3D4C">
              <w:rPr>
                <w:b/>
              </w:rPr>
              <w:t>(ex Y.metadata-EPI)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67ABBF5" w14:textId="71A07AC5" w:rsidR="006B1897" w:rsidRPr="004F3D4C" w:rsidRDefault="006B1897" w:rsidP="006B1897">
            <w:pPr>
              <w:pStyle w:val="TableText"/>
              <w:jc w:val="center"/>
              <w:rPr>
                <w:rFonts w:cs="Calibri"/>
                <w:szCs w:val="22"/>
              </w:rPr>
            </w:pPr>
            <w:r w:rsidRPr="004F3D4C">
              <w:t>Métadonnées d'inventaire pour systèmes de surveillance des infrastructures d'énergie électrique basés sur l'Internet des objets</w:t>
            </w:r>
          </w:p>
        </w:tc>
        <w:tc>
          <w:tcPr>
            <w:tcW w:w="990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D897AC0" w14:textId="77777777" w:rsidR="006B1897" w:rsidRPr="004F3D4C" w:rsidRDefault="006B1897" w:rsidP="006B1897">
            <w:pPr>
              <w:pStyle w:val="TableText"/>
              <w:jc w:val="center"/>
              <w:rPr>
                <w:rFonts w:cs="Calibri"/>
                <w:szCs w:val="22"/>
              </w:rPr>
            </w:pPr>
            <w:r w:rsidRPr="004F3D4C">
              <w:t>APPROUVÉ</w:t>
            </w:r>
          </w:p>
        </w:tc>
      </w:tr>
      <w:tr w:rsidR="006B1897" w:rsidRPr="004F3D4C" w14:paraId="3FD4F9D6" w14:textId="77777777" w:rsidTr="006B1897">
        <w:tc>
          <w:tcPr>
            <w:tcW w:w="1236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9A044E6" w14:textId="77777777" w:rsidR="006B1897" w:rsidRPr="004F3D4C" w:rsidRDefault="006B1897" w:rsidP="006B1897">
            <w:pPr>
              <w:pStyle w:val="TableText"/>
              <w:jc w:val="center"/>
              <w:rPr>
                <w:rFonts w:cs="Calibri"/>
                <w:b/>
                <w:szCs w:val="22"/>
              </w:rPr>
            </w:pPr>
            <w:r w:rsidRPr="004F3D4C">
              <w:rPr>
                <w:b/>
              </w:rPr>
              <w:t>Y.4813</w:t>
            </w:r>
          </w:p>
          <w:p w14:paraId="14802D09" w14:textId="77777777" w:rsidR="006B1897" w:rsidRPr="004F3D4C" w:rsidRDefault="006B1897" w:rsidP="006B1897">
            <w:pPr>
              <w:pStyle w:val="TableText"/>
              <w:jc w:val="center"/>
              <w:rPr>
                <w:rFonts w:cs="Calibri"/>
                <w:b/>
                <w:szCs w:val="22"/>
              </w:rPr>
            </w:pPr>
            <w:r w:rsidRPr="004F3D4C">
              <w:rPr>
                <w:b/>
              </w:rPr>
              <w:t>(ex Y.iepi-dm-sa)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144C60F4" w14:textId="1E265993" w:rsidR="006B1897" w:rsidRPr="004F3D4C" w:rsidRDefault="006B1897" w:rsidP="006B1897">
            <w:pPr>
              <w:pStyle w:val="TableText"/>
              <w:jc w:val="center"/>
              <w:rPr>
                <w:rFonts w:cs="Calibri"/>
                <w:szCs w:val="22"/>
              </w:rPr>
            </w:pPr>
            <w:r w:rsidRPr="004F3D4C">
              <w:t>Cadre d'évaluation de la sécurité de la gestion des données dans les infrastructures d'énergie électrique basées sur l'Internet des objets</w:t>
            </w:r>
          </w:p>
        </w:tc>
        <w:tc>
          <w:tcPr>
            <w:tcW w:w="990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1302A56" w14:textId="77777777" w:rsidR="006B1897" w:rsidRPr="004F3D4C" w:rsidRDefault="006B1897" w:rsidP="006B1897">
            <w:pPr>
              <w:pStyle w:val="TableText"/>
              <w:jc w:val="center"/>
              <w:rPr>
                <w:rFonts w:cs="Calibri"/>
                <w:szCs w:val="22"/>
              </w:rPr>
            </w:pPr>
            <w:r w:rsidRPr="004F3D4C">
              <w:t>APPROBATION REPORTÉE</w:t>
            </w:r>
          </w:p>
        </w:tc>
      </w:tr>
      <w:tr w:rsidR="006B1897" w:rsidRPr="004F3D4C" w14:paraId="4A2F3BFF" w14:textId="77777777" w:rsidTr="006B1897">
        <w:tc>
          <w:tcPr>
            <w:tcW w:w="1236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6881635A" w14:textId="77777777" w:rsidR="006B1897" w:rsidRPr="004F3D4C" w:rsidRDefault="006B1897" w:rsidP="006B1897">
            <w:pPr>
              <w:pStyle w:val="TableText"/>
              <w:jc w:val="center"/>
              <w:rPr>
                <w:rFonts w:cs="Calibri"/>
                <w:b/>
                <w:szCs w:val="22"/>
              </w:rPr>
            </w:pPr>
            <w:r w:rsidRPr="004F3D4C">
              <w:rPr>
                <w:b/>
              </w:rPr>
              <w:t>Y.4814</w:t>
            </w:r>
          </w:p>
          <w:p w14:paraId="46CD6104" w14:textId="77777777" w:rsidR="006B1897" w:rsidRPr="004F3D4C" w:rsidRDefault="006B1897" w:rsidP="006B1897">
            <w:pPr>
              <w:pStyle w:val="TableText"/>
              <w:jc w:val="center"/>
              <w:rPr>
                <w:rFonts w:cs="Calibri"/>
                <w:b/>
                <w:szCs w:val="22"/>
              </w:rPr>
            </w:pPr>
            <w:r w:rsidRPr="004F3D4C">
              <w:rPr>
                <w:b/>
              </w:rPr>
              <w:t>(ex Y.IoT-acs-fra)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00FB0D1" w14:textId="37C7D60C" w:rsidR="006B1897" w:rsidRPr="004F3D4C" w:rsidRDefault="006B1897" w:rsidP="006B1897">
            <w:pPr>
              <w:pStyle w:val="TableText"/>
              <w:jc w:val="center"/>
              <w:rPr>
                <w:rFonts w:cs="Calibri"/>
                <w:szCs w:val="22"/>
              </w:rPr>
            </w:pPr>
            <w:r w:rsidRPr="004F3D4C">
              <w:t>Exigences fonctionnelles et architecture du service de contrôle d'accès d'une plate-forme IoT reposant sur la technologie de confiance zéro dans des environnements</w:t>
            </w:r>
            <w:r w:rsidR="004F3D4C" w:rsidRPr="004F3D4C">
              <w:t> </w:t>
            </w:r>
            <w:r w:rsidRPr="004F3D4C">
              <w:t>décentralisés</w:t>
            </w:r>
          </w:p>
        </w:tc>
        <w:tc>
          <w:tcPr>
            <w:tcW w:w="990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04FF1E04" w14:textId="77777777" w:rsidR="006B1897" w:rsidRPr="004F3D4C" w:rsidRDefault="006B1897" w:rsidP="006B1897">
            <w:pPr>
              <w:pStyle w:val="TableText"/>
              <w:jc w:val="center"/>
              <w:rPr>
                <w:rFonts w:cs="Calibri"/>
                <w:szCs w:val="22"/>
              </w:rPr>
            </w:pPr>
            <w:r w:rsidRPr="004F3D4C">
              <w:t>APPROUVÉ</w:t>
            </w:r>
          </w:p>
        </w:tc>
      </w:tr>
      <w:tr w:rsidR="006B1897" w:rsidRPr="004F3D4C" w14:paraId="788E8304" w14:textId="77777777" w:rsidTr="006B1897">
        <w:tc>
          <w:tcPr>
            <w:tcW w:w="1236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111D767D" w14:textId="77777777" w:rsidR="006B1897" w:rsidRPr="004F3D4C" w:rsidRDefault="006B1897" w:rsidP="006B1897">
            <w:pPr>
              <w:pStyle w:val="TableText"/>
              <w:jc w:val="center"/>
              <w:rPr>
                <w:rFonts w:cs="Calibri"/>
                <w:b/>
                <w:szCs w:val="22"/>
              </w:rPr>
            </w:pPr>
            <w:r w:rsidRPr="004F3D4C">
              <w:rPr>
                <w:b/>
              </w:rPr>
              <w:t>Y.4911</w:t>
            </w:r>
          </w:p>
          <w:p w14:paraId="32574C83" w14:textId="77777777" w:rsidR="006B1897" w:rsidRPr="004F3D4C" w:rsidRDefault="006B1897" w:rsidP="006B1897">
            <w:pPr>
              <w:pStyle w:val="TableText"/>
              <w:jc w:val="center"/>
              <w:rPr>
                <w:rFonts w:cs="Calibri"/>
                <w:b/>
                <w:szCs w:val="22"/>
              </w:rPr>
            </w:pPr>
            <w:r w:rsidRPr="004F3D4C">
              <w:rPr>
                <w:b/>
              </w:rPr>
              <w:t>(ex Y.KPI-Flood)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A1F12C8" w14:textId="02FCC4C1" w:rsidR="006B1897" w:rsidRPr="004F3D4C" w:rsidRDefault="006B1897" w:rsidP="006B1897">
            <w:pPr>
              <w:pStyle w:val="TableText"/>
              <w:jc w:val="center"/>
              <w:rPr>
                <w:rFonts w:cs="Calibri"/>
                <w:szCs w:val="22"/>
              </w:rPr>
            </w:pPr>
            <w:r w:rsidRPr="004F3D4C">
              <w:t>Indicateurs fondamentaux de performance des capacités de prise en charge des données fondée sur les technologies de l'information et de la</w:t>
            </w:r>
            <w:r w:rsidR="004F3D4C" w:rsidRPr="004F3D4C">
              <w:t xml:space="preserve"> </w:t>
            </w:r>
            <w:r w:rsidRPr="004F3D4C">
              <w:t>communication pour la prévention des catastrophes</w:t>
            </w:r>
            <w:r w:rsidR="004F3D4C" w:rsidRPr="004F3D4C">
              <w:t xml:space="preserve"> </w:t>
            </w:r>
            <w:r w:rsidRPr="004F3D4C">
              <w:t>liées aux inondations</w:t>
            </w:r>
            <w:r w:rsidR="004F3D4C" w:rsidRPr="004F3D4C">
              <w:t xml:space="preserve"> </w:t>
            </w:r>
            <w:r w:rsidRPr="004F3D4C">
              <w:t>urbaines et</w:t>
            </w:r>
            <w:r w:rsidR="004F3D4C" w:rsidRPr="004F3D4C">
              <w:t xml:space="preserve"> </w:t>
            </w:r>
            <w:r w:rsidRPr="004F3D4C">
              <w:t>l'atténuation de leurs effets</w:t>
            </w:r>
          </w:p>
        </w:tc>
        <w:tc>
          <w:tcPr>
            <w:tcW w:w="990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52070A6" w14:textId="77777777" w:rsidR="006B1897" w:rsidRPr="004F3D4C" w:rsidRDefault="006B1897" w:rsidP="006B1897">
            <w:pPr>
              <w:pStyle w:val="TableText"/>
              <w:jc w:val="center"/>
              <w:rPr>
                <w:rFonts w:cs="Calibri"/>
                <w:szCs w:val="22"/>
              </w:rPr>
            </w:pPr>
            <w:r w:rsidRPr="004F3D4C">
              <w:t>APPROUVÉ</w:t>
            </w:r>
          </w:p>
        </w:tc>
      </w:tr>
    </w:tbl>
    <w:bookmarkEnd w:id="2"/>
    <w:p w14:paraId="5B57CD94" w14:textId="363901C3" w:rsidR="006B1897" w:rsidRPr="004F3D4C" w:rsidRDefault="006B1897" w:rsidP="006B1897">
      <w:pPr>
        <w:rPr>
          <w:bCs/>
        </w:rPr>
      </w:pPr>
      <w:r w:rsidRPr="004F3D4C">
        <w:rPr>
          <w:bCs/>
        </w:rPr>
        <w:t>2</w:t>
      </w:r>
      <w:r w:rsidRPr="004F3D4C">
        <w:rPr>
          <w:bCs/>
        </w:rPr>
        <w:tab/>
        <w:t xml:space="preserve">Les renseignements existants sur les brevets sont accessibles en ligne sur le </w:t>
      </w:r>
      <w:hyperlink r:id="rId11" w:history="1">
        <w:r w:rsidRPr="004F3D4C">
          <w:rPr>
            <w:rStyle w:val="Hyperlink"/>
            <w:bCs/>
          </w:rPr>
          <w:t>site web de l'UIT-T</w:t>
        </w:r>
      </w:hyperlink>
      <w:r w:rsidRPr="004F3D4C">
        <w:rPr>
          <w:bCs/>
        </w:rPr>
        <w:t>.</w:t>
      </w:r>
    </w:p>
    <w:p w14:paraId="527682C7" w14:textId="2C7B0696" w:rsidR="006B1897" w:rsidRPr="004F3D4C" w:rsidRDefault="006B1897" w:rsidP="006B1897">
      <w:pPr>
        <w:rPr>
          <w:bCs/>
        </w:rPr>
      </w:pPr>
      <w:r w:rsidRPr="004F3D4C">
        <w:rPr>
          <w:bCs/>
        </w:rPr>
        <w:t>3</w:t>
      </w:r>
      <w:r w:rsidRPr="004F3D4C">
        <w:rPr>
          <w:bCs/>
        </w:rPr>
        <w:tab/>
        <w:t xml:space="preserve">La version prépubliée de ces Recommandations sera disponible sur le site web de l'UIT-T à l'adresse </w:t>
      </w:r>
      <w:hyperlink r:id="rId12" w:history="1">
        <w:r w:rsidRPr="004F3D4C">
          <w:rPr>
            <w:rStyle w:val="Hyperlink"/>
            <w:bCs/>
          </w:rPr>
          <w:t>https://www.itu.int/itu-t/recommendations/</w:t>
        </w:r>
      </w:hyperlink>
      <w:r w:rsidRPr="004F3D4C">
        <w:rPr>
          <w:bCs/>
        </w:rPr>
        <w:t>.</w:t>
      </w:r>
    </w:p>
    <w:p w14:paraId="69CFE2E8" w14:textId="3ACC46E6" w:rsidR="006B1897" w:rsidRPr="004F3D4C" w:rsidRDefault="006B1897" w:rsidP="006B1897">
      <w:pPr>
        <w:rPr>
          <w:bCs/>
        </w:rPr>
      </w:pPr>
      <w:r w:rsidRPr="004F3D4C">
        <w:rPr>
          <w:bCs/>
        </w:rPr>
        <w:t>4</w:t>
      </w:r>
      <w:r w:rsidRPr="004F3D4C">
        <w:rPr>
          <w:bCs/>
        </w:rPr>
        <w:tab/>
        <w:t>L'Union internationale des télécommunications (UIT) publiera dès que possible le texte des Recommandations approuvées.</w:t>
      </w:r>
    </w:p>
    <w:p w14:paraId="6A4CD67F" w14:textId="77777777" w:rsidR="00307FB4" w:rsidRPr="004F3D4C" w:rsidRDefault="00307FB4" w:rsidP="00307FB4">
      <w:pPr>
        <w:rPr>
          <w:bCs/>
        </w:rPr>
      </w:pPr>
      <w:r w:rsidRPr="004F3D4C">
        <w:rPr>
          <w:bCs/>
        </w:rPr>
        <w:t>Veuillez agréer, Madame, Monsieur, l'assurance de ma considération distinguée.</w:t>
      </w:r>
    </w:p>
    <w:p w14:paraId="3A296738" w14:textId="5A5DBCDD" w:rsidR="00B60868" w:rsidRPr="004F3D4C" w:rsidRDefault="00B60868" w:rsidP="00B60868">
      <w:pPr>
        <w:spacing w:before="480" w:after="480"/>
        <w:rPr>
          <w:bCs/>
        </w:rPr>
      </w:pPr>
      <w:r w:rsidRPr="004F3D4C">
        <w:rPr>
          <w:bCs/>
        </w:rPr>
        <w:t>(</w:t>
      </w:r>
      <w:r w:rsidRPr="004F3D4C">
        <w:rPr>
          <w:bCs/>
          <w:i/>
        </w:rPr>
        <w:t>signé</w:t>
      </w:r>
      <w:r w:rsidRPr="004F3D4C">
        <w:rPr>
          <w:bCs/>
        </w:rPr>
        <w:t>)</w:t>
      </w:r>
    </w:p>
    <w:p w14:paraId="3B647157" w14:textId="2FF119FC" w:rsidR="00517A03" w:rsidRPr="004F3D4C" w:rsidRDefault="00307FB4" w:rsidP="006B1897">
      <w:pPr>
        <w:rPr>
          <w:bCs/>
        </w:rPr>
      </w:pPr>
      <w:r w:rsidRPr="004F3D4C">
        <w:rPr>
          <w:bCs/>
        </w:rPr>
        <w:t>Seizo Onoe</w:t>
      </w:r>
      <w:r w:rsidR="00B60868" w:rsidRPr="004F3D4C">
        <w:rPr>
          <w:bCs/>
        </w:rPr>
        <w:br/>
      </w:r>
      <w:r w:rsidRPr="004F3D4C">
        <w:rPr>
          <w:bCs/>
        </w:rPr>
        <w:t>Directeur du Bureau de la normalisation</w:t>
      </w:r>
      <w:r w:rsidR="00B60868" w:rsidRPr="004F3D4C">
        <w:rPr>
          <w:bCs/>
        </w:rPr>
        <w:br/>
      </w:r>
      <w:r w:rsidRPr="004F3D4C">
        <w:rPr>
          <w:bCs/>
        </w:rPr>
        <w:t>des télécommunications</w:t>
      </w:r>
    </w:p>
    <w:sectPr w:rsidR="00517A03" w:rsidRPr="004F3D4C" w:rsidSect="00A15179">
      <w:headerReference w:type="default" r:id="rId13"/>
      <w:footerReference w:type="first" r:id="rId14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7419" w14:textId="77777777" w:rsidR="004419E9" w:rsidRDefault="004419E9">
      <w:r>
        <w:separator/>
      </w:r>
    </w:p>
  </w:endnote>
  <w:endnote w:type="continuationSeparator" w:id="0">
    <w:p w14:paraId="31479BA6" w14:textId="77777777" w:rsidR="004419E9" w:rsidRDefault="0044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A9C5" w14:textId="77777777" w:rsidR="005120A2" w:rsidRPr="003E66AD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3E66AD">
      <w:rPr>
        <w:color w:val="0070C0"/>
        <w:sz w:val="18"/>
        <w:szCs w:val="18"/>
        <w:lang w:val="fr-CH"/>
      </w:rPr>
      <w:t>Union internationale des télécommunications • Place des Nations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CH</w:t>
    </w:r>
    <w:r w:rsidRPr="003E66AD">
      <w:rPr>
        <w:color w:val="0070C0"/>
        <w:sz w:val="18"/>
        <w:szCs w:val="18"/>
        <w:lang w:val="fr-CH"/>
      </w:rPr>
      <w:noBreakHyphen/>
      <w:t>1211 Genève 20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Suisse </w:t>
    </w:r>
    <w:r w:rsidRPr="003E66AD">
      <w:rPr>
        <w:color w:val="0070C0"/>
        <w:sz w:val="18"/>
        <w:szCs w:val="18"/>
        <w:lang w:val="fr-CH"/>
      </w:rPr>
      <w:br/>
      <w:t>Tél</w:t>
    </w:r>
    <w:r w:rsidR="00085F5A" w:rsidRPr="003E66AD">
      <w:rPr>
        <w:color w:val="0070C0"/>
        <w:sz w:val="18"/>
        <w:szCs w:val="18"/>
        <w:lang w:val="fr-CH"/>
      </w:rPr>
      <w:t>.</w:t>
    </w:r>
    <w:r w:rsidRPr="003E66AD">
      <w:rPr>
        <w:color w:val="0070C0"/>
        <w:sz w:val="18"/>
        <w:szCs w:val="18"/>
        <w:lang w:val="fr-CH"/>
      </w:rPr>
      <w:t xml:space="preserve">: +41 22 730 5111 • Fax: +41 22 733 7256 • </w:t>
    </w:r>
    <w:r w:rsidR="00085F5A" w:rsidRPr="003E66AD">
      <w:rPr>
        <w:color w:val="0070C0"/>
        <w:sz w:val="18"/>
        <w:szCs w:val="18"/>
        <w:lang w:val="fr-CH"/>
      </w:rPr>
      <w:t>Courriel</w:t>
    </w:r>
    <w:r w:rsidRPr="003E66AD">
      <w:rPr>
        <w:color w:val="0070C0"/>
        <w:sz w:val="18"/>
        <w:szCs w:val="18"/>
        <w:lang w:val="fr-CH"/>
      </w:rPr>
      <w:t xml:space="preserve">: </w:t>
    </w:r>
    <w:hyperlink r:id="rId1" w:history="1">
      <w:r w:rsidRPr="003E66AD">
        <w:rPr>
          <w:rStyle w:val="Hyperlink"/>
          <w:color w:val="0070C0"/>
          <w:sz w:val="18"/>
          <w:szCs w:val="18"/>
        </w:rPr>
        <w:t>itumail@itu.int</w:t>
      </w:r>
    </w:hyperlink>
    <w:r w:rsidRPr="003E66AD">
      <w:rPr>
        <w:color w:val="0070C0"/>
        <w:sz w:val="18"/>
        <w:szCs w:val="18"/>
        <w:lang w:val="fr-CH"/>
      </w:rPr>
      <w:t xml:space="preserve"> • </w:t>
    </w:r>
    <w:hyperlink r:id="rId2" w:history="1">
      <w:r w:rsidRPr="003E66AD">
        <w:rPr>
          <w:rStyle w:val="Hyperlink"/>
          <w:color w:val="0070C0"/>
          <w:sz w:val="18"/>
          <w:szCs w:val="18"/>
        </w:rPr>
        <w:t>www.itu.int</w:t>
      </w:r>
    </w:hyperlink>
    <w:r w:rsidRPr="003E66AD">
      <w:rPr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D309" w14:textId="77777777" w:rsidR="004419E9" w:rsidRDefault="004419E9">
      <w:r>
        <w:t>____________________</w:t>
      </w:r>
    </w:p>
  </w:footnote>
  <w:footnote w:type="continuationSeparator" w:id="0">
    <w:p w14:paraId="5828E93A" w14:textId="77777777" w:rsidR="004419E9" w:rsidRDefault="0044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5492" w14:textId="2366D1FC" w:rsidR="00697BC1" w:rsidRPr="00697BC1" w:rsidRDefault="00743285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036F4F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AF0D7D">
      <w:rPr>
        <w:noProof/>
        <w:sz w:val="18"/>
        <w:szCs w:val="16"/>
      </w:rPr>
      <w:br/>
      <w:t xml:space="preserve">Circulaire TSB </w:t>
    </w:r>
    <w:r w:rsidR="006B1897">
      <w:rPr>
        <w:noProof/>
        <w:sz w:val="18"/>
        <w:szCs w:val="16"/>
      </w:rPr>
      <w:t>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5120867">
    <w:abstractNumId w:val="1"/>
  </w:num>
  <w:num w:numId="2" w16cid:durableId="2119984868">
    <w:abstractNumId w:val="3"/>
  </w:num>
  <w:num w:numId="3" w16cid:durableId="2075545744">
    <w:abstractNumId w:val="2"/>
  </w:num>
  <w:num w:numId="4" w16cid:durableId="187144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E9"/>
    <w:rsid w:val="000039EE"/>
    <w:rsid w:val="00005622"/>
    <w:rsid w:val="0002519E"/>
    <w:rsid w:val="00035B43"/>
    <w:rsid w:val="00036F4F"/>
    <w:rsid w:val="000758B3"/>
    <w:rsid w:val="00085F5A"/>
    <w:rsid w:val="000B0D96"/>
    <w:rsid w:val="000B59D8"/>
    <w:rsid w:val="000C1F6B"/>
    <w:rsid w:val="000C25CC"/>
    <w:rsid w:val="000C56BE"/>
    <w:rsid w:val="001026FD"/>
    <w:rsid w:val="001077FD"/>
    <w:rsid w:val="00115DD7"/>
    <w:rsid w:val="00167472"/>
    <w:rsid w:val="00167F92"/>
    <w:rsid w:val="00173738"/>
    <w:rsid w:val="001B79A3"/>
    <w:rsid w:val="002152A3"/>
    <w:rsid w:val="0023667A"/>
    <w:rsid w:val="002937DB"/>
    <w:rsid w:val="002E395D"/>
    <w:rsid w:val="00307158"/>
    <w:rsid w:val="00307FB4"/>
    <w:rsid w:val="003131F0"/>
    <w:rsid w:val="00333A80"/>
    <w:rsid w:val="00341117"/>
    <w:rsid w:val="00364E95"/>
    <w:rsid w:val="00372875"/>
    <w:rsid w:val="003742F8"/>
    <w:rsid w:val="003B1E80"/>
    <w:rsid w:val="003B66E8"/>
    <w:rsid w:val="003E66AD"/>
    <w:rsid w:val="004033F1"/>
    <w:rsid w:val="00414B0C"/>
    <w:rsid w:val="00423C21"/>
    <w:rsid w:val="004257AC"/>
    <w:rsid w:val="0043711B"/>
    <w:rsid w:val="004419E9"/>
    <w:rsid w:val="00445B68"/>
    <w:rsid w:val="0048088B"/>
    <w:rsid w:val="004977C9"/>
    <w:rsid w:val="004B732E"/>
    <w:rsid w:val="004D51F4"/>
    <w:rsid w:val="004D64E0"/>
    <w:rsid w:val="004F3D4C"/>
    <w:rsid w:val="005120A2"/>
    <w:rsid w:val="0051210D"/>
    <w:rsid w:val="005136D2"/>
    <w:rsid w:val="00517A03"/>
    <w:rsid w:val="005A3DD9"/>
    <w:rsid w:val="005B1DFC"/>
    <w:rsid w:val="00601682"/>
    <w:rsid w:val="00603470"/>
    <w:rsid w:val="00625E79"/>
    <w:rsid w:val="006333F7"/>
    <w:rsid w:val="006427A1"/>
    <w:rsid w:val="00644741"/>
    <w:rsid w:val="00697BC1"/>
    <w:rsid w:val="006A6FFE"/>
    <w:rsid w:val="006B1897"/>
    <w:rsid w:val="006C5A91"/>
    <w:rsid w:val="006F52F7"/>
    <w:rsid w:val="00716BBC"/>
    <w:rsid w:val="007321BC"/>
    <w:rsid w:val="00743285"/>
    <w:rsid w:val="00760063"/>
    <w:rsid w:val="00775E4B"/>
    <w:rsid w:val="0079553B"/>
    <w:rsid w:val="00795679"/>
    <w:rsid w:val="007A40FE"/>
    <w:rsid w:val="00810105"/>
    <w:rsid w:val="008157E0"/>
    <w:rsid w:val="00850477"/>
    <w:rsid w:val="00854E1D"/>
    <w:rsid w:val="00887FA6"/>
    <w:rsid w:val="008C4397"/>
    <w:rsid w:val="008C465A"/>
    <w:rsid w:val="008F2C9B"/>
    <w:rsid w:val="00923CD6"/>
    <w:rsid w:val="00935AA8"/>
    <w:rsid w:val="00971C9A"/>
    <w:rsid w:val="009D51FA"/>
    <w:rsid w:val="009F1E23"/>
    <w:rsid w:val="00A15179"/>
    <w:rsid w:val="00A51537"/>
    <w:rsid w:val="00A5280F"/>
    <w:rsid w:val="00A5645A"/>
    <w:rsid w:val="00A60FC1"/>
    <w:rsid w:val="00A97C37"/>
    <w:rsid w:val="00AA131B"/>
    <w:rsid w:val="00AC37B5"/>
    <w:rsid w:val="00AD752F"/>
    <w:rsid w:val="00AF08A4"/>
    <w:rsid w:val="00AF0D7D"/>
    <w:rsid w:val="00B27B41"/>
    <w:rsid w:val="00B42659"/>
    <w:rsid w:val="00B46F2D"/>
    <w:rsid w:val="00B601A2"/>
    <w:rsid w:val="00B60868"/>
    <w:rsid w:val="00B8573E"/>
    <w:rsid w:val="00BB24C0"/>
    <w:rsid w:val="00BD6ECF"/>
    <w:rsid w:val="00C26F2E"/>
    <w:rsid w:val="00C302E3"/>
    <w:rsid w:val="00C41B89"/>
    <w:rsid w:val="00C45376"/>
    <w:rsid w:val="00C9028F"/>
    <w:rsid w:val="00CA0416"/>
    <w:rsid w:val="00CB1125"/>
    <w:rsid w:val="00CB4E80"/>
    <w:rsid w:val="00CD042E"/>
    <w:rsid w:val="00CF2560"/>
    <w:rsid w:val="00CF5B46"/>
    <w:rsid w:val="00D46B68"/>
    <w:rsid w:val="00D542A5"/>
    <w:rsid w:val="00DC3D47"/>
    <w:rsid w:val="00DD77DA"/>
    <w:rsid w:val="00E06C61"/>
    <w:rsid w:val="00E13DB3"/>
    <w:rsid w:val="00E2408B"/>
    <w:rsid w:val="00E62CEA"/>
    <w:rsid w:val="00E72AE1"/>
    <w:rsid w:val="00ED6A7A"/>
    <w:rsid w:val="00EE4C36"/>
    <w:rsid w:val="00EF6A23"/>
    <w:rsid w:val="00F346CE"/>
    <w:rsid w:val="00F34F98"/>
    <w:rsid w:val="00F40540"/>
    <w:rsid w:val="00F67402"/>
    <w:rsid w:val="00F766A2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64031F"/>
  <w15:docId w15:val="{C0C524F5-3929-45CC-8FD1-E984F51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7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07FB4"/>
    <w:rPr>
      <w:color w:val="800080" w:themeColor="followedHyperlink"/>
      <w:u w:val="single"/>
    </w:rPr>
  </w:style>
  <w:style w:type="paragraph" w:customStyle="1" w:styleId="Tabletext0">
    <w:name w:val="Table_text"/>
    <w:basedOn w:val="Normal"/>
    <w:link w:val="TabletextChar"/>
    <w:qFormat/>
    <w:rsid w:val="006B1897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Calibri" w:hAnsi="Calibri"/>
      <w:lang w:val="en-GB"/>
    </w:rPr>
  </w:style>
  <w:style w:type="character" w:customStyle="1" w:styleId="TabletextChar">
    <w:name w:val="Table_text Char"/>
    <w:link w:val="Tabletext0"/>
    <w:qFormat/>
    <w:locked/>
    <w:rsid w:val="006B1897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itu-t/recommendation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net4/ipr/search.aspx?sector=ITU&amp;class=P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md/T25-TSB-CIR-0039/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20@itu.in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824F-16C0-45D0-B266-61AC5B6D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PF_TSB_Circular.dotx</Template>
  <TotalTime>4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3850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French</dc:creator>
  <cp:lastModifiedBy>Maguire, Mairéad</cp:lastModifiedBy>
  <cp:revision>2</cp:revision>
  <cp:lastPrinted>2011-04-15T08:01:00Z</cp:lastPrinted>
  <dcterms:created xsi:type="dcterms:W3CDTF">2026-01-28T16:46:00Z</dcterms:created>
  <dcterms:modified xsi:type="dcterms:W3CDTF">2026-01-28T16:46:00Z</dcterms:modified>
</cp:coreProperties>
</file>