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471D09DA" w14:textId="77777777" w:rsidTr="00D517B2">
        <w:trPr>
          <w:cantSplit/>
          <w:trHeight w:val="1134"/>
        </w:trPr>
        <w:tc>
          <w:tcPr>
            <w:tcW w:w="798" w:type="pct"/>
          </w:tcPr>
          <w:p w14:paraId="40A338FD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576590E4" wp14:editId="6E7450C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50CE12AF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CAF9613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4470EB4E" w14:textId="77777777" w:rsidTr="001E2788">
        <w:trPr>
          <w:cantSplit/>
          <w:jc w:val="center"/>
        </w:trPr>
        <w:tc>
          <w:tcPr>
            <w:tcW w:w="810" w:type="pct"/>
          </w:tcPr>
          <w:p w14:paraId="400FDDD1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3BBD6ACD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CB70613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583EDAD8" w14:textId="77777777" w:rsidTr="001E2788">
        <w:trPr>
          <w:cantSplit/>
          <w:jc w:val="center"/>
        </w:trPr>
        <w:tc>
          <w:tcPr>
            <w:tcW w:w="810" w:type="pct"/>
          </w:tcPr>
          <w:p w14:paraId="3AFFF876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8EB9AA4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51983BE7" w14:textId="240ABDE8" w:rsidR="00D517B2" w:rsidRPr="00D517B2" w:rsidRDefault="00873469" w:rsidP="00C84B65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C84B65" w:rsidRPr="00C84B65">
              <w:rPr>
                <w:position w:val="2"/>
                <w:rtl/>
              </w:rPr>
              <w:t>17 أكتوبر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372F67" w:rsidRPr="00D517B2" w14:paraId="3E39A8B5" w14:textId="77777777" w:rsidTr="001E2788">
        <w:trPr>
          <w:cantSplit/>
          <w:jc w:val="center"/>
        </w:trPr>
        <w:tc>
          <w:tcPr>
            <w:tcW w:w="810" w:type="pct"/>
          </w:tcPr>
          <w:p w14:paraId="7E5E66B5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06973095" w14:textId="1074B60C" w:rsidR="00372F67" w:rsidRPr="00D517B2" w:rsidRDefault="00372F67" w:rsidP="00C84B65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C84B65">
              <w:rPr>
                <w:b/>
                <w:position w:val="2"/>
              </w:rPr>
              <w:t>80</w:t>
            </w:r>
            <w:r>
              <w:rPr>
                <w:b/>
                <w:position w:val="2"/>
              </w:rPr>
              <w:br/>
            </w:r>
            <w:r w:rsidR="00C84B65" w:rsidRPr="00AC2F7F">
              <w:rPr>
                <w:b/>
                <w:position w:val="2"/>
              </w:rPr>
              <w:t>SG20/CB</w:t>
            </w:r>
          </w:p>
        </w:tc>
        <w:tc>
          <w:tcPr>
            <w:tcW w:w="2206" w:type="pct"/>
            <w:vMerge w:val="restart"/>
          </w:tcPr>
          <w:p w14:paraId="712F7D4C" w14:textId="77777777" w:rsidR="00372F67" w:rsidRPr="005731DD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45E6BD27" w14:textId="6878991D" w:rsidR="00372F67" w:rsidRPr="00221F00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 w:rsidRPr="00221F00">
              <w:rPr>
                <w:rFonts w:hint="cs"/>
                <w:position w:val="2"/>
                <w:rtl/>
              </w:rPr>
              <w:t>-</w:t>
            </w:r>
            <w:r w:rsidRPr="00221F00">
              <w:rPr>
                <w:position w:val="2"/>
                <w:rtl/>
              </w:rPr>
              <w:tab/>
            </w:r>
            <w:r w:rsidRPr="00221F00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3E611511" w14:textId="771067EC" w:rsidR="00372F67" w:rsidRPr="00221F00" w:rsidRDefault="00AC2F7F" w:rsidP="00221F00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position w:val="2"/>
              </w:rPr>
              <w:t>-</w:t>
            </w:r>
            <w:r>
              <w:rPr>
                <w:position w:val="2"/>
              </w:rPr>
              <w:tab/>
            </w:r>
            <w:r w:rsidR="00C84B65" w:rsidRPr="00221F00">
              <w:rPr>
                <w:position w:val="2"/>
                <w:rtl/>
              </w:rPr>
              <w:t xml:space="preserve">دولة فلسطين (القرار 99 (المراجَع في دبي، </w:t>
            </w:r>
            <w:r w:rsidR="00C84B65" w:rsidRPr="00221F00">
              <w:rPr>
                <w:position w:val="2"/>
              </w:rPr>
              <w:t>2018</w:t>
            </w:r>
            <w:r w:rsidR="00C84B65" w:rsidRPr="00221F00">
              <w:rPr>
                <w:position w:val="2"/>
                <w:rtl/>
                <w:lang w:bidi="ar-EG"/>
              </w:rPr>
              <w:t>))</w:t>
            </w:r>
          </w:p>
          <w:p w14:paraId="2D7200DF" w14:textId="77777777" w:rsidR="00372F67" w:rsidRPr="00221F00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221F00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5405A91E" w14:textId="77777777" w:rsidR="00221F00" w:rsidRPr="00221F00" w:rsidRDefault="00221F00" w:rsidP="00221F0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221F00">
              <w:rPr>
                <w:rFonts w:hint="cs"/>
                <w:position w:val="2"/>
                <w:rtl/>
              </w:rPr>
              <w:t>-</w:t>
            </w:r>
            <w:r w:rsidRPr="00221F00">
              <w:rPr>
                <w:position w:val="2"/>
                <w:rtl/>
              </w:rPr>
              <w:tab/>
            </w:r>
            <w:r w:rsidRPr="00221F00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3C1BD5F3" w14:textId="1964D3B6" w:rsidR="00AC2F7F" w:rsidRPr="00590957" w:rsidRDefault="00AC2F7F" w:rsidP="00590957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590957">
              <w:rPr>
                <w:rFonts w:hint="cs"/>
                <w:position w:val="2"/>
                <w:rtl/>
              </w:rPr>
              <w:t>-</w:t>
            </w:r>
            <w:r w:rsidRPr="00590957">
              <w:rPr>
                <w:position w:val="2"/>
                <w:rtl/>
              </w:rPr>
              <w:tab/>
            </w:r>
            <w:r w:rsidRPr="00590957">
              <w:rPr>
                <w:rFonts w:hint="cs"/>
                <w:position w:val="2"/>
                <w:rtl/>
              </w:rPr>
              <w:t xml:space="preserve">المنتسبين إلى </w:t>
            </w:r>
            <w:r w:rsidRPr="00590957">
              <w:rPr>
                <w:rFonts w:eastAsia="Times New Roman" w:hint="cs"/>
                <w:position w:val="2"/>
                <w:rtl/>
                <w:lang w:eastAsia="en-US"/>
              </w:rPr>
              <w:t xml:space="preserve">لجنة الدراسات </w:t>
            </w:r>
            <w:r w:rsidRPr="00590957">
              <w:rPr>
                <w:rFonts w:eastAsia="Times New Roman"/>
                <w:position w:val="2"/>
                <w:lang w:eastAsia="en-US"/>
              </w:rPr>
              <w:t>20</w:t>
            </w:r>
            <w:r w:rsidRPr="00590957">
              <w:rPr>
                <w:rFonts w:eastAsia="Times New Roman" w:hint="cs"/>
                <w:position w:val="2"/>
                <w:rtl/>
                <w:lang w:eastAsia="en-US"/>
              </w:rPr>
              <w:t xml:space="preserve"> لقطاع تقييس</w:t>
            </w:r>
            <w:r w:rsidR="00590957">
              <w:rPr>
                <w:rFonts w:eastAsia="Times New Roman" w:hint="eastAsia"/>
                <w:position w:val="2"/>
                <w:rtl/>
                <w:lang w:eastAsia="en-US"/>
              </w:rPr>
              <w:t> </w:t>
            </w:r>
            <w:r w:rsidRPr="00590957">
              <w:rPr>
                <w:rFonts w:eastAsia="Times New Roman" w:hint="cs"/>
                <w:position w:val="2"/>
                <w:rtl/>
                <w:lang w:eastAsia="en-US"/>
              </w:rPr>
              <w:t>الاتصالات</w:t>
            </w:r>
            <w:r w:rsidRPr="00590957">
              <w:rPr>
                <w:rFonts w:hint="cs"/>
                <w:position w:val="2"/>
                <w:rtl/>
              </w:rPr>
              <w:t>؛</w:t>
            </w:r>
          </w:p>
          <w:p w14:paraId="74FE1F5A" w14:textId="17032DAA" w:rsidR="00221F00" w:rsidRPr="00221F00" w:rsidRDefault="00221F00" w:rsidP="00221F0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221F00">
              <w:rPr>
                <w:rFonts w:hint="cs"/>
                <w:position w:val="2"/>
                <w:rtl/>
              </w:rPr>
              <w:t>-</w:t>
            </w:r>
            <w:r w:rsidRPr="00221F00">
              <w:rPr>
                <w:position w:val="2"/>
                <w:rtl/>
              </w:rPr>
              <w:tab/>
            </w:r>
            <w:r w:rsidRPr="00221F00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221F00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  <w:r w:rsidR="00AC2F7F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6ACD486C" w14:textId="087DC24E" w:rsidR="00AC2F7F" w:rsidRPr="00221F00" w:rsidRDefault="00AC2F7F" w:rsidP="00526F67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jc w:val="left"/>
              <w:rPr>
                <w:rFonts w:eastAsia="Times New Roman"/>
                <w:position w:val="2"/>
                <w:rtl/>
                <w:lang w:eastAsia="en-US"/>
              </w:rPr>
            </w:pPr>
            <w:r w:rsidRPr="0083348E">
              <w:rPr>
                <w:rFonts w:hint="cs"/>
                <w:position w:val="2"/>
                <w:rtl/>
              </w:rPr>
              <w:t>-</w:t>
            </w:r>
            <w:r w:rsidRPr="0083348E">
              <w:rPr>
                <w:position w:val="2"/>
                <w:rtl/>
              </w:rPr>
              <w:tab/>
            </w:r>
            <w:r w:rsidRPr="0083348E">
              <w:rPr>
                <w:rFonts w:eastAsia="Times New Roman" w:hint="cs"/>
                <w:position w:val="2"/>
                <w:rtl/>
                <w:lang w:eastAsia="en-US"/>
              </w:rPr>
              <w:t xml:space="preserve">رئيس لجنة الدراسات </w:t>
            </w:r>
            <w:r>
              <w:rPr>
                <w:rFonts w:eastAsia="Times New Roman"/>
                <w:position w:val="2"/>
                <w:lang w:eastAsia="en-US"/>
              </w:rPr>
              <w:t>20</w:t>
            </w:r>
            <w:r w:rsidRPr="0083348E">
              <w:rPr>
                <w:rFonts w:eastAsia="Times New Roman" w:hint="cs"/>
                <w:position w:val="2"/>
                <w:rtl/>
                <w:lang w:eastAsia="en-US"/>
              </w:rPr>
              <w:t xml:space="preserve"> لقطاع تقييس الاتصالات</w:t>
            </w:r>
            <w:r w:rsidR="00526F67">
              <w:rPr>
                <w:rFonts w:eastAsia="Times New Roman" w:hint="eastAsia"/>
                <w:position w:val="2"/>
                <w:rtl/>
                <w:lang w:eastAsia="en-US"/>
              </w:rPr>
              <w:t> </w:t>
            </w:r>
            <w:r w:rsidRPr="0083348E">
              <w:rPr>
                <w:rFonts w:eastAsia="Times New Roman" w:hint="cs"/>
                <w:position w:val="2"/>
                <w:rtl/>
                <w:lang w:eastAsia="en-US"/>
              </w:rPr>
              <w:t>ونوابه؛</w:t>
            </w:r>
          </w:p>
          <w:p w14:paraId="30F817FB" w14:textId="77777777" w:rsidR="00372F67" w:rsidRPr="00221F00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221F00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221F00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221F00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38BCCE0D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221F00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221F00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73451C68" w14:textId="77777777" w:rsidTr="001E2788">
        <w:trPr>
          <w:cantSplit/>
          <w:jc w:val="center"/>
        </w:trPr>
        <w:tc>
          <w:tcPr>
            <w:tcW w:w="810" w:type="pct"/>
          </w:tcPr>
          <w:p w14:paraId="0ABAA2A6" w14:textId="77777777" w:rsidR="00372F67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34FE74F9" w14:textId="566B6EFD" w:rsidR="00372F67" w:rsidRDefault="00221F00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4C39CF">
              <w:rPr>
                <w:rFonts w:asciiTheme="minorHAnsi" w:hAnsiTheme="minorHAnsi" w:cs="Calibri"/>
              </w:rPr>
              <w:t>+41 22 730 6301</w:t>
            </w:r>
          </w:p>
        </w:tc>
        <w:tc>
          <w:tcPr>
            <w:tcW w:w="2206" w:type="pct"/>
            <w:vMerge/>
          </w:tcPr>
          <w:p w14:paraId="20DA56EA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228E4F9B" w14:textId="77777777" w:rsidTr="001E2788">
        <w:trPr>
          <w:cantSplit/>
          <w:jc w:val="center"/>
        </w:trPr>
        <w:tc>
          <w:tcPr>
            <w:tcW w:w="810" w:type="pct"/>
          </w:tcPr>
          <w:p w14:paraId="3D5FB3F9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1B882A68" w14:textId="6BA1CF76" w:rsidR="00372F67" w:rsidRPr="00D517B2" w:rsidRDefault="00221F00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4C39CF">
              <w:rPr>
                <w:rFonts w:asciiTheme="minorHAnsi" w:hAnsiTheme="minorHAnsi" w:cs="Calibri"/>
              </w:rPr>
              <w:t>+41 22 730 5853</w:t>
            </w:r>
          </w:p>
        </w:tc>
        <w:tc>
          <w:tcPr>
            <w:tcW w:w="2206" w:type="pct"/>
            <w:vMerge/>
          </w:tcPr>
          <w:p w14:paraId="51CF8E2E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75348A9B" w14:textId="77777777" w:rsidTr="001E2788">
        <w:trPr>
          <w:cantSplit/>
          <w:jc w:val="center"/>
        </w:trPr>
        <w:tc>
          <w:tcPr>
            <w:tcW w:w="810" w:type="pct"/>
          </w:tcPr>
          <w:p w14:paraId="4890BF6E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740CBBCB" w14:textId="6E33A1A4" w:rsidR="00372F67" w:rsidRPr="00590957" w:rsidRDefault="00221F00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590957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2206" w:type="pct"/>
            <w:vMerge/>
          </w:tcPr>
          <w:p w14:paraId="278D5CF9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5AC80CD5" w14:textId="77777777" w:rsidTr="001E2788">
        <w:trPr>
          <w:cantSplit/>
          <w:jc w:val="center"/>
        </w:trPr>
        <w:tc>
          <w:tcPr>
            <w:tcW w:w="810" w:type="pct"/>
          </w:tcPr>
          <w:p w14:paraId="7BB64774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1AE023C1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23C86B45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D81F2D1" w14:textId="77777777" w:rsidTr="001E2788">
        <w:trPr>
          <w:cantSplit/>
          <w:jc w:val="center"/>
        </w:trPr>
        <w:tc>
          <w:tcPr>
            <w:tcW w:w="810" w:type="pct"/>
          </w:tcPr>
          <w:p w14:paraId="47A12E41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0D785C84" w14:textId="47645BD2" w:rsidR="00CE1C08" w:rsidRPr="00D517B2" w:rsidRDefault="00C84B65" w:rsidP="00C84B65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bookmarkStart w:id="0" w:name="_Hlk213233468"/>
            <w:r w:rsidRPr="00AC2F7F">
              <w:rPr>
                <w:b/>
                <w:bCs/>
                <w:spacing w:val="-6"/>
                <w:position w:val="2"/>
                <w:rtl/>
              </w:rPr>
              <w:t xml:space="preserve">حالة </w:t>
            </w:r>
            <w:bookmarkStart w:id="1" w:name="_Hlk214363330"/>
            <w:r w:rsidRPr="00AC2F7F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التوصيات </w:t>
            </w:r>
            <w:r w:rsidRPr="00AC2F7F">
              <w:rPr>
                <w:b/>
                <w:bCs/>
                <w:spacing w:val="-6"/>
                <w:position w:val="2"/>
              </w:rPr>
              <w:t>ITU-T Y.423</w:t>
            </w:r>
            <w:r w:rsidRPr="00AC2F7F">
              <w:rPr>
                <w:b/>
                <w:bCs/>
                <w:spacing w:val="-6"/>
                <w:position w:val="2"/>
                <w:lang w:bidi="ar-EG"/>
              </w:rPr>
              <w:t>5</w:t>
            </w:r>
            <w:r w:rsidRPr="00AC2F7F">
              <w:rPr>
                <w:rFonts w:hint="eastAsia"/>
                <w:b/>
                <w:bCs/>
                <w:spacing w:val="-6"/>
                <w:position w:val="2"/>
                <w:rtl/>
                <w:lang w:bidi="ar-EG"/>
              </w:rPr>
              <w:t> </w:t>
            </w:r>
            <w:r w:rsidRPr="00AC2F7F">
              <w:rPr>
                <w:b/>
                <w:bCs/>
                <w:spacing w:val="-6"/>
                <w:position w:val="2"/>
                <w:rtl/>
              </w:rPr>
              <w:t>(</w:t>
            </w:r>
            <w:proofErr w:type="spellStart"/>
            <w:proofErr w:type="gramStart"/>
            <w:r w:rsidRPr="00AC2F7F">
              <w:rPr>
                <w:b/>
                <w:bCs/>
                <w:spacing w:val="-6"/>
                <w:position w:val="2"/>
              </w:rPr>
              <w:t>Y.PGComNet</w:t>
            </w:r>
            <w:proofErr w:type="gramEnd"/>
            <w:r w:rsidRPr="00AC2F7F">
              <w:rPr>
                <w:b/>
                <w:bCs/>
                <w:spacing w:val="-6"/>
                <w:position w:val="2"/>
              </w:rPr>
              <w:t>-Reqts</w:t>
            </w:r>
            <w:proofErr w:type="spellEnd"/>
            <w:r w:rsidRPr="00AC2F7F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spacing w:val="-6"/>
                <w:position w:val="2"/>
                <w:rtl/>
              </w:rPr>
              <w:t>سابقاً) و</w:t>
            </w:r>
            <w:r w:rsidRPr="00AC2F7F">
              <w:rPr>
                <w:b/>
                <w:bCs/>
                <w:spacing w:val="-6"/>
                <w:position w:val="2"/>
              </w:rPr>
              <w:t>ITU-T Y.4236</w:t>
            </w:r>
            <w:r w:rsidRPr="00AC2F7F">
              <w:rPr>
                <w:rFonts w:hint="cs"/>
                <w:b/>
                <w:bCs/>
                <w:spacing w:val="-6"/>
                <w:position w:val="2"/>
                <w:rtl/>
              </w:rPr>
              <w:t> </w:t>
            </w:r>
            <w:r w:rsidRPr="00AC2F7F">
              <w:rPr>
                <w:b/>
                <w:bCs/>
                <w:spacing w:val="-6"/>
                <w:position w:val="2"/>
                <w:rtl/>
              </w:rPr>
              <w:t>(</w:t>
            </w:r>
            <w:r w:rsidRPr="00AC2F7F">
              <w:rPr>
                <w:b/>
                <w:bCs/>
                <w:spacing w:val="-6"/>
                <w:position w:val="2"/>
              </w:rPr>
              <w:t>Y.EMM-</w:t>
            </w:r>
            <w:proofErr w:type="spellStart"/>
            <w:r w:rsidRPr="00AC2F7F">
              <w:rPr>
                <w:b/>
                <w:bCs/>
                <w:spacing w:val="-6"/>
                <w:position w:val="2"/>
              </w:rPr>
              <w:t>Reqts</w:t>
            </w:r>
            <w:proofErr w:type="spellEnd"/>
            <w:r w:rsidRPr="00AC2F7F">
              <w:rPr>
                <w:b/>
                <w:bCs/>
                <w:spacing w:val="-6"/>
                <w:position w:val="2"/>
                <w:rtl/>
              </w:rPr>
              <w:t xml:space="preserve"> سابقاً) </w:t>
            </w:r>
            <w:proofErr w:type="gramStart"/>
            <w:r w:rsidRPr="00AC2F7F">
              <w:rPr>
                <w:b/>
                <w:bCs/>
                <w:spacing w:val="-6"/>
                <w:position w:val="2"/>
                <w:rtl/>
              </w:rPr>
              <w:t>و</w:t>
            </w:r>
            <w:r w:rsidRPr="00AC2F7F">
              <w:rPr>
                <w:b/>
                <w:bCs/>
                <w:position w:val="2"/>
              </w:rPr>
              <w:t> ITU</w:t>
            </w:r>
            <w:proofErr w:type="gramEnd"/>
            <w:r w:rsidRPr="00AC2F7F">
              <w:rPr>
                <w:b/>
                <w:bCs/>
                <w:position w:val="2"/>
              </w:rPr>
              <w:t>-T Y.4237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proofErr w:type="spellStart"/>
            <w:proofErr w:type="gramStart"/>
            <w:r w:rsidRPr="00AC2F7F">
              <w:rPr>
                <w:b/>
                <w:bCs/>
                <w:position w:val="2"/>
              </w:rPr>
              <w:t>Y.dt</w:t>
            </w:r>
            <w:proofErr w:type="spellEnd"/>
            <w:proofErr w:type="gramEnd"/>
            <w:r w:rsidRPr="00AC2F7F">
              <w:rPr>
                <w:b/>
                <w:bCs/>
                <w:position w:val="2"/>
              </w:rPr>
              <w:t>-IWCS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position w:val="2"/>
                <w:rtl/>
              </w:rPr>
              <w:t>سابقاً) و</w:t>
            </w:r>
            <w:r w:rsidRPr="00AC2F7F">
              <w:rPr>
                <w:b/>
                <w:bCs/>
                <w:position w:val="2"/>
              </w:rPr>
              <w:t>ITU-T Y.4496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> 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r w:rsidRPr="00AC2F7F">
              <w:rPr>
                <w:b/>
                <w:bCs/>
                <w:position w:val="2"/>
              </w:rPr>
              <w:t>Y.RA-PHE</w:t>
            </w:r>
            <w:r w:rsidRPr="00AC2F7F">
              <w:rPr>
                <w:b/>
                <w:bCs/>
                <w:position w:val="2"/>
                <w:rtl/>
              </w:rPr>
              <w:t xml:space="preserve"> سابقاً) </w:t>
            </w:r>
            <w:r w:rsidR="00221F00" w:rsidRPr="00AC2F7F">
              <w:rPr>
                <w:b/>
                <w:bCs/>
                <w:position w:val="2"/>
                <w:rtl/>
              </w:rPr>
              <w:br/>
            </w:r>
            <w:r w:rsidRPr="00AC2F7F">
              <w:rPr>
                <w:b/>
                <w:bCs/>
                <w:position w:val="2"/>
                <w:rtl/>
              </w:rPr>
              <w:t>و</w:t>
            </w:r>
            <w:r w:rsidRPr="00AC2F7F">
              <w:rPr>
                <w:b/>
                <w:bCs/>
                <w:position w:val="2"/>
              </w:rPr>
              <w:t>ITU-TY.4708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> 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proofErr w:type="spellStart"/>
            <w:proofErr w:type="gramStart"/>
            <w:r w:rsidRPr="00AC2F7F">
              <w:rPr>
                <w:b/>
                <w:bCs/>
                <w:position w:val="2"/>
              </w:rPr>
              <w:t>Y.IoT</w:t>
            </w:r>
            <w:proofErr w:type="spellEnd"/>
            <w:proofErr w:type="gramEnd"/>
            <w:r w:rsidRPr="00AC2F7F">
              <w:rPr>
                <w:b/>
                <w:bCs/>
                <w:position w:val="2"/>
              </w:rPr>
              <w:t>-DPE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position w:val="2"/>
                <w:rtl/>
              </w:rPr>
              <w:t>سابقاً) و</w:t>
            </w:r>
            <w:r w:rsidRPr="00AC2F7F">
              <w:rPr>
                <w:b/>
                <w:bCs/>
                <w:position w:val="2"/>
              </w:rPr>
              <w:t>ITU-T Y.4609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> 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proofErr w:type="spellStart"/>
            <w:proofErr w:type="gramStart"/>
            <w:r w:rsidRPr="00AC2F7F">
              <w:rPr>
                <w:b/>
                <w:bCs/>
                <w:position w:val="2"/>
              </w:rPr>
              <w:t>Y.metadata</w:t>
            </w:r>
            <w:proofErr w:type="spellEnd"/>
            <w:proofErr w:type="gramEnd"/>
            <w:r w:rsidRPr="00AC2F7F">
              <w:rPr>
                <w:b/>
                <w:bCs/>
                <w:position w:val="2"/>
              </w:rPr>
              <w:t>-EPI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position w:val="2"/>
                <w:rtl/>
              </w:rPr>
              <w:t xml:space="preserve">سابقاً) </w:t>
            </w:r>
            <w:r w:rsidR="00221F00" w:rsidRPr="00AC2F7F">
              <w:rPr>
                <w:b/>
                <w:bCs/>
                <w:position w:val="2"/>
                <w:rtl/>
              </w:rPr>
              <w:br/>
            </w:r>
            <w:r w:rsidRPr="00AC2F7F">
              <w:rPr>
                <w:b/>
                <w:bCs/>
                <w:position w:val="2"/>
                <w:rtl/>
              </w:rPr>
              <w:t>و</w:t>
            </w:r>
            <w:r w:rsidRPr="00AC2F7F">
              <w:rPr>
                <w:b/>
                <w:bCs/>
                <w:position w:val="2"/>
              </w:rPr>
              <w:t>ITU-T Y.4813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> 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proofErr w:type="spellStart"/>
            <w:proofErr w:type="gramStart"/>
            <w:r w:rsidR="00AC2F7F" w:rsidRPr="00AC2F7F">
              <w:rPr>
                <w:b/>
                <w:bCs/>
                <w:position w:val="2"/>
              </w:rPr>
              <w:t>Y</w:t>
            </w:r>
            <w:r w:rsidRPr="00AC2F7F">
              <w:rPr>
                <w:b/>
                <w:bCs/>
                <w:position w:val="2"/>
              </w:rPr>
              <w:t>.iepi</w:t>
            </w:r>
            <w:proofErr w:type="spellEnd"/>
            <w:proofErr w:type="gramEnd"/>
            <w:r w:rsidRPr="00AC2F7F">
              <w:rPr>
                <w:b/>
                <w:bCs/>
                <w:position w:val="2"/>
              </w:rPr>
              <w:t>-dm-</w:t>
            </w:r>
            <w:proofErr w:type="spellStart"/>
            <w:r w:rsidRPr="00AC2F7F">
              <w:rPr>
                <w:b/>
                <w:bCs/>
                <w:position w:val="2"/>
              </w:rPr>
              <w:t>sa</w:t>
            </w:r>
            <w:proofErr w:type="spellEnd"/>
            <w:r w:rsidR="000C7706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position w:val="2"/>
                <w:rtl/>
              </w:rPr>
              <w:t xml:space="preserve">سابقاً) </w:t>
            </w:r>
            <w:proofErr w:type="gramStart"/>
            <w:r w:rsidRPr="00AC2F7F">
              <w:rPr>
                <w:b/>
                <w:bCs/>
                <w:position w:val="2"/>
                <w:rtl/>
              </w:rPr>
              <w:t>و</w:t>
            </w:r>
            <w:r w:rsidRPr="00AC2F7F">
              <w:rPr>
                <w:b/>
                <w:bCs/>
                <w:position w:val="2"/>
              </w:rPr>
              <w:t xml:space="preserve"> ITU</w:t>
            </w:r>
            <w:proofErr w:type="gramEnd"/>
            <w:r w:rsidRPr="00AC2F7F">
              <w:rPr>
                <w:b/>
                <w:bCs/>
                <w:position w:val="2"/>
              </w:rPr>
              <w:t>-T Y.4814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proofErr w:type="spellStart"/>
            <w:proofErr w:type="gramStart"/>
            <w:r w:rsidRPr="00AC2F7F">
              <w:rPr>
                <w:b/>
                <w:bCs/>
                <w:position w:val="2"/>
              </w:rPr>
              <w:t>Y.IoT</w:t>
            </w:r>
            <w:proofErr w:type="gramEnd"/>
            <w:r w:rsidRPr="00AC2F7F">
              <w:rPr>
                <w:b/>
                <w:bCs/>
                <w:position w:val="2"/>
              </w:rPr>
              <w:t>-acs-fra</w:t>
            </w:r>
            <w:proofErr w:type="spellEnd"/>
            <w:r w:rsidRPr="00AC2F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position w:val="2"/>
                <w:rtl/>
              </w:rPr>
              <w:t xml:space="preserve">سابقاً) </w:t>
            </w:r>
            <w:r w:rsidR="00221F00" w:rsidRPr="00AC2F7F">
              <w:rPr>
                <w:b/>
                <w:bCs/>
                <w:position w:val="2"/>
                <w:rtl/>
              </w:rPr>
              <w:br/>
            </w:r>
            <w:r w:rsidRPr="00AC2F7F">
              <w:rPr>
                <w:b/>
                <w:bCs/>
                <w:position w:val="2"/>
                <w:rtl/>
              </w:rPr>
              <w:t>و</w:t>
            </w:r>
            <w:r w:rsidRPr="00AC2F7F">
              <w:rPr>
                <w:b/>
                <w:bCs/>
                <w:position w:val="2"/>
              </w:rPr>
              <w:t>ITU-T Y.4911</w:t>
            </w:r>
            <w:r w:rsidRPr="00AC2F7F">
              <w:rPr>
                <w:rFonts w:hint="cs"/>
                <w:b/>
                <w:bCs/>
                <w:position w:val="2"/>
                <w:rtl/>
              </w:rPr>
              <w:t> </w:t>
            </w:r>
            <w:r w:rsidRPr="00AC2F7F">
              <w:rPr>
                <w:b/>
                <w:bCs/>
                <w:position w:val="2"/>
                <w:rtl/>
              </w:rPr>
              <w:t>(</w:t>
            </w:r>
            <w:r w:rsidRPr="00AC2F7F">
              <w:rPr>
                <w:b/>
                <w:bCs/>
                <w:position w:val="2"/>
              </w:rPr>
              <w:t>Y.KPI-Flood</w:t>
            </w:r>
            <w:r w:rsidRPr="00AC2F7F">
              <w:rPr>
                <w:b/>
                <w:bCs/>
                <w:position w:val="2"/>
                <w:rtl/>
              </w:rPr>
              <w:t xml:space="preserve"> سابقاً) </w:t>
            </w:r>
            <w:bookmarkEnd w:id="1"/>
            <w:r w:rsidRPr="00AC2F7F">
              <w:rPr>
                <w:b/>
                <w:bCs/>
                <w:position w:val="2"/>
                <w:rtl/>
              </w:rPr>
              <w:t xml:space="preserve">بعد اجتماع لجنة الدراسات </w:t>
            </w:r>
            <w:r w:rsidRPr="00AC2F7F">
              <w:rPr>
                <w:b/>
                <w:bCs/>
                <w:position w:val="2"/>
              </w:rPr>
              <w:t>20</w:t>
            </w:r>
            <w:r w:rsidRPr="00AC2F7F">
              <w:rPr>
                <w:b/>
                <w:bCs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spacing w:val="-6"/>
                <w:position w:val="2"/>
                <w:rtl/>
              </w:rPr>
              <w:t>لقطاع تقييس الاتصالات</w:t>
            </w:r>
            <w:r w:rsidR="001A1567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 </w:t>
            </w:r>
            <w:r w:rsidRPr="00AC2F7F">
              <w:rPr>
                <w:b/>
                <w:bCs/>
                <w:position w:val="2"/>
                <w:rtl/>
              </w:rPr>
              <w:br/>
              <w:t xml:space="preserve">(جنيف، </w:t>
            </w:r>
            <w:r w:rsidRPr="00AC2F7F">
              <w:rPr>
                <w:b/>
                <w:bCs/>
                <w:position w:val="2"/>
              </w:rPr>
              <w:t>25-15</w:t>
            </w:r>
            <w:r w:rsidRPr="00AC2F7F">
              <w:rPr>
                <w:b/>
                <w:bCs/>
                <w:position w:val="2"/>
                <w:rtl/>
                <w:lang w:bidi="ar-SY"/>
              </w:rPr>
              <w:t xml:space="preserve"> سبتمبر</w:t>
            </w:r>
            <w:r w:rsidRPr="00AC2F7F">
              <w:rPr>
                <w:b/>
                <w:bCs/>
                <w:position w:val="2"/>
                <w:rtl/>
              </w:rPr>
              <w:t xml:space="preserve"> 2025)</w:t>
            </w:r>
            <w:bookmarkEnd w:id="0"/>
          </w:p>
        </w:tc>
      </w:tr>
    </w:tbl>
    <w:p w14:paraId="5D4D24F9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7390579E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3BEDD041" w14:textId="4823FE99" w:rsidR="00221F00" w:rsidRPr="00221F00" w:rsidRDefault="00221F00" w:rsidP="00221F00">
      <w:pPr>
        <w:rPr>
          <w:rtl/>
        </w:rPr>
      </w:pPr>
      <w:r>
        <w:t>1</w:t>
      </w:r>
      <w:r w:rsidRPr="00221F00">
        <w:rPr>
          <w:rtl/>
        </w:rPr>
        <w:tab/>
        <w:t xml:space="preserve">إلحاقاً </w:t>
      </w:r>
      <w:hyperlink r:id="rId10" w:history="1">
        <w:r w:rsidRPr="00221F00">
          <w:rPr>
            <w:rStyle w:val="Hyperlink"/>
            <w:rtl/>
          </w:rPr>
          <w:t>بالرسالة المعممة 39 لمكتب تقييس الاتصالات</w:t>
        </w:r>
      </w:hyperlink>
      <w:r w:rsidRPr="00221F00">
        <w:rPr>
          <w:rtl/>
        </w:rPr>
        <w:t xml:space="preserve"> المؤرخة 14 أبريل 2025، وعملاً بالفقرة 5.9 من القرار</w:t>
      </w:r>
      <w:r>
        <w:rPr>
          <w:rFonts w:hint="cs"/>
          <w:rtl/>
          <w:lang w:bidi="ar-EG"/>
        </w:rPr>
        <w:t xml:space="preserve"> </w:t>
      </w:r>
      <w:r w:rsidRPr="00221F00">
        <w:rPr>
          <w:rtl/>
        </w:rPr>
        <w:t>1</w:t>
      </w:r>
      <w:r>
        <w:rPr>
          <w:rFonts w:hint="cs"/>
          <w:rtl/>
        </w:rPr>
        <w:t> </w:t>
      </w:r>
      <w:r w:rsidRPr="00221F00">
        <w:rPr>
          <w:rtl/>
        </w:rPr>
        <w:t>(المراجَع في جنيف،</w:t>
      </w:r>
      <w:r>
        <w:t>2022</w:t>
      </w:r>
      <w:r w:rsidRPr="00221F00">
        <w:rPr>
          <w:rtl/>
        </w:rPr>
        <w:t xml:space="preserve">)، أود إفادتكم بأن لجنة الدراسات 20 </w:t>
      </w:r>
      <w:r w:rsidRPr="00221F00">
        <w:rPr>
          <w:rtl/>
          <w:lang w:bidi="ar-SY"/>
        </w:rPr>
        <w:t xml:space="preserve">قد </w:t>
      </w:r>
      <w:r w:rsidRPr="00221F00">
        <w:rPr>
          <w:rtl/>
        </w:rPr>
        <w:t>توصلت إلى القرار</w:t>
      </w:r>
      <w:r w:rsidR="00AC2F7F">
        <w:rPr>
          <w:rFonts w:hint="cs"/>
          <w:rtl/>
          <w:lang w:bidi="ar-EG"/>
        </w:rPr>
        <w:t>ات</w:t>
      </w:r>
      <w:r w:rsidRPr="00221F00">
        <w:rPr>
          <w:rtl/>
        </w:rPr>
        <w:t xml:space="preserve"> التالي</w:t>
      </w:r>
      <w:r w:rsidR="00AC2F7F">
        <w:rPr>
          <w:rFonts w:hint="cs"/>
          <w:rtl/>
        </w:rPr>
        <w:t>ة</w:t>
      </w:r>
      <w:r w:rsidRPr="00221F00">
        <w:rPr>
          <w:rtl/>
        </w:rPr>
        <w:t xml:space="preserve"> خلال جلستيها العامتين المنعقدتين في 15 و23 سبتمبر 2025 في جنيف، بشأن مشاريع نصوص قطاع تقييس الاتصالات التالية:</w:t>
      </w:r>
    </w:p>
    <w:tbl>
      <w:tblPr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5510"/>
        <w:gridCol w:w="1999"/>
      </w:tblGrid>
      <w:tr w:rsidR="00221F00" w:rsidRPr="00221F00" w14:paraId="673AF1D2" w14:textId="77777777" w:rsidTr="001742E1">
        <w:trPr>
          <w:trHeight w:val="15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5B1612" w14:textId="77777777" w:rsidR="00221F00" w:rsidRPr="00221F00" w:rsidRDefault="00221F00" w:rsidP="00107E17">
            <w:pPr>
              <w:pStyle w:val="TableHead"/>
              <w:keepLines/>
              <w:rPr>
                <w:rtl/>
              </w:rPr>
            </w:pPr>
            <w:r w:rsidRPr="00221F00">
              <w:rPr>
                <w:rtl/>
              </w:rPr>
              <w:lastRenderedPageBreak/>
              <w:t>الرقم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6A7CD2" w14:textId="77777777" w:rsidR="00221F00" w:rsidRPr="00221F00" w:rsidRDefault="00221F00" w:rsidP="00107E17">
            <w:pPr>
              <w:pStyle w:val="TableHead"/>
              <w:keepLines/>
              <w:rPr>
                <w:rtl/>
              </w:rPr>
            </w:pPr>
            <w:r w:rsidRPr="00221F00">
              <w:rPr>
                <w:rtl/>
              </w:rPr>
              <w:t>العنوان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433452" w14:textId="77777777" w:rsidR="00221F00" w:rsidRPr="00221F00" w:rsidRDefault="00221F00" w:rsidP="00107E17">
            <w:pPr>
              <w:pStyle w:val="TableHead"/>
              <w:keepLines/>
              <w:rPr>
                <w:rtl/>
              </w:rPr>
            </w:pPr>
            <w:r w:rsidRPr="00221F00">
              <w:rPr>
                <w:rtl/>
              </w:rPr>
              <w:t>القرار</w:t>
            </w:r>
          </w:p>
        </w:tc>
      </w:tr>
      <w:tr w:rsidR="00221F00" w:rsidRPr="00221F00" w14:paraId="01506189" w14:textId="77777777" w:rsidTr="00864143">
        <w:trPr>
          <w:trHeight w:val="424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3E4201A" w14:textId="18DD3C44" w:rsidR="00221F00" w:rsidRPr="001742E1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  <w:rtl/>
              </w:rPr>
            </w:pPr>
            <w:bookmarkStart w:id="2" w:name="_Hlk214432215"/>
            <w:r w:rsidRPr="000D64FD">
              <w:rPr>
                <w:b/>
                <w:bCs/>
                <w:spacing w:val="-4"/>
                <w:lang w:val="fr-CH"/>
              </w:rPr>
              <w:t>ITU-T Y.4235</w:t>
            </w:r>
            <w:r w:rsidRPr="001742E1">
              <w:rPr>
                <w:b/>
                <w:bCs/>
                <w:spacing w:val="-4"/>
                <w:rtl/>
                <w:lang w:bidi="ar-SA"/>
              </w:rPr>
              <w:t xml:space="preserve"> </w:t>
            </w:r>
            <w:r w:rsidR="00F20605">
              <w:rPr>
                <w:b/>
                <w:bCs/>
                <w:spacing w:val="-4"/>
                <w:rtl/>
                <w:lang w:bidi="ar-SA"/>
              </w:rPr>
              <w:br/>
            </w:r>
            <w:r w:rsidRPr="001742E1">
              <w:rPr>
                <w:b/>
                <w:bCs/>
                <w:spacing w:val="-4"/>
                <w:rtl/>
                <w:lang w:bidi="ar-SA"/>
              </w:rPr>
              <w:t>(</w:t>
            </w:r>
            <w:r w:rsidRPr="000D64FD">
              <w:rPr>
                <w:b/>
                <w:bCs/>
                <w:spacing w:val="-4"/>
                <w:lang w:val="fr-CH"/>
              </w:rPr>
              <w:t>Y.PGComNet-Reqts</w:t>
            </w:r>
            <w:r w:rsidRPr="001742E1">
              <w:rPr>
                <w:b/>
                <w:bCs/>
                <w:spacing w:val="-4"/>
                <w:rtl/>
                <w:lang w:bidi="ar-SA"/>
              </w:rPr>
              <w:t xml:space="preserve"> سابقاً)</w:t>
            </w:r>
            <w:bookmarkEnd w:id="2"/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1B0770A" w14:textId="77777777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221F00">
              <w:rPr>
                <w:rtl/>
                <w:lang w:bidi="ar-SA"/>
              </w:rPr>
              <w:t>متطلبات شبكة الاتصالات التي تستعمل شبكة الطاقة الكهربائية القائمة على إنترنت الأشياء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9D37C32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1B0C339B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2732845" w14:textId="1298177D" w:rsidR="00221F00" w:rsidRPr="001742E1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  <w:rtl/>
              </w:rPr>
            </w:pPr>
            <w:r w:rsidRPr="001742E1">
              <w:rPr>
                <w:b/>
                <w:bCs/>
                <w:spacing w:val="-4"/>
              </w:rPr>
              <w:t>ITU-T Y.4236</w:t>
            </w:r>
            <w:r w:rsidRPr="001742E1">
              <w:rPr>
                <w:b/>
                <w:bCs/>
                <w:spacing w:val="-4"/>
                <w:rtl/>
                <w:lang w:bidi="ar-SA"/>
              </w:rPr>
              <w:t xml:space="preserve"> </w:t>
            </w:r>
            <w:r w:rsidR="001742E1" w:rsidRPr="001742E1">
              <w:rPr>
                <w:b/>
                <w:bCs/>
                <w:spacing w:val="-4"/>
                <w:rtl/>
                <w:lang w:bidi="ar-SA"/>
              </w:rPr>
              <w:br/>
            </w:r>
            <w:r w:rsidRPr="001742E1">
              <w:rPr>
                <w:b/>
                <w:bCs/>
                <w:spacing w:val="-4"/>
                <w:rtl/>
                <w:lang w:bidi="ar-SA"/>
              </w:rPr>
              <w:t>(</w:t>
            </w:r>
            <w:r w:rsidRPr="001742E1">
              <w:rPr>
                <w:b/>
                <w:bCs/>
                <w:spacing w:val="-4"/>
              </w:rPr>
              <w:t>Y.EMM-</w:t>
            </w:r>
            <w:proofErr w:type="spellStart"/>
            <w:r w:rsidRPr="001742E1">
              <w:rPr>
                <w:b/>
                <w:bCs/>
                <w:spacing w:val="-4"/>
              </w:rPr>
              <w:t>Reqts</w:t>
            </w:r>
            <w:proofErr w:type="spellEnd"/>
            <w:r w:rsidRPr="001742E1">
              <w:rPr>
                <w:b/>
                <w:bCs/>
                <w:spacing w:val="-4"/>
                <w:rtl/>
                <w:lang w:bidi="ar-SA"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6DCAC6D" w14:textId="1DC04D24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221F00">
              <w:rPr>
                <w:rtl/>
                <w:lang w:bidi="ar-SA"/>
              </w:rPr>
              <w:t>متطلبات مراقبة الأحداث في الوقت الفعل</w:t>
            </w:r>
            <w:r w:rsidR="00107E17">
              <w:rPr>
                <w:rFonts w:hint="cs"/>
                <w:rtl/>
                <w:lang w:bidi="ar-SA"/>
              </w:rPr>
              <w:t>ي</w:t>
            </w:r>
            <w:r w:rsidRPr="00221F00">
              <w:rPr>
                <w:rtl/>
                <w:lang w:bidi="ar-SA"/>
              </w:rPr>
              <w:t xml:space="preserve"> وإدارتها المتكاملة ف</w:t>
            </w:r>
            <w:r w:rsidR="00363C4D">
              <w:rPr>
                <w:rFonts w:hint="cs"/>
                <w:rtl/>
                <w:lang w:bidi="ar-SA"/>
              </w:rPr>
              <w:t>ي</w:t>
            </w:r>
            <w:r w:rsidRPr="00221F00">
              <w:rPr>
                <w:rtl/>
                <w:lang w:bidi="ar-SA"/>
              </w:rPr>
              <w:t xml:space="preserve"> منصات المدن الذكية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ACFA57B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2970F874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A24F7BA" w14:textId="6FC9C982" w:rsidR="00221F00" w:rsidRPr="001742E1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</w:rPr>
            </w:pPr>
            <w:r w:rsidRPr="001742E1">
              <w:rPr>
                <w:b/>
                <w:bCs/>
                <w:spacing w:val="-4"/>
              </w:rPr>
              <w:t>ITU-T Y.4237</w:t>
            </w:r>
            <w:r w:rsidRPr="001742E1">
              <w:rPr>
                <w:b/>
                <w:bCs/>
                <w:spacing w:val="-4"/>
                <w:rtl/>
              </w:rPr>
              <w:t xml:space="preserve"> </w:t>
            </w:r>
            <w:r w:rsidR="001742E1" w:rsidRPr="001742E1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  <w:lang w:bidi="ar-SA"/>
              </w:rPr>
              <w:t>(</w:t>
            </w:r>
            <w:proofErr w:type="spellStart"/>
            <w:proofErr w:type="gramStart"/>
            <w:r w:rsidRPr="001742E1">
              <w:rPr>
                <w:b/>
                <w:bCs/>
                <w:spacing w:val="-4"/>
              </w:rPr>
              <w:t>Y.dt</w:t>
            </w:r>
            <w:proofErr w:type="spellEnd"/>
            <w:proofErr w:type="gramEnd"/>
            <w:r w:rsidRPr="001742E1">
              <w:rPr>
                <w:b/>
                <w:bCs/>
                <w:spacing w:val="-4"/>
              </w:rPr>
              <w:t>-IWCS</w:t>
            </w:r>
            <w:r w:rsidRPr="001742E1">
              <w:rPr>
                <w:b/>
                <w:bCs/>
                <w:spacing w:val="-4"/>
                <w:rtl/>
              </w:rPr>
              <w:t xml:space="preserve"> سابقاً</w:t>
            </w:r>
            <w:r w:rsidRPr="001742E1">
              <w:rPr>
                <w:b/>
                <w:bCs/>
                <w:spacing w:val="-4"/>
                <w:rtl/>
                <w:lang w:bidi="ar-SA"/>
              </w:rPr>
              <w:t>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7404B34" w14:textId="77777777" w:rsidR="00221F00" w:rsidRPr="000D64FD" w:rsidRDefault="00221F00" w:rsidP="00864143">
            <w:pPr>
              <w:pStyle w:val="Tabletexte"/>
              <w:keepNext/>
              <w:keepLines/>
              <w:jc w:val="center"/>
            </w:pPr>
            <w:r w:rsidRPr="00221F00">
              <w:rPr>
                <w:rtl/>
                <w:lang w:bidi="ar-SA"/>
              </w:rPr>
              <w:t>متطلبات وإطار قدرات التوأم الرقمي للنظام الذكي لحفظ المياه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891B8F3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563F0734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6DAE279" w14:textId="22960AE3" w:rsidR="00221F00" w:rsidRPr="001742E1" w:rsidRDefault="00221F00" w:rsidP="00E72E17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  <w:rtl/>
              </w:rPr>
            </w:pPr>
            <w:r w:rsidRPr="000D64FD">
              <w:rPr>
                <w:b/>
                <w:bCs/>
                <w:spacing w:val="-4"/>
                <w:lang w:val="fr-CH"/>
              </w:rPr>
              <w:t>ITU-T Y.4496</w:t>
            </w:r>
            <w:r w:rsidR="00E72E17">
              <w:rPr>
                <w:rFonts w:hint="cs"/>
                <w:b/>
                <w:bCs/>
                <w:spacing w:val="-4"/>
                <w:rtl/>
              </w:rPr>
              <w:t xml:space="preserve"> </w:t>
            </w:r>
            <w:r w:rsidR="00E72E17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</w:rPr>
              <w:t>(</w:t>
            </w:r>
            <w:r w:rsidRPr="001742E1">
              <w:rPr>
                <w:b/>
                <w:bCs/>
                <w:spacing w:val="-4"/>
                <w:lang w:val="fr-CH"/>
              </w:rPr>
              <w:t>Y.RA-PHE</w:t>
            </w:r>
            <w:r w:rsidRPr="001742E1">
              <w:rPr>
                <w:b/>
                <w:bCs/>
                <w:spacing w:val="-4"/>
                <w:rtl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2F17BE" w14:textId="77777777" w:rsidR="00221F00" w:rsidRPr="001742E1" w:rsidRDefault="00221F00" w:rsidP="00864143">
            <w:pPr>
              <w:pStyle w:val="Tabletexte"/>
              <w:keepNext/>
              <w:keepLines/>
              <w:jc w:val="center"/>
              <w:rPr>
                <w:spacing w:val="-4"/>
                <w:rtl/>
                <w:lang w:bidi="ar-SA"/>
              </w:rPr>
            </w:pPr>
            <w:r w:rsidRPr="001742E1">
              <w:rPr>
                <w:spacing w:val="-4"/>
                <w:rtl/>
                <w:lang w:bidi="ar-SA"/>
              </w:rPr>
              <w:t>المتطلبات والمعمارية المرجعية لنظام معلومات طوارئ الصحة العامة الذكي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7AEC16C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451E7B24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A600DD6" w14:textId="16B93F7C" w:rsidR="00221F00" w:rsidRPr="001742E1" w:rsidRDefault="00221F00" w:rsidP="00363C4D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  <w:rtl/>
              </w:rPr>
            </w:pPr>
            <w:r w:rsidRPr="000D64FD">
              <w:rPr>
                <w:b/>
                <w:bCs/>
                <w:spacing w:val="-4"/>
              </w:rPr>
              <w:t>Y.4708</w:t>
            </w:r>
            <w:r w:rsidRPr="001742E1">
              <w:rPr>
                <w:b/>
                <w:bCs/>
                <w:spacing w:val="-4"/>
                <w:rtl/>
              </w:rPr>
              <w:t xml:space="preserve"> </w:t>
            </w:r>
            <w:r w:rsidRPr="000D64FD">
              <w:rPr>
                <w:b/>
                <w:bCs/>
                <w:spacing w:val="-4"/>
              </w:rPr>
              <w:t>ITU-T</w:t>
            </w:r>
            <w:r w:rsidR="00363C4D">
              <w:rPr>
                <w:rFonts w:hint="cs"/>
                <w:b/>
                <w:bCs/>
                <w:spacing w:val="-4"/>
                <w:rtl/>
                <w:lang w:val="fr-CH"/>
              </w:rPr>
              <w:t xml:space="preserve"> </w:t>
            </w:r>
            <w:r w:rsidR="00363C4D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</w:rPr>
              <w:t>(</w:t>
            </w:r>
            <w:proofErr w:type="gramStart"/>
            <w:r w:rsidRPr="000D64FD">
              <w:rPr>
                <w:b/>
                <w:bCs/>
                <w:spacing w:val="-4"/>
              </w:rPr>
              <w:t>Y.IoT</w:t>
            </w:r>
            <w:proofErr w:type="gramEnd"/>
            <w:r w:rsidRPr="000D64FD">
              <w:rPr>
                <w:b/>
                <w:bCs/>
                <w:spacing w:val="-4"/>
              </w:rPr>
              <w:t>-DPE</w:t>
            </w:r>
            <w:r w:rsidRPr="001742E1">
              <w:rPr>
                <w:b/>
                <w:bCs/>
                <w:spacing w:val="-4"/>
                <w:rtl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1FFBE6E" w14:textId="77777777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221F00">
              <w:rPr>
                <w:rtl/>
                <w:lang w:bidi="ar-SA"/>
              </w:rPr>
              <w:t>إطار إدارة معدات الطاقة الموزعة القائمة على إنترنت الأشياء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B396D2F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7FE32015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D66F077" w14:textId="5BC53F01" w:rsidR="00221F00" w:rsidRPr="000D64FD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</w:rPr>
            </w:pPr>
            <w:r w:rsidRPr="000D64FD">
              <w:rPr>
                <w:b/>
                <w:bCs/>
                <w:spacing w:val="-4"/>
              </w:rPr>
              <w:t>ITU-T Y.4609</w:t>
            </w:r>
            <w:r w:rsidRPr="001742E1">
              <w:rPr>
                <w:b/>
                <w:bCs/>
                <w:spacing w:val="-4"/>
                <w:rtl/>
              </w:rPr>
              <w:t xml:space="preserve"> </w:t>
            </w:r>
            <w:r w:rsidR="00363C4D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</w:rPr>
              <w:t>(</w:t>
            </w:r>
            <w:proofErr w:type="gramStart"/>
            <w:r w:rsidRPr="000D64FD">
              <w:rPr>
                <w:b/>
                <w:bCs/>
                <w:spacing w:val="-4"/>
              </w:rPr>
              <w:t>Y.metadata</w:t>
            </w:r>
            <w:proofErr w:type="gramEnd"/>
            <w:r w:rsidRPr="000D64FD">
              <w:rPr>
                <w:b/>
                <w:bCs/>
                <w:spacing w:val="-4"/>
              </w:rPr>
              <w:t>-EPI</w:t>
            </w:r>
            <w:r w:rsidRPr="001742E1">
              <w:rPr>
                <w:b/>
                <w:bCs/>
                <w:spacing w:val="-4"/>
                <w:rtl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123DDA6" w14:textId="77777777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221F00">
              <w:rPr>
                <w:rtl/>
                <w:lang w:bidi="ar-SA"/>
              </w:rPr>
              <w:t xml:space="preserve">جرد البيانات </w:t>
            </w:r>
            <w:proofErr w:type="spellStart"/>
            <w:r w:rsidRPr="00221F00">
              <w:rPr>
                <w:rtl/>
                <w:lang w:bidi="ar-SA"/>
              </w:rPr>
              <w:t>الشرحية</w:t>
            </w:r>
            <w:proofErr w:type="spellEnd"/>
            <w:r w:rsidRPr="00221F00">
              <w:rPr>
                <w:rtl/>
                <w:lang w:bidi="ar-SA"/>
              </w:rPr>
              <w:t xml:space="preserve"> لنظام مراقبة البنية التحتية للطاقة الكهربائية القائم على إنترنت الأشياء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7FAE9AB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4FDA828C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AADAE75" w14:textId="4CDBE9CD" w:rsidR="00221F00" w:rsidRPr="001742E1" w:rsidRDefault="00221F00" w:rsidP="00363C4D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  <w:rtl/>
              </w:rPr>
            </w:pPr>
            <w:r w:rsidRPr="001742E1">
              <w:rPr>
                <w:b/>
                <w:bCs/>
                <w:spacing w:val="-4"/>
                <w:lang w:val="fr-CH"/>
              </w:rPr>
              <w:t>Y.4813</w:t>
            </w:r>
            <w:r w:rsidRPr="001742E1">
              <w:rPr>
                <w:b/>
                <w:bCs/>
                <w:spacing w:val="-4"/>
                <w:rtl/>
              </w:rPr>
              <w:t xml:space="preserve"> </w:t>
            </w:r>
            <w:r w:rsidRPr="001742E1">
              <w:rPr>
                <w:b/>
                <w:bCs/>
                <w:spacing w:val="-4"/>
                <w:lang w:val="fr-CH"/>
              </w:rPr>
              <w:t>ITU-T</w:t>
            </w:r>
            <w:r w:rsidR="006A0AAA">
              <w:rPr>
                <w:rFonts w:hint="cs"/>
                <w:b/>
                <w:bCs/>
                <w:spacing w:val="-4"/>
                <w:rtl/>
                <w:lang w:val="fr-CH"/>
              </w:rPr>
              <w:t xml:space="preserve"> </w:t>
            </w:r>
            <w:r w:rsidR="00363C4D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</w:rPr>
              <w:t>(</w:t>
            </w:r>
            <w:proofErr w:type="spellStart"/>
            <w:r w:rsidRPr="001742E1">
              <w:rPr>
                <w:b/>
                <w:bCs/>
                <w:spacing w:val="-4"/>
                <w:lang w:val="fr-CH"/>
              </w:rPr>
              <w:t>Y.iepi</w:t>
            </w:r>
            <w:proofErr w:type="spellEnd"/>
            <w:r w:rsidRPr="001742E1">
              <w:rPr>
                <w:b/>
                <w:bCs/>
                <w:spacing w:val="-4"/>
                <w:lang w:val="fr-CH"/>
              </w:rPr>
              <w:t>-dm-sa</w:t>
            </w:r>
            <w:r w:rsidRPr="001742E1">
              <w:rPr>
                <w:b/>
                <w:bCs/>
                <w:spacing w:val="-4"/>
                <w:rtl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40A9952" w14:textId="77777777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221F00">
              <w:rPr>
                <w:rtl/>
                <w:lang w:bidi="ar-SA"/>
              </w:rPr>
              <w:t>إطار تقييم أمن إدارة بيانات البنية التحتية للطاقة الكهربائية القائمة على إنترنت الأشياء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5A897F6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</w:rPr>
            </w:pPr>
            <w:r w:rsidRPr="005A59CB">
              <w:rPr>
                <w:b/>
                <w:bCs/>
                <w:rtl/>
              </w:rPr>
              <w:t>تم تأجيل الموافقة عليها</w:t>
            </w:r>
          </w:p>
        </w:tc>
      </w:tr>
      <w:tr w:rsidR="00221F00" w:rsidRPr="00221F00" w14:paraId="07A07C93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D710656" w14:textId="2BA544E0" w:rsidR="00221F00" w:rsidRPr="000D64FD" w:rsidRDefault="00221F00" w:rsidP="00363C4D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</w:rPr>
            </w:pPr>
            <w:r w:rsidRPr="001742E1">
              <w:rPr>
                <w:b/>
                <w:bCs/>
                <w:spacing w:val="-4"/>
                <w:lang w:val="nb-NO"/>
              </w:rPr>
              <w:t>Y.4814</w:t>
            </w:r>
            <w:r w:rsidRPr="001742E1">
              <w:rPr>
                <w:b/>
                <w:bCs/>
                <w:spacing w:val="-4"/>
                <w:rtl/>
              </w:rPr>
              <w:t xml:space="preserve"> </w:t>
            </w:r>
            <w:r w:rsidRPr="000D64FD">
              <w:rPr>
                <w:b/>
                <w:bCs/>
                <w:spacing w:val="-4"/>
              </w:rPr>
              <w:t>ITU-T</w:t>
            </w:r>
            <w:r w:rsidR="006A0AAA">
              <w:rPr>
                <w:rFonts w:hint="cs"/>
                <w:b/>
                <w:bCs/>
                <w:spacing w:val="-4"/>
                <w:rtl/>
                <w:lang w:val="fr-CH"/>
              </w:rPr>
              <w:t xml:space="preserve"> </w:t>
            </w:r>
            <w:r w:rsidR="00363C4D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</w:rPr>
              <w:t>(</w:t>
            </w:r>
            <w:r w:rsidRPr="001742E1">
              <w:rPr>
                <w:b/>
                <w:bCs/>
                <w:spacing w:val="-4"/>
                <w:lang w:val="nb-NO"/>
              </w:rPr>
              <w:t>Y.</w:t>
            </w:r>
            <w:r w:rsidR="00107E17" w:rsidRPr="001742E1">
              <w:rPr>
                <w:b/>
                <w:bCs/>
                <w:spacing w:val="-4"/>
                <w:lang w:val="nb-NO"/>
              </w:rPr>
              <w:t>Io</w:t>
            </w:r>
            <w:r w:rsidR="00107E17">
              <w:rPr>
                <w:b/>
                <w:bCs/>
                <w:spacing w:val="-4"/>
                <w:lang w:val="nb-NO"/>
              </w:rPr>
              <w:t>T</w:t>
            </w:r>
            <w:r w:rsidRPr="001742E1">
              <w:rPr>
                <w:b/>
                <w:bCs/>
                <w:spacing w:val="-4"/>
                <w:lang w:val="nb-NO"/>
              </w:rPr>
              <w:t>-acs-fra</w:t>
            </w:r>
            <w:r w:rsidRPr="001742E1">
              <w:rPr>
                <w:b/>
                <w:bCs/>
                <w:spacing w:val="-4"/>
                <w:rtl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40D0441" w14:textId="61E1D87A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lang w:val="nb-NO"/>
              </w:rPr>
            </w:pPr>
            <w:r w:rsidRPr="00221F00">
              <w:rPr>
                <w:rtl/>
                <w:lang w:bidi="ar-SA"/>
              </w:rPr>
              <w:t>المتطلبات والمعمارية الوظيفية لخدمة التحكم في النفاذ لمنصة إنترنت الأشياء</w:t>
            </w:r>
            <w:r w:rsidR="00904FB4">
              <w:rPr>
                <w:rFonts w:hint="cs"/>
                <w:rtl/>
                <w:lang w:bidi="ar-SA"/>
              </w:rPr>
              <w:t xml:space="preserve"> </w:t>
            </w:r>
            <w:r w:rsidRPr="00221F00">
              <w:t>(IoT)</w:t>
            </w:r>
            <w:r w:rsidR="00904FB4">
              <w:rPr>
                <w:rFonts w:hint="cs"/>
                <w:rtl/>
              </w:rPr>
              <w:t xml:space="preserve"> </w:t>
            </w:r>
            <w:r w:rsidRPr="00221F00">
              <w:rPr>
                <w:rtl/>
                <w:lang w:bidi="ar-SA"/>
              </w:rPr>
              <w:t>المدعومة بتكنولوجيا عدم الثقة في البيئات اللامركزية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2692AEC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  <w:tr w:rsidR="00221F00" w:rsidRPr="00221F00" w14:paraId="0B18EA6E" w14:textId="77777777" w:rsidTr="00864143">
        <w:trPr>
          <w:trHeight w:val="487"/>
          <w:jc w:val="center"/>
        </w:trPr>
        <w:tc>
          <w:tcPr>
            <w:tcW w:w="109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B4313EC" w14:textId="7E501253" w:rsidR="00221F00" w:rsidRPr="001742E1" w:rsidRDefault="00221F00" w:rsidP="003D4A3C">
            <w:pPr>
              <w:pStyle w:val="Tabletexte"/>
              <w:keepNext/>
              <w:keepLines/>
              <w:jc w:val="center"/>
              <w:rPr>
                <w:b/>
                <w:bCs/>
                <w:spacing w:val="-4"/>
                <w:rtl/>
              </w:rPr>
            </w:pPr>
            <w:r w:rsidRPr="000D64FD">
              <w:rPr>
                <w:b/>
                <w:bCs/>
                <w:spacing w:val="-4"/>
              </w:rPr>
              <w:t>Y.4911</w:t>
            </w:r>
            <w:r w:rsidRPr="001742E1">
              <w:rPr>
                <w:b/>
                <w:bCs/>
                <w:spacing w:val="-4"/>
                <w:rtl/>
              </w:rPr>
              <w:t xml:space="preserve"> </w:t>
            </w:r>
            <w:r w:rsidRPr="000D64FD">
              <w:rPr>
                <w:b/>
                <w:bCs/>
                <w:spacing w:val="-4"/>
              </w:rPr>
              <w:t>ITU-T</w:t>
            </w:r>
            <w:r w:rsidR="006A0AAA">
              <w:rPr>
                <w:rFonts w:hint="cs"/>
                <w:b/>
                <w:bCs/>
                <w:spacing w:val="-4"/>
                <w:rtl/>
                <w:lang w:val="fr-CH"/>
              </w:rPr>
              <w:t xml:space="preserve"> </w:t>
            </w:r>
            <w:r w:rsidR="003D4A3C">
              <w:rPr>
                <w:b/>
                <w:bCs/>
                <w:spacing w:val="-4"/>
                <w:rtl/>
              </w:rPr>
              <w:br/>
            </w:r>
            <w:r w:rsidRPr="001742E1">
              <w:rPr>
                <w:b/>
                <w:bCs/>
                <w:spacing w:val="-4"/>
                <w:rtl/>
              </w:rPr>
              <w:t>(</w:t>
            </w:r>
            <w:r w:rsidRPr="000D64FD">
              <w:rPr>
                <w:b/>
                <w:bCs/>
                <w:spacing w:val="-4"/>
              </w:rPr>
              <w:t>Y.KPI-Flood</w:t>
            </w:r>
            <w:r w:rsidRPr="001742E1">
              <w:rPr>
                <w:b/>
                <w:bCs/>
                <w:spacing w:val="-4"/>
                <w:rtl/>
              </w:rPr>
              <w:t xml:space="preserve"> سابقاً)</w:t>
            </w:r>
          </w:p>
        </w:tc>
        <w:tc>
          <w:tcPr>
            <w:tcW w:w="286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75FFB94" w14:textId="77777777" w:rsidR="00221F00" w:rsidRPr="00221F00" w:rsidRDefault="00221F00" w:rsidP="00864143">
            <w:pPr>
              <w:pStyle w:val="Tabletexte"/>
              <w:keepNext/>
              <w:keepLines/>
              <w:jc w:val="center"/>
              <w:rPr>
                <w:lang w:val="nb-NO"/>
              </w:rPr>
            </w:pPr>
            <w:r w:rsidRPr="00221F00">
              <w:rPr>
                <w:rtl/>
                <w:lang w:bidi="ar-SA"/>
              </w:rPr>
              <w:t>مؤشرات الأداء الرئيسية لقدرات دعم البيانات القائمة على تكنولوجيا المعلومات والاتصالات من أجل الوقاية من كوارث الفيضانات في المدن والقدرة على التخفيف من آثارها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8435B78" w14:textId="77777777" w:rsidR="00221F00" w:rsidRPr="005A59CB" w:rsidRDefault="00221F00" w:rsidP="00864143">
            <w:pPr>
              <w:pStyle w:val="Tabletexte"/>
              <w:keepNext/>
              <w:keepLines/>
              <w:jc w:val="center"/>
              <w:rPr>
                <w:b/>
                <w:bCs/>
                <w:rtl/>
                <w:lang w:bidi="ar-SA"/>
              </w:rPr>
            </w:pPr>
            <w:r w:rsidRPr="005A59CB">
              <w:rPr>
                <w:b/>
                <w:bCs/>
                <w:rtl/>
                <w:lang w:bidi="ar-SA"/>
              </w:rPr>
              <w:t>تمت الموافقة عليها</w:t>
            </w:r>
          </w:p>
        </w:tc>
      </w:tr>
    </w:tbl>
    <w:p w14:paraId="7CD7F247" w14:textId="036A6BAE" w:rsidR="00221F00" w:rsidRPr="00221F00" w:rsidRDefault="00221F00" w:rsidP="002B6323">
      <w:pPr>
        <w:spacing w:before="240"/>
        <w:rPr>
          <w:rtl/>
        </w:rPr>
      </w:pPr>
      <w:r w:rsidRPr="00221F00">
        <w:rPr>
          <w:rtl/>
        </w:rPr>
        <w:t>2</w:t>
      </w:r>
      <w:r w:rsidRPr="00221F00">
        <w:rPr>
          <w:rtl/>
        </w:rPr>
        <w:tab/>
        <w:t xml:space="preserve">ويمكن النفاذ إلى المعلومات المتاحة بشأن البراءات عبر الإنترنت من خلال </w:t>
      </w:r>
      <w:hyperlink r:id="rId11" w:history="1">
        <w:r w:rsidRPr="00221F00">
          <w:rPr>
            <w:rStyle w:val="Hyperlink"/>
            <w:rtl/>
          </w:rPr>
          <w:t>الموقع الإلكتروني لقطاع تقييس الاتصالات</w:t>
        </w:r>
      </w:hyperlink>
      <w:r w:rsidR="001742E1">
        <w:rPr>
          <w:rFonts w:hint="cs"/>
          <w:rtl/>
        </w:rPr>
        <w:t>.</w:t>
      </w:r>
    </w:p>
    <w:p w14:paraId="037679FE" w14:textId="58E2DD7A" w:rsidR="00221F00" w:rsidRPr="00221F00" w:rsidRDefault="00221F00" w:rsidP="00221F00">
      <w:pPr>
        <w:rPr>
          <w:rtl/>
        </w:rPr>
      </w:pPr>
      <w:r w:rsidRPr="00221F00">
        <w:rPr>
          <w:rtl/>
        </w:rPr>
        <w:t>3</w:t>
      </w:r>
      <w:r w:rsidRPr="00221F00">
        <w:rPr>
          <w:rtl/>
        </w:rPr>
        <w:tab/>
        <w:t xml:space="preserve">وستُتاح نصوص التوصيات بصيغتها السابقة للنشر في الموقع الإلكتروني لقطاع تقييس الاتصالات عبر الرابط </w:t>
      </w:r>
      <w:hyperlink r:id="rId12" w:history="1">
        <w:r w:rsidR="001742E1" w:rsidRPr="004C39CF">
          <w:rPr>
            <w:rStyle w:val="Hyperlink"/>
            <w:rFonts w:cs="Calibri"/>
          </w:rPr>
          <w:t>https://www.itu.int/itu-t/recommendations/</w:t>
        </w:r>
      </w:hyperlink>
      <w:r w:rsidR="005072EC" w:rsidRPr="005072EC">
        <w:rPr>
          <w:rFonts w:hint="cs"/>
          <w:rtl/>
        </w:rPr>
        <w:t>.</w:t>
      </w:r>
    </w:p>
    <w:p w14:paraId="037E4F93" w14:textId="13CB439A" w:rsidR="00D517B2" w:rsidRDefault="00221F00" w:rsidP="00221F00">
      <w:pPr>
        <w:rPr>
          <w:rtl/>
          <w:lang w:bidi="ar-SY"/>
        </w:rPr>
      </w:pPr>
      <w:r w:rsidRPr="00221F00">
        <w:rPr>
          <w:rtl/>
        </w:rPr>
        <w:t>4</w:t>
      </w:r>
      <w:r w:rsidRPr="00221F00">
        <w:rPr>
          <w:rtl/>
        </w:rPr>
        <w:tab/>
        <w:t xml:space="preserve">وسينشر الاتحاد الدولي للاتصالات </w:t>
      </w:r>
      <w:r w:rsidR="00D9571E">
        <w:t>(ITU)</w:t>
      </w:r>
      <w:r w:rsidR="00D9571E">
        <w:rPr>
          <w:rFonts w:hint="cs"/>
          <w:rtl/>
          <w:lang w:bidi="ar-EG"/>
        </w:rPr>
        <w:t xml:space="preserve"> </w:t>
      </w:r>
      <w:r w:rsidRPr="00221F00">
        <w:rPr>
          <w:rtl/>
        </w:rPr>
        <w:t>نص التوصيات الموافَق عليها في أقرب وقت ممكن.</w:t>
      </w:r>
    </w:p>
    <w:p w14:paraId="1FBF6198" w14:textId="77777777" w:rsidR="00E84438" w:rsidRPr="00D517B2" w:rsidRDefault="00E84438" w:rsidP="00891703">
      <w:pPr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0C0FB7A0" w14:textId="75F0CD2E" w:rsidR="00E84438" w:rsidRPr="001A1567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1A1567">
        <w:rPr>
          <w:rFonts w:hint="cs"/>
          <w:i/>
          <w:iCs/>
          <w:rtl/>
          <w:lang w:bidi="ar-SY"/>
        </w:rPr>
        <w:t>(</w:t>
      </w:r>
      <w:r w:rsidR="005B58DA">
        <w:rPr>
          <w:rFonts w:hint="cs"/>
          <w:i/>
          <w:iCs/>
          <w:rtl/>
          <w:lang w:bidi="ar-SY"/>
        </w:rPr>
        <w:t>ال</w:t>
      </w:r>
      <w:r w:rsidRPr="001A1567">
        <w:rPr>
          <w:rFonts w:hint="cs"/>
          <w:i/>
          <w:iCs/>
          <w:rtl/>
          <w:lang w:bidi="ar-SY"/>
        </w:rPr>
        <w:t>توقيع)</w:t>
      </w:r>
    </w:p>
    <w:p w14:paraId="44B10DA7" w14:textId="2F801063" w:rsidR="00DD6915" w:rsidRDefault="00807031" w:rsidP="00107E17">
      <w:pPr>
        <w:jc w:val="left"/>
      </w:pPr>
      <w:proofErr w:type="spellStart"/>
      <w:r>
        <w:rPr>
          <w:rFonts w:hint="cs"/>
          <w:rtl/>
          <w:lang w:bidi="ar-SY"/>
        </w:rPr>
        <w:t>سيزو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أونوي</w:t>
      </w:r>
      <w:proofErr w:type="spellEnd"/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DD6915" w:rsidSect="006C3242">
      <w:head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E7A" w14:textId="77777777" w:rsidR="00C84B65" w:rsidRDefault="00C84B65" w:rsidP="006C3242">
      <w:pPr>
        <w:spacing w:before="0" w:line="240" w:lineRule="auto"/>
      </w:pPr>
      <w:r>
        <w:separator/>
      </w:r>
    </w:p>
  </w:endnote>
  <w:endnote w:type="continuationSeparator" w:id="0">
    <w:p w14:paraId="63CC99E9" w14:textId="77777777" w:rsidR="00C84B65" w:rsidRDefault="00C84B6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4798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7C84" w14:textId="77777777" w:rsidR="00C84B65" w:rsidRDefault="00C84B65" w:rsidP="006C3242">
      <w:pPr>
        <w:spacing w:before="0" w:line="240" w:lineRule="auto"/>
      </w:pPr>
      <w:r>
        <w:separator/>
      </w:r>
    </w:p>
  </w:footnote>
  <w:footnote w:type="continuationSeparator" w:id="0">
    <w:p w14:paraId="020EF037" w14:textId="77777777" w:rsidR="00C84B65" w:rsidRDefault="00C84B6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F3B4" w14:textId="44363395" w:rsidR="00447F32" w:rsidRPr="000D64FD" w:rsidRDefault="00596808" w:rsidP="00B916A7">
    <w:pPr>
      <w:pStyle w:val="Header"/>
      <w:spacing w:after="240" w:line="192" w:lineRule="auto"/>
      <w:jc w:val="center"/>
      <w:rPr>
        <w:sz w:val="18"/>
        <w:szCs w:val="18"/>
      </w:rPr>
    </w:pPr>
    <w:r w:rsidRPr="000D64FD">
      <w:rPr>
        <w:sz w:val="18"/>
        <w:szCs w:val="18"/>
      </w:rPr>
      <w:t xml:space="preserve">- </w:t>
    </w:r>
    <w:r w:rsidRPr="000D64FD">
      <w:rPr>
        <w:sz w:val="18"/>
        <w:szCs w:val="18"/>
      </w:rPr>
      <w:fldChar w:fldCharType="begin"/>
    </w:r>
    <w:r w:rsidRPr="000D64FD">
      <w:rPr>
        <w:sz w:val="18"/>
        <w:szCs w:val="18"/>
      </w:rPr>
      <w:instrText xml:space="preserve"> PAGE </w:instrText>
    </w:r>
    <w:r w:rsidRPr="000D64FD">
      <w:rPr>
        <w:sz w:val="18"/>
        <w:szCs w:val="18"/>
      </w:rPr>
      <w:fldChar w:fldCharType="separate"/>
    </w:r>
    <w:r w:rsidRPr="000D64FD">
      <w:rPr>
        <w:sz w:val="18"/>
        <w:szCs w:val="18"/>
      </w:rPr>
      <w:t>2</w:t>
    </w:r>
    <w:r w:rsidRPr="000D64FD">
      <w:rPr>
        <w:sz w:val="18"/>
        <w:szCs w:val="18"/>
      </w:rPr>
      <w:fldChar w:fldCharType="end"/>
    </w:r>
    <w:r w:rsidRPr="000D64FD">
      <w:rPr>
        <w:sz w:val="18"/>
        <w:szCs w:val="18"/>
      </w:rPr>
      <w:t xml:space="preserve"> -</w:t>
    </w:r>
    <w:r w:rsidR="00E84438" w:rsidRPr="000D64FD">
      <w:rPr>
        <w:sz w:val="18"/>
        <w:szCs w:val="18"/>
        <w:rtl/>
      </w:rPr>
      <w:br/>
    </w:r>
    <w:r w:rsidR="007139D8" w:rsidRPr="000D64FD">
      <w:rPr>
        <w:sz w:val="18"/>
        <w:szCs w:val="18"/>
        <w:lang w:bidi="ar-EG"/>
      </w:rPr>
      <w:t xml:space="preserve">TSB Circular </w:t>
    </w:r>
    <w:r w:rsidR="00221F00" w:rsidRPr="000D64FD">
      <w:rPr>
        <w:sz w:val="18"/>
        <w:szCs w:val="18"/>
        <w:lang w:bidi="ar-EG"/>
      </w:rPr>
      <w:t>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6044731">
    <w:abstractNumId w:val="9"/>
  </w:num>
  <w:num w:numId="2" w16cid:durableId="38751005">
    <w:abstractNumId w:val="7"/>
  </w:num>
  <w:num w:numId="3" w16cid:durableId="1492256458">
    <w:abstractNumId w:val="6"/>
  </w:num>
  <w:num w:numId="4" w16cid:durableId="852959698">
    <w:abstractNumId w:val="5"/>
  </w:num>
  <w:num w:numId="5" w16cid:durableId="1024211678">
    <w:abstractNumId w:val="4"/>
  </w:num>
  <w:num w:numId="6" w16cid:durableId="990135985">
    <w:abstractNumId w:val="8"/>
  </w:num>
  <w:num w:numId="7" w16cid:durableId="1974022497">
    <w:abstractNumId w:val="3"/>
  </w:num>
  <w:num w:numId="8" w16cid:durableId="236281653">
    <w:abstractNumId w:val="2"/>
  </w:num>
  <w:num w:numId="9" w16cid:durableId="1192377851">
    <w:abstractNumId w:val="1"/>
  </w:num>
  <w:num w:numId="10" w16cid:durableId="1221676816">
    <w:abstractNumId w:val="0"/>
  </w:num>
  <w:num w:numId="11" w16cid:durableId="1108236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65"/>
    <w:rsid w:val="00002A63"/>
    <w:rsid w:val="0006468A"/>
    <w:rsid w:val="00090574"/>
    <w:rsid w:val="000C1C0E"/>
    <w:rsid w:val="000C548A"/>
    <w:rsid w:val="000C7706"/>
    <w:rsid w:val="000D64FD"/>
    <w:rsid w:val="000E327F"/>
    <w:rsid w:val="0010260C"/>
    <w:rsid w:val="00107E17"/>
    <w:rsid w:val="00146FE2"/>
    <w:rsid w:val="001742E1"/>
    <w:rsid w:val="001A1567"/>
    <w:rsid w:val="001C0169"/>
    <w:rsid w:val="001D1D50"/>
    <w:rsid w:val="001D6745"/>
    <w:rsid w:val="001E2788"/>
    <w:rsid w:val="001E446E"/>
    <w:rsid w:val="001F0A80"/>
    <w:rsid w:val="001F4353"/>
    <w:rsid w:val="002154EE"/>
    <w:rsid w:val="00221F00"/>
    <w:rsid w:val="002276D2"/>
    <w:rsid w:val="0023283D"/>
    <w:rsid w:val="0026373E"/>
    <w:rsid w:val="00271C43"/>
    <w:rsid w:val="00290728"/>
    <w:rsid w:val="002978F4"/>
    <w:rsid w:val="002B028D"/>
    <w:rsid w:val="002B6323"/>
    <w:rsid w:val="002E196B"/>
    <w:rsid w:val="002E6541"/>
    <w:rsid w:val="00334924"/>
    <w:rsid w:val="003409BC"/>
    <w:rsid w:val="00357185"/>
    <w:rsid w:val="00363C4D"/>
    <w:rsid w:val="00372F67"/>
    <w:rsid w:val="00383829"/>
    <w:rsid w:val="003A3046"/>
    <w:rsid w:val="003C7EDF"/>
    <w:rsid w:val="003D4A3C"/>
    <w:rsid w:val="003F4B29"/>
    <w:rsid w:val="00400EC6"/>
    <w:rsid w:val="0042686F"/>
    <w:rsid w:val="004317D8"/>
    <w:rsid w:val="00434183"/>
    <w:rsid w:val="00443869"/>
    <w:rsid w:val="00447F32"/>
    <w:rsid w:val="004E11DC"/>
    <w:rsid w:val="005072EC"/>
    <w:rsid w:val="00525DDD"/>
    <w:rsid w:val="00526F67"/>
    <w:rsid w:val="005409AC"/>
    <w:rsid w:val="0055516A"/>
    <w:rsid w:val="005731DD"/>
    <w:rsid w:val="0058491B"/>
    <w:rsid w:val="00590957"/>
    <w:rsid w:val="00592EA5"/>
    <w:rsid w:val="00595B52"/>
    <w:rsid w:val="00596808"/>
    <w:rsid w:val="005A3170"/>
    <w:rsid w:val="005A59CB"/>
    <w:rsid w:val="005B58DA"/>
    <w:rsid w:val="006019C6"/>
    <w:rsid w:val="00622048"/>
    <w:rsid w:val="006635B2"/>
    <w:rsid w:val="00677396"/>
    <w:rsid w:val="0069200F"/>
    <w:rsid w:val="006A0AAA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57F61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64143"/>
    <w:rsid w:val="00873469"/>
    <w:rsid w:val="00877F4B"/>
    <w:rsid w:val="00891703"/>
    <w:rsid w:val="008A7F84"/>
    <w:rsid w:val="00904FB4"/>
    <w:rsid w:val="0091702E"/>
    <w:rsid w:val="009217AD"/>
    <w:rsid w:val="009235BB"/>
    <w:rsid w:val="00923B0C"/>
    <w:rsid w:val="00926F44"/>
    <w:rsid w:val="0094021C"/>
    <w:rsid w:val="0094432F"/>
    <w:rsid w:val="00952F86"/>
    <w:rsid w:val="00982B28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C2F7F"/>
    <w:rsid w:val="00AF6B5C"/>
    <w:rsid w:val="00B03099"/>
    <w:rsid w:val="00B05BC8"/>
    <w:rsid w:val="00B21DE0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84B65"/>
    <w:rsid w:val="00C871F7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9571E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72E17"/>
    <w:rsid w:val="00E84438"/>
    <w:rsid w:val="00E92863"/>
    <w:rsid w:val="00EB796D"/>
    <w:rsid w:val="00F058DC"/>
    <w:rsid w:val="00F20605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0DA9D0"/>
  <w15:chartTrackingRefBased/>
  <w15:docId w15:val="{BF3E34FA-5BD3-411B-A148-635CFAA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2F7F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AC2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meetingdoc.asp?lang=en&amp;parent=T25-TSB-CIR-00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Arabic_HK</dc:creator>
  <cp:keywords/>
  <dc:description/>
  <cp:lastModifiedBy>Maguire, Mairéad</cp:lastModifiedBy>
  <cp:revision>2</cp:revision>
  <dcterms:created xsi:type="dcterms:W3CDTF">2026-01-28T16:44:00Z</dcterms:created>
  <dcterms:modified xsi:type="dcterms:W3CDTF">2026-01-28T16:44:00Z</dcterms:modified>
</cp:coreProperties>
</file>