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436"/>
        <w:tblOverlap w:val="never"/>
        <w:tblW w:w="9781" w:type="dxa"/>
        <w:tblLayout w:type="fixed"/>
        <w:tblCellMar>
          <w:left w:w="0" w:type="dxa"/>
          <w:right w:w="0" w:type="dxa"/>
        </w:tblCellMar>
        <w:tblLook w:val="0000" w:firstRow="0" w:lastRow="0" w:firstColumn="0" w:lastColumn="0" w:noHBand="0" w:noVBand="0"/>
      </w:tblPr>
      <w:tblGrid>
        <w:gridCol w:w="1276"/>
        <w:gridCol w:w="3686"/>
        <w:gridCol w:w="2835"/>
        <w:gridCol w:w="1984"/>
      </w:tblGrid>
      <w:tr w:rsidR="00344BEA" w14:paraId="7909DDAA" w14:textId="77777777" w:rsidTr="00C85075">
        <w:trPr>
          <w:cantSplit/>
          <w:trHeight w:val="1530"/>
        </w:trPr>
        <w:tc>
          <w:tcPr>
            <w:tcW w:w="1276" w:type="dxa"/>
            <w:vAlign w:val="center"/>
          </w:tcPr>
          <w:p w14:paraId="23C671F5" w14:textId="77777777" w:rsidR="00344BEA" w:rsidRPr="009A54D9" w:rsidRDefault="00DF1ABB" w:rsidP="00146B83">
            <w:pPr>
              <w:pStyle w:val="Tabletext"/>
              <w:jc w:val="center"/>
            </w:pPr>
            <w:r w:rsidRPr="00DF1ABB">
              <w:rPr>
                <w:noProof/>
                <w:lang w:val="en-CA" w:eastAsia="en-CA"/>
              </w:rPr>
              <w:drawing>
                <wp:inline distT="0" distB="0" distL="0" distR="0" wp14:anchorId="591E98CC" wp14:editId="6AA6CD19">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521" w:type="dxa"/>
            <w:gridSpan w:val="2"/>
            <w:tcMar>
              <w:left w:w="142" w:type="dxa"/>
            </w:tcMar>
            <w:vAlign w:val="center"/>
          </w:tcPr>
          <w:p w14:paraId="0F0E7935" w14:textId="77777777" w:rsidR="00F01D97" w:rsidRDefault="00F01D97" w:rsidP="00146B83">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77777777" w:rsidR="00344BEA" w:rsidRPr="00F50108" w:rsidRDefault="00F01D97" w:rsidP="00146B83">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146B83">
            <w:pPr>
              <w:spacing w:before="0"/>
              <w:jc w:val="right"/>
              <w:rPr>
                <w:rFonts w:ascii="Verdana" w:hAnsi="Verdana"/>
                <w:color w:val="FFFFFF"/>
                <w:sz w:val="26"/>
                <w:szCs w:val="26"/>
              </w:rPr>
            </w:pPr>
          </w:p>
        </w:tc>
      </w:tr>
      <w:tr w:rsidR="003D38E3" w:rsidRPr="00BC70C5" w14:paraId="0B1AA68E" w14:textId="77777777" w:rsidTr="00C85075">
        <w:trPr>
          <w:cantSplit/>
          <w:trHeight w:val="357"/>
        </w:trPr>
        <w:tc>
          <w:tcPr>
            <w:tcW w:w="4962" w:type="dxa"/>
            <w:gridSpan w:val="2"/>
            <w:vAlign w:val="center"/>
          </w:tcPr>
          <w:p w14:paraId="0A89B09B" w14:textId="77777777" w:rsidR="003D38E3" w:rsidRPr="00C85075" w:rsidRDefault="003D38E3" w:rsidP="00146B83">
            <w:pPr>
              <w:pStyle w:val="Tabletext"/>
              <w:jc w:val="right"/>
              <w:rPr>
                <w:sz w:val="22"/>
                <w:szCs w:val="22"/>
              </w:rPr>
            </w:pPr>
          </w:p>
        </w:tc>
        <w:tc>
          <w:tcPr>
            <w:tcW w:w="4819" w:type="dxa"/>
            <w:gridSpan w:val="2"/>
            <w:vAlign w:val="center"/>
          </w:tcPr>
          <w:p w14:paraId="5F48E8DF" w14:textId="720D6A38" w:rsidR="003D38E3" w:rsidRPr="00C85075" w:rsidRDefault="003D38E3" w:rsidP="00146B83">
            <w:pPr>
              <w:pStyle w:val="Tabletext"/>
              <w:spacing w:before="0" w:after="0"/>
              <w:rPr>
                <w:sz w:val="22"/>
                <w:szCs w:val="22"/>
              </w:rPr>
            </w:pPr>
            <w:r w:rsidRPr="00C85075">
              <w:rPr>
                <w:sz w:val="22"/>
                <w:szCs w:val="22"/>
              </w:rPr>
              <w:t>Geneva,</w:t>
            </w:r>
            <w:r w:rsidR="00D92327" w:rsidRPr="00C85075">
              <w:rPr>
                <w:sz w:val="22"/>
                <w:szCs w:val="22"/>
              </w:rPr>
              <w:t xml:space="preserve"> </w:t>
            </w:r>
            <w:r w:rsidR="004153C0" w:rsidRPr="00C85075">
              <w:rPr>
                <w:sz w:val="22"/>
                <w:szCs w:val="22"/>
              </w:rPr>
              <w:t>2</w:t>
            </w:r>
            <w:r w:rsidR="008C2B62" w:rsidRPr="00C85075">
              <w:rPr>
                <w:sz w:val="22"/>
                <w:szCs w:val="22"/>
              </w:rPr>
              <w:t>6</w:t>
            </w:r>
            <w:r w:rsidR="00964D64" w:rsidRPr="00C85075">
              <w:rPr>
                <w:sz w:val="22"/>
                <w:szCs w:val="22"/>
              </w:rPr>
              <w:t xml:space="preserve"> September </w:t>
            </w:r>
            <w:r w:rsidR="00BD2937" w:rsidRPr="00C85075">
              <w:rPr>
                <w:sz w:val="22"/>
                <w:szCs w:val="22"/>
              </w:rPr>
              <w:t>202</w:t>
            </w:r>
            <w:r w:rsidR="004153C0" w:rsidRPr="00C85075">
              <w:rPr>
                <w:sz w:val="22"/>
                <w:szCs w:val="22"/>
              </w:rPr>
              <w:t>5</w:t>
            </w:r>
          </w:p>
        </w:tc>
      </w:tr>
      <w:tr w:rsidR="008C2B62" w:rsidRPr="00BC70C5" w14:paraId="24138230" w14:textId="77777777" w:rsidTr="00C85075">
        <w:trPr>
          <w:cantSplit/>
          <w:trHeight w:val="700"/>
        </w:trPr>
        <w:tc>
          <w:tcPr>
            <w:tcW w:w="1276" w:type="dxa"/>
          </w:tcPr>
          <w:p w14:paraId="18744C83" w14:textId="77777777" w:rsidR="008C2B62" w:rsidRPr="00BC70C5" w:rsidRDefault="008C2B62" w:rsidP="00146B83">
            <w:pPr>
              <w:pStyle w:val="Tabletext"/>
              <w:rPr>
                <w:rFonts w:ascii="Futura Lt BT" w:hAnsi="Futura Lt BT"/>
                <w:sz w:val="22"/>
                <w:szCs w:val="22"/>
              </w:rPr>
            </w:pPr>
            <w:r w:rsidRPr="00146B83">
              <w:rPr>
                <w:b/>
                <w:bCs/>
                <w:sz w:val="22"/>
                <w:szCs w:val="22"/>
              </w:rPr>
              <w:t>Ref</w:t>
            </w:r>
            <w:r w:rsidRPr="00BC70C5">
              <w:rPr>
                <w:sz w:val="22"/>
                <w:szCs w:val="22"/>
              </w:rPr>
              <w:t>:</w:t>
            </w:r>
          </w:p>
        </w:tc>
        <w:tc>
          <w:tcPr>
            <w:tcW w:w="3686" w:type="dxa"/>
          </w:tcPr>
          <w:p w14:paraId="40A7F689" w14:textId="74F41BFF" w:rsidR="008C2B62" w:rsidRPr="00BC70C5" w:rsidRDefault="008C2B62" w:rsidP="00146B83">
            <w:pPr>
              <w:pStyle w:val="Tabletext"/>
              <w:rPr>
                <w:b/>
                <w:bCs/>
                <w:sz w:val="22"/>
                <w:szCs w:val="22"/>
              </w:rPr>
            </w:pPr>
            <w:r w:rsidRPr="00BC70C5">
              <w:rPr>
                <w:b/>
                <w:bCs/>
                <w:sz w:val="22"/>
                <w:szCs w:val="22"/>
              </w:rPr>
              <w:t>TSB Circular</w:t>
            </w:r>
            <w:r>
              <w:rPr>
                <w:b/>
                <w:bCs/>
                <w:sz w:val="22"/>
                <w:szCs w:val="22"/>
              </w:rPr>
              <w:t xml:space="preserve"> 078</w:t>
            </w:r>
          </w:p>
          <w:p w14:paraId="06A9C169" w14:textId="58230B04" w:rsidR="008C2B62" w:rsidRPr="00BC70C5" w:rsidRDefault="008C2B62" w:rsidP="00146B83">
            <w:pPr>
              <w:pStyle w:val="Tabletext"/>
              <w:rPr>
                <w:sz w:val="22"/>
                <w:szCs w:val="22"/>
              </w:rPr>
            </w:pPr>
            <w:r w:rsidRPr="00BC70C5">
              <w:rPr>
                <w:sz w:val="22"/>
                <w:szCs w:val="22"/>
              </w:rPr>
              <w:t>TSB Events/</w:t>
            </w:r>
            <w:r>
              <w:rPr>
                <w:sz w:val="22"/>
                <w:szCs w:val="22"/>
              </w:rPr>
              <w:t>RU</w:t>
            </w:r>
          </w:p>
        </w:tc>
        <w:tc>
          <w:tcPr>
            <w:tcW w:w="4819" w:type="dxa"/>
            <w:gridSpan w:val="2"/>
            <w:vMerge w:val="restart"/>
          </w:tcPr>
          <w:p w14:paraId="396D923E" w14:textId="77777777" w:rsidR="008C2B62" w:rsidRPr="00BC70C5" w:rsidRDefault="008C2B62" w:rsidP="00146B83">
            <w:pPr>
              <w:pStyle w:val="Tabletext"/>
              <w:spacing w:before="20" w:after="20"/>
              <w:ind w:left="283" w:hanging="283"/>
              <w:rPr>
                <w:b/>
                <w:bCs/>
                <w:sz w:val="22"/>
                <w:szCs w:val="22"/>
              </w:rPr>
            </w:pPr>
            <w:bookmarkStart w:id="0" w:name="Addressee_E"/>
            <w:bookmarkEnd w:id="0"/>
            <w:r w:rsidRPr="00BC70C5">
              <w:rPr>
                <w:b/>
                <w:bCs/>
                <w:sz w:val="22"/>
                <w:szCs w:val="22"/>
              </w:rPr>
              <w:t>To:</w:t>
            </w:r>
          </w:p>
          <w:p w14:paraId="3B9017BC" w14:textId="77777777" w:rsidR="008C2B62" w:rsidRDefault="008C2B62" w:rsidP="00146B83">
            <w:pPr>
              <w:pStyle w:val="Tabletext"/>
              <w:spacing w:before="20" w:after="20"/>
              <w:ind w:left="283" w:hanging="283"/>
              <w:rPr>
                <w:sz w:val="22"/>
                <w:szCs w:val="22"/>
              </w:rPr>
            </w:pPr>
            <w:r w:rsidRPr="00BC70C5">
              <w:rPr>
                <w:sz w:val="22"/>
                <w:szCs w:val="22"/>
              </w:rPr>
              <w:t>-</w:t>
            </w:r>
            <w:r w:rsidRPr="00BC70C5">
              <w:rPr>
                <w:sz w:val="22"/>
                <w:szCs w:val="22"/>
              </w:rPr>
              <w:tab/>
              <w:t>Administrations of Member States of the Union;</w:t>
            </w:r>
          </w:p>
          <w:p w14:paraId="15306D0B" w14:textId="2152515E" w:rsidR="008C2B62" w:rsidRPr="00BC70C5" w:rsidRDefault="008C2B62" w:rsidP="00146B83">
            <w:pPr>
              <w:pStyle w:val="Tabletext"/>
              <w:spacing w:before="20" w:after="20"/>
              <w:ind w:left="283" w:hanging="283"/>
              <w:rPr>
                <w:sz w:val="22"/>
                <w:szCs w:val="22"/>
              </w:rPr>
            </w:pPr>
            <w:r>
              <w:rPr>
                <w:sz w:val="22"/>
                <w:szCs w:val="22"/>
              </w:rPr>
              <w:t>-</w:t>
            </w:r>
            <w:r>
              <w:rPr>
                <w:sz w:val="22"/>
                <w:szCs w:val="22"/>
              </w:rPr>
              <w:tab/>
            </w:r>
            <w:r w:rsidRPr="000B2A49">
              <w:rPr>
                <w:color w:val="000000"/>
                <w:sz w:val="22"/>
                <w:szCs w:val="22"/>
              </w:rPr>
              <w:t>The State of</w:t>
            </w:r>
            <w:r w:rsidRPr="000B2A49">
              <w:rPr>
                <w:sz w:val="22"/>
                <w:szCs w:val="22"/>
              </w:rPr>
              <w:t xml:space="preserve"> Palestine (Res. 99 (Rev. Dubai, 2018</w:t>
            </w:r>
            <w:r>
              <w:rPr>
                <w:sz w:val="22"/>
                <w:szCs w:val="22"/>
              </w:rPr>
              <w:t>))</w:t>
            </w:r>
            <w:r w:rsidR="00146B83">
              <w:rPr>
                <w:sz w:val="22"/>
                <w:szCs w:val="22"/>
              </w:rPr>
              <w:t>;</w:t>
            </w:r>
          </w:p>
          <w:p w14:paraId="21EB5E84" w14:textId="77777777" w:rsidR="008C2B62" w:rsidRPr="00BC70C5" w:rsidRDefault="008C2B62" w:rsidP="00146B83">
            <w:pPr>
              <w:pStyle w:val="Tabletext"/>
              <w:spacing w:before="20" w:after="20"/>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ITU-T Sector Members;</w:t>
            </w:r>
          </w:p>
          <w:p w14:paraId="5D95B1E9" w14:textId="77777777" w:rsidR="008C2B62" w:rsidRPr="00BC70C5" w:rsidRDefault="008C2B62" w:rsidP="00146B83">
            <w:pPr>
              <w:pStyle w:val="Tabletext"/>
              <w:spacing w:before="20" w:after="20"/>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ITU-T Associates;</w:t>
            </w:r>
          </w:p>
          <w:p w14:paraId="57F461E1" w14:textId="0432FF84" w:rsidR="008C2B62" w:rsidRPr="00BC70C5" w:rsidRDefault="008C2B62" w:rsidP="00146B83">
            <w:pPr>
              <w:pStyle w:val="Tabletext"/>
              <w:spacing w:before="20" w:after="20"/>
              <w:ind w:left="283" w:hanging="283"/>
              <w:rPr>
                <w:sz w:val="22"/>
                <w:szCs w:val="22"/>
              </w:rPr>
            </w:pPr>
            <w:r w:rsidRPr="00BC70C5">
              <w:rPr>
                <w:color w:val="000000"/>
                <w:sz w:val="22"/>
                <w:szCs w:val="22"/>
              </w:rPr>
              <w:t>-</w:t>
            </w:r>
            <w:r w:rsidRPr="00BC70C5">
              <w:rPr>
                <w:color w:val="000000"/>
                <w:sz w:val="22"/>
                <w:szCs w:val="22"/>
              </w:rPr>
              <w:tab/>
              <w:t>ITU Academia</w:t>
            </w:r>
          </w:p>
          <w:p w14:paraId="555BD3D2" w14:textId="77777777" w:rsidR="008C2B62" w:rsidRPr="00BC70C5" w:rsidRDefault="008C2B62" w:rsidP="00146B83">
            <w:pPr>
              <w:pStyle w:val="Tabletext"/>
              <w:spacing w:before="20" w:after="20"/>
              <w:rPr>
                <w:b/>
                <w:sz w:val="22"/>
                <w:szCs w:val="22"/>
              </w:rPr>
            </w:pPr>
            <w:r w:rsidRPr="00BC70C5">
              <w:rPr>
                <w:b/>
                <w:sz w:val="22"/>
                <w:szCs w:val="22"/>
              </w:rPr>
              <w:t>Copy to:</w:t>
            </w:r>
          </w:p>
          <w:p w14:paraId="3EDA0C63" w14:textId="77777777" w:rsidR="008C2B62" w:rsidRPr="00BC70C5" w:rsidRDefault="008C2B62" w:rsidP="00146B8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after="20"/>
              <w:ind w:left="283" w:hanging="283"/>
              <w:rPr>
                <w:sz w:val="22"/>
                <w:szCs w:val="22"/>
              </w:rPr>
            </w:pPr>
            <w:r w:rsidRPr="00BC70C5">
              <w:rPr>
                <w:sz w:val="22"/>
                <w:szCs w:val="22"/>
              </w:rPr>
              <w:t>-</w:t>
            </w:r>
            <w:r w:rsidRPr="00BC70C5">
              <w:rPr>
                <w:sz w:val="22"/>
                <w:szCs w:val="22"/>
              </w:rPr>
              <w:tab/>
              <w:t>The Chairs and Vice-Chairs of ITU-T Study Groups;</w:t>
            </w:r>
          </w:p>
          <w:p w14:paraId="4E19F76C" w14:textId="77777777" w:rsidR="008C2B62" w:rsidRPr="00BC70C5" w:rsidRDefault="008C2B62" w:rsidP="00146B8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after="20"/>
              <w:ind w:left="283" w:hanging="283"/>
              <w:rPr>
                <w:sz w:val="22"/>
                <w:szCs w:val="22"/>
              </w:rPr>
            </w:pPr>
            <w:r w:rsidRPr="00BC70C5">
              <w:rPr>
                <w:sz w:val="22"/>
                <w:szCs w:val="22"/>
              </w:rPr>
              <w:t>-</w:t>
            </w:r>
            <w:r w:rsidRPr="00BC70C5">
              <w:rPr>
                <w:sz w:val="22"/>
                <w:szCs w:val="22"/>
              </w:rPr>
              <w:tab/>
              <w:t>The Director of the Telecommunication Development Bureau;</w:t>
            </w:r>
          </w:p>
          <w:p w14:paraId="52D72E2E" w14:textId="179D2F79" w:rsidR="008C2B62" w:rsidRPr="00BC70C5" w:rsidRDefault="008C2B62" w:rsidP="00146B8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after="20"/>
              <w:ind w:left="283" w:hanging="283"/>
              <w:rPr>
                <w:sz w:val="22"/>
                <w:szCs w:val="22"/>
              </w:rPr>
            </w:pPr>
            <w:r w:rsidRPr="00BC70C5">
              <w:rPr>
                <w:sz w:val="22"/>
                <w:szCs w:val="22"/>
              </w:rPr>
              <w:t>-</w:t>
            </w:r>
            <w:r w:rsidRPr="00BC70C5">
              <w:rPr>
                <w:sz w:val="22"/>
                <w:szCs w:val="22"/>
              </w:rPr>
              <w:tab/>
              <w:t>The Director of the Radiocommunication Bureau</w:t>
            </w:r>
          </w:p>
        </w:tc>
      </w:tr>
      <w:tr w:rsidR="008C2B62" w:rsidRPr="00BC70C5" w14:paraId="2E944DF8" w14:textId="77777777" w:rsidTr="00C85075">
        <w:trPr>
          <w:cantSplit/>
          <w:trHeight w:val="289"/>
        </w:trPr>
        <w:tc>
          <w:tcPr>
            <w:tcW w:w="1276" w:type="dxa"/>
          </w:tcPr>
          <w:p w14:paraId="1B763F5C" w14:textId="77777777" w:rsidR="008C2B62" w:rsidRPr="00BC70C5" w:rsidRDefault="008C2B62" w:rsidP="00146B83">
            <w:pPr>
              <w:pStyle w:val="Tabletext"/>
              <w:rPr>
                <w:sz w:val="22"/>
                <w:szCs w:val="22"/>
              </w:rPr>
            </w:pPr>
            <w:r w:rsidRPr="00BC70C5">
              <w:rPr>
                <w:sz w:val="22"/>
                <w:szCs w:val="22"/>
              </w:rPr>
              <w:t>Contact:</w:t>
            </w:r>
          </w:p>
        </w:tc>
        <w:tc>
          <w:tcPr>
            <w:tcW w:w="3686" w:type="dxa"/>
          </w:tcPr>
          <w:p w14:paraId="226970AF" w14:textId="0E40E490" w:rsidR="008C2B62" w:rsidRPr="00BC70C5" w:rsidRDefault="008C2B62" w:rsidP="00146B83">
            <w:pPr>
              <w:pStyle w:val="Tabletext"/>
              <w:rPr>
                <w:b/>
                <w:sz w:val="22"/>
                <w:szCs w:val="22"/>
              </w:rPr>
            </w:pPr>
            <w:r>
              <w:rPr>
                <w:b/>
                <w:iCs/>
                <w:sz w:val="22"/>
                <w:szCs w:val="22"/>
              </w:rPr>
              <w:t xml:space="preserve">Reyna Ubeda </w:t>
            </w:r>
          </w:p>
        </w:tc>
        <w:tc>
          <w:tcPr>
            <w:tcW w:w="4819" w:type="dxa"/>
            <w:gridSpan w:val="2"/>
            <w:vMerge/>
          </w:tcPr>
          <w:p w14:paraId="4214AF42" w14:textId="77777777" w:rsidR="008C2B62" w:rsidRPr="00BC70C5" w:rsidRDefault="008C2B62" w:rsidP="00146B83">
            <w:pPr>
              <w:pStyle w:val="Tabletext"/>
              <w:ind w:left="283" w:hanging="283"/>
              <w:rPr>
                <w:sz w:val="22"/>
                <w:szCs w:val="22"/>
              </w:rPr>
            </w:pPr>
          </w:p>
        </w:tc>
      </w:tr>
      <w:tr w:rsidR="008C2B62" w:rsidRPr="00BC70C5" w14:paraId="72AE684D" w14:textId="77777777" w:rsidTr="00C85075">
        <w:trPr>
          <w:cantSplit/>
          <w:trHeight w:val="221"/>
        </w:trPr>
        <w:tc>
          <w:tcPr>
            <w:tcW w:w="1276" w:type="dxa"/>
          </w:tcPr>
          <w:p w14:paraId="0A7FF884" w14:textId="77777777" w:rsidR="008C2B62" w:rsidRPr="00BC70C5" w:rsidRDefault="008C2B62" w:rsidP="00146B83">
            <w:pPr>
              <w:pStyle w:val="Tabletext"/>
              <w:rPr>
                <w:sz w:val="22"/>
                <w:szCs w:val="22"/>
              </w:rPr>
            </w:pPr>
            <w:r w:rsidRPr="00BC70C5">
              <w:rPr>
                <w:sz w:val="22"/>
                <w:szCs w:val="22"/>
              </w:rPr>
              <w:t>Tel:</w:t>
            </w:r>
          </w:p>
        </w:tc>
        <w:tc>
          <w:tcPr>
            <w:tcW w:w="3686" w:type="dxa"/>
          </w:tcPr>
          <w:p w14:paraId="6A6D9620" w14:textId="77777777" w:rsidR="008C2B62" w:rsidRPr="00BC70C5" w:rsidRDefault="008C2B62" w:rsidP="00146B83">
            <w:pPr>
              <w:pStyle w:val="Tabletext"/>
              <w:rPr>
                <w:b/>
                <w:sz w:val="22"/>
                <w:szCs w:val="22"/>
              </w:rPr>
            </w:pPr>
            <w:r w:rsidRPr="00BC70C5">
              <w:rPr>
                <w:sz w:val="22"/>
                <w:szCs w:val="22"/>
              </w:rPr>
              <w:t>+41 22 730 6356</w:t>
            </w:r>
          </w:p>
        </w:tc>
        <w:tc>
          <w:tcPr>
            <w:tcW w:w="4819" w:type="dxa"/>
            <w:gridSpan w:val="2"/>
            <w:vMerge/>
          </w:tcPr>
          <w:p w14:paraId="09252FFB" w14:textId="77777777" w:rsidR="008C2B62" w:rsidRPr="00BC70C5" w:rsidRDefault="008C2B62" w:rsidP="00146B83">
            <w:pPr>
              <w:pStyle w:val="Tabletext"/>
              <w:ind w:left="283" w:hanging="283"/>
              <w:rPr>
                <w:sz w:val="22"/>
                <w:szCs w:val="22"/>
              </w:rPr>
            </w:pPr>
          </w:p>
        </w:tc>
      </w:tr>
      <w:tr w:rsidR="008C2B62" w:rsidRPr="00BC70C5" w14:paraId="2760D3B3" w14:textId="77777777" w:rsidTr="00C85075">
        <w:trPr>
          <w:cantSplit/>
          <w:trHeight w:val="282"/>
        </w:trPr>
        <w:tc>
          <w:tcPr>
            <w:tcW w:w="1276" w:type="dxa"/>
          </w:tcPr>
          <w:p w14:paraId="27E4540D" w14:textId="77777777" w:rsidR="008C2B62" w:rsidRPr="00BC70C5" w:rsidRDefault="008C2B62" w:rsidP="00146B83">
            <w:pPr>
              <w:pStyle w:val="Tabletext"/>
              <w:rPr>
                <w:sz w:val="22"/>
                <w:szCs w:val="22"/>
              </w:rPr>
            </w:pPr>
            <w:r w:rsidRPr="00BC70C5">
              <w:rPr>
                <w:sz w:val="22"/>
                <w:szCs w:val="22"/>
              </w:rPr>
              <w:t>Fax:</w:t>
            </w:r>
          </w:p>
        </w:tc>
        <w:tc>
          <w:tcPr>
            <w:tcW w:w="3686" w:type="dxa"/>
          </w:tcPr>
          <w:p w14:paraId="7D7936C8" w14:textId="77777777" w:rsidR="008C2B62" w:rsidRPr="00BC70C5" w:rsidRDefault="008C2B62" w:rsidP="00146B83">
            <w:pPr>
              <w:pStyle w:val="Tabletext"/>
              <w:rPr>
                <w:b/>
                <w:sz w:val="22"/>
                <w:szCs w:val="22"/>
              </w:rPr>
            </w:pPr>
            <w:r w:rsidRPr="00BC70C5">
              <w:rPr>
                <w:sz w:val="22"/>
                <w:szCs w:val="22"/>
              </w:rPr>
              <w:t>+41 22 730 5853</w:t>
            </w:r>
          </w:p>
        </w:tc>
        <w:tc>
          <w:tcPr>
            <w:tcW w:w="4819" w:type="dxa"/>
            <w:gridSpan w:val="2"/>
            <w:vMerge/>
          </w:tcPr>
          <w:p w14:paraId="2E37A279" w14:textId="77777777" w:rsidR="008C2B62" w:rsidRPr="00BC70C5" w:rsidRDefault="008C2B62" w:rsidP="00146B83">
            <w:pPr>
              <w:pStyle w:val="Tabletext"/>
              <w:ind w:left="283" w:hanging="283"/>
              <w:rPr>
                <w:sz w:val="22"/>
                <w:szCs w:val="22"/>
              </w:rPr>
            </w:pPr>
          </w:p>
        </w:tc>
      </w:tr>
      <w:tr w:rsidR="008C2B62" w:rsidRPr="00BC70C5" w14:paraId="5324C14B" w14:textId="77777777" w:rsidTr="00C85075">
        <w:trPr>
          <w:cantSplit/>
          <w:trHeight w:val="1381"/>
        </w:trPr>
        <w:tc>
          <w:tcPr>
            <w:tcW w:w="1276" w:type="dxa"/>
          </w:tcPr>
          <w:p w14:paraId="48A64867" w14:textId="77777777" w:rsidR="008C2B62" w:rsidRPr="00BC70C5" w:rsidRDefault="008C2B62" w:rsidP="00146B83">
            <w:pPr>
              <w:pStyle w:val="Tabletext"/>
              <w:rPr>
                <w:sz w:val="22"/>
                <w:szCs w:val="22"/>
              </w:rPr>
            </w:pPr>
            <w:r w:rsidRPr="00BC70C5">
              <w:rPr>
                <w:sz w:val="22"/>
                <w:szCs w:val="22"/>
              </w:rPr>
              <w:t>E-mail:</w:t>
            </w:r>
          </w:p>
        </w:tc>
        <w:tc>
          <w:tcPr>
            <w:tcW w:w="3686" w:type="dxa"/>
          </w:tcPr>
          <w:p w14:paraId="2E34711C" w14:textId="325CD286" w:rsidR="008C2B62" w:rsidRPr="00BC70C5" w:rsidRDefault="008C2B62" w:rsidP="00146B83">
            <w:pPr>
              <w:pStyle w:val="Tabletext"/>
              <w:rPr>
                <w:sz w:val="22"/>
                <w:szCs w:val="22"/>
              </w:rPr>
            </w:pPr>
            <w:hyperlink r:id="rId12" w:history="1">
              <w:r w:rsidRPr="00BC70C5">
                <w:rPr>
                  <w:rStyle w:val="Hyperlink"/>
                  <w:sz w:val="22"/>
                  <w:szCs w:val="22"/>
                </w:rPr>
                <w:t>tsbevents@itu.int</w:t>
              </w:r>
            </w:hyperlink>
          </w:p>
        </w:tc>
        <w:tc>
          <w:tcPr>
            <w:tcW w:w="4819" w:type="dxa"/>
            <w:gridSpan w:val="2"/>
            <w:vMerge/>
          </w:tcPr>
          <w:p w14:paraId="5EB4A4D7" w14:textId="77777777" w:rsidR="008C2B62" w:rsidRPr="00BC70C5" w:rsidRDefault="008C2B62" w:rsidP="00146B8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p>
        </w:tc>
      </w:tr>
      <w:tr w:rsidR="00222D56" w:rsidRPr="00BC70C5" w14:paraId="69CDE356" w14:textId="77777777" w:rsidTr="00146B83">
        <w:trPr>
          <w:cantSplit/>
          <w:trHeight w:val="717"/>
        </w:trPr>
        <w:tc>
          <w:tcPr>
            <w:tcW w:w="1276" w:type="dxa"/>
          </w:tcPr>
          <w:p w14:paraId="44183762" w14:textId="77777777" w:rsidR="00222D56" w:rsidRPr="00BC70C5" w:rsidRDefault="00222D56" w:rsidP="00146B83">
            <w:pPr>
              <w:pStyle w:val="Tabletext"/>
              <w:spacing w:before="60" w:after="0"/>
              <w:rPr>
                <w:sz w:val="22"/>
                <w:szCs w:val="22"/>
              </w:rPr>
            </w:pPr>
            <w:r w:rsidRPr="00BC70C5">
              <w:rPr>
                <w:b/>
                <w:bCs/>
                <w:sz w:val="22"/>
                <w:szCs w:val="22"/>
              </w:rPr>
              <w:t>Subject</w:t>
            </w:r>
            <w:r w:rsidRPr="00BC70C5">
              <w:rPr>
                <w:sz w:val="22"/>
                <w:szCs w:val="22"/>
              </w:rPr>
              <w:t>:</w:t>
            </w:r>
            <w:r w:rsidR="00D725FA" w:rsidRPr="00BC70C5">
              <w:rPr>
                <w:sz w:val="22"/>
                <w:szCs w:val="22"/>
              </w:rPr>
              <w:t xml:space="preserve"> </w:t>
            </w:r>
          </w:p>
        </w:tc>
        <w:tc>
          <w:tcPr>
            <w:tcW w:w="8505" w:type="dxa"/>
            <w:gridSpan w:val="3"/>
          </w:tcPr>
          <w:p w14:paraId="70117BF9" w14:textId="571B6D4D" w:rsidR="00EC426B" w:rsidRPr="00FB5101" w:rsidRDefault="00964D64" w:rsidP="00146B83">
            <w:pPr>
              <w:pStyle w:val="Tabletext"/>
              <w:spacing w:before="60" w:after="0"/>
              <w:rPr>
                <w:b/>
                <w:bCs/>
                <w:sz w:val="22"/>
                <w:szCs w:val="22"/>
              </w:rPr>
            </w:pPr>
            <w:r w:rsidRPr="00964D64">
              <w:rPr>
                <w:b/>
                <w:bCs/>
                <w:sz w:val="22"/>
                <w:szCs w:val="22"/>
              </w:rPr>
              <w:t xml:space="preserve">ITU-UNIDO Workshop on </w:t>
            </w:r>
            <w:r w:rsidR="00DC7387">
              <w:rPr>
                <w:b/>
                <w:bCs/>
                <w:sz w:val="22"/>
                <w:szCs w:val="22"/>
              </w:rPr>
              <w:t>“</w:t>
            </w:r>
            <w:r w:rsidRPr="00964D64">
              <w:rPr>
                <w:b/>
                <w:bCs/>
                <w:sz w:val="22"/>
                <w:szCs w:val="22"/>
              </w:rPr>
              <w:t>E-waste in Latin America: From Current Challenges to Future Solutions</w:t>
            </w:r>
            <w:r w:rsidR="00DC7387">
              <w:rPr>
                <w:b/>
                <w:bCs/>
                <w:sz w:val="22"/>
                <w:szCs w:val="22"/>
              </w:rPr>
              <w:t>”</w:t>
            </w:r>
            <w:r w:rsidRPr="00964D64">
              <w:rPr>
                <w:b/>
                <w:bCs/>
                <w:sz w:val="22"/>
                <w:szCs w:val="22"/>
              </w:rPr>
              <w:t xml:space="preserve"> </w:t>
            </w:r>
            <w:r w:rsidR="004153C0">
              <w:rPr>
                <w:b/>
                <w:bCs/>
                <w:sz w:val="22"/>
                <w:szCs w:val="22"/>
              </w:rPr>
              <w:t>(</w:t>
            </w:r>
            <w:r>
              <w:rPr>
                <w:b/>
                <w:bCs/>
                <w:sz w:val="22"/>
                <w:szCs w:val="22"/>
              </w:rPr>
              <w:t xml:space="preserve">Fully Virtual, 17 </w:t>
            </w:r>
            <w:r w:rsidR="004153C0">
              <w:rPr>
                <w:b/>
                <w:bCs/>
                <w:sz w:val="22"/>
                <w:szCs w:val="22"/>
              </w:rPr>
              <w:t>October 2025)</w:t>
            </w:r>
          </w:p>
        </w:tc>
      </w:tr>
      <w:tr w:rsidR="00EC426B" w:rsidRPr="00BC70C5" w14:paraId="1CD82520" w14:textId="77777777" w:rsidTr="00146B83">
        <w:trPr>
          <w:cantSplit/>
          <w:trHeight w:val="889"/>
        </w:trPr>
        <w:tc>
          <w:tcPr>
            <w:tcW w:w="9781" w:type="dxa"/>
            <w:gridSpan w:val="4"/>
          </w:tcPr>
          <w:p w14:paraId="0112FA7D" w14:textId="77777777" w:rsidR="00EC426B" w:rsidRPr="00146B83" w:rsidRDefault="00EC426B" w:rsidP="00146B83">
            <w:pPr>
              <w:pStyle w:val="Normalaftertitle0"/>
              <w:spacing w:before="0" w:after="120"/>
              <w:rPr>
                <w:sz w:val="22"/>
                <w:szCs w:val="22"/>
              </w:rPr>
            </w:pPr>
            <w:r w:rsidRPr="00964D64">
              <w:rPr>
                <w:sz w:val="22"/>
                <w:szCs w:val="22"/>
              </w:rPr>
              <w:t>Dear Sir/</w:t>
            </w:r>
            <w:r w:rsidRPr="00146B83">
              <w:rPr>
                <w:sz w:val="22"/>
                <w:szCs w:val="22"/>
              </w:rPr>
              <w:t>Madam,</w:t>
            </w:r>
          </w:p>
          <w:p w14:paraId="7F4C62CF" w14:textId="09B87DDB" w:rsidR="00EC426B" w:rsidRPr="00146B83" w:rsidRDefault="00EC426B" w:rsidP="00146B83">
            <w:pPr>
              <w:tabs>
                <w:tab w:val="clear" w:pos="1134"/>
                <w:tab w:val="left" w:pos="900"/>
              </w:tabs>
              <w:spacing w:before="0" w:after="120"/>
              <w:rPr>
                <w:rStyle w:val="normaltextrun"/>
                <w:rFonts w:ascii="Calibri" w:hAnsi="Calibri" w:cs="Calibri"/>
                <w:color w:val="000000"/>
                <w:sz w:val="22"/>
                <w:szCs w:val="22"/>
                <w:shd w:val="clear" w:color="auto" w:fill="FFFFFF"/>
                <w:lang w:eastAsia="ja-JP"/>
              </w:rPr>
            </w:pPr>
            <w:bookmarkStart w:id="1" w:name="suitetext"/>
            <w:bookmarkStart w:id="2" w:name="text"/>
            <w:bookmarkEnd w:id="1"/>
            <w:bookmarkEnd w:id="2"/>
            <w:r w:rsidRPr="00146B83">
              <w:rPr>
                <w:sz w:val="22"/>
                <w:szCs w:val="22"/>
              </w:rPr>
              <w:t>1</w:t>
            </w:r>
            <w:r w:rsidRPr="00146B83">
              <w:rPr>
                <w:sz w:val="22"/>
                <w:szCs w:val="22"/>
              </w:rPr>
              <w:tab/>
            </w:r>
            <w:r w:rsidRPr="00146B83">
              <w:rPr>
                <w:rStyle w:val="normaltextrun"/>
                <w:rFonts w:ascii="Calibri" w:eastAsiaTheme="majorEastAsia" w:hAnsi="Calibri" w:cs="Calibri"/>
                <w:color w:val="000000"/>
                <w:sz w:val="22"/>
                <w:szCs w:val="22"/>
                <w:bdr w:val="none" w:sz="0" w:space="0" w:color="auto" w:frame="1"/>
              </w:rPr>
              <w:t xml:space="preserve">I am pleased to inform you that </w:t>
            </w:r>
            <w:r w:rsidRPr="00146B83">
              <w:rPr>
                <w:rStyle w:val="normaltextrun"/>
                <w:rFonts w:ascii="Calibri" w:eastAsiaTheme="majorEastAsia" w:hAnsi="Calibri" w:cs="Calibri"/>
                <w:color w:val="000000"/>
                <w:sz w:val="22"/>
                <w:szCs w:val="22"/>
                <w:shd w:val="clear" w:color="auto" w:fill="FFFFFF"/>
              </w:rPr>
              <w:t>the</w:t>
            </w:r>
            <w:r w:rsidR="00146B83" w:rsidRPr="00146B83">
              <w:rPr>
                <w:sz w:val="22"/>
                <w:szCs w:val="22"/>
              </w:rPr>
              <w:t xml:space="preserve"> </w:t>
            </w:r>
            <w:r w:rsidR="004153C0" w:rsidRPr="00146B83">
              <w:rPr>
                <w:rFonts w:ascii="Calibri" w:eastAsiaTheme="majorEastAsia" w:hAnsi="Calibri" w:cs="Calibri"/>
                <w:sz w:val="22"/>
                <w:szCs w:val="22"/>
                <w:shd w:val="clear" w:color="auto" w:fill="FFFFFF"/>
              </w:rPr>
              <w:t>International Telecommunication Union (ITU)</w:t>
            </w:r>
            <w:r w:rsidR="00146B83" w:rsidRPr="00146B83">
              <w:rPr>
                <w:rFonts w:ascii="Calibri" w:eastAsiaTheme="majorEastAsia" w:hAnsi="Calibri" w:cs="Calibri"/>
                <w:sz w:val="22"/>
                <w:szCs w:val="22"/>
                <w:shd w:val="clear" w:color="auto" w:fill="FFFFFF"/>
              </w:rPr>
              <w:t xml:space="preserve"> </w:t>
            </w:r>
            <w:r w:rsidR="00964D64" w:rsidRPr="00146B83">
              <w:rPr>
                <w:rFonts w:ascii="Calibri" w:eastAsiaTheme="majorEastAsia" w:hAnsi="Calibri" w:cs="Calibri"/>
                <w:color w:val="000000"/>
                <w:sz w:val="22"/>
                <w:szCs w:val="22"/>
                <w:shd w:val="clear" w:color="auto" w:fill="FFFFFF"/>
              </w:rPr>
              <w:t xml:space="preserve">and the United Nations Industrial Development Organization (UNIDO) are organizing a </w:t>
            </w:r>
            <w:r w:rsidR="00FB5101" w:rsidRPr="00146B83">
              <w:rPr>
                <w:rFonts w:ascii="Calibri" w:eastAsiaTheme="majorEastAsia" w:hAnsi="Calibri" w:cs="Calibri"/>
                <w:color w:val="000000"/>
                <w:sz w:val="22"/>
                <w:szCs w:val="22"/>
                <w:shd w:val="clear" w:color="auto" w:fill="FFFFFF"/>
              </w:rPr>
              <w:t xml:space="preserve">virtual </w:t>
            </w:r>
            <w:r w:rsidR="00964D64" w:rsidRPr="00146B83">
              <w:rPr>
                <w:rFonts w:ascii="Calibri" w:eastAsiaTheme="majorEastAsia" w:hAnsi="Calibri" w:cs="Calibri"/>
                <w:color w:val="000000"/>
                <w:sz w:val="22"/>
                <w:szCs w:val="22"/>
                <w:shd w:val="clear" w:color="auto" w:fill="FFFFFF"/>
              </w:rPr>
              <w:t xml:space="preserve">workshop on </w:t>
            </w:r>
            <w:r w:rsidR="00DC7387">
              <w:rPr>
                <w:rFonts w:ascii="Calibri" w:eastAsiaTheme="majorEastAsia" w:hAnsi="Calibri" w:cs="Calibri"/>
                <w:b/>
                <w:bCs/>
                <w:color w:val="000000"/>
                <w:sz w:val="22"/>
                <w:szCs w:val="22"/>
                <w:shd w:val="clear" w:color="auto" w:fill="FFFFFF"/>
              </w:rPr>
              <w:t>“</w:t>
            </w:r>
            <w:r w:rsidR="00964D64" w:rsidRPr="00146B83">
              <w:rPr>
                <w:rFonts w:ascii="Calibri" w:eastAsiaTheme="majorEastAsia" w:hAnsi="Calibri" w:cs="Calibri"/>
                <w:b/>
                <w:bCs/>
                <w:color w:val="000000"/>
                <w:sz w:val="22"/>
                <w:szCs w:val="22"/>
                <w:shd w:val="clear" w:color="auto" w:fill="FFFFFF"/>
              </w:rPr>
              <w:t>E-waste in Latin America: From Current Challenges to Future Solutions</w:t>
            </w:r>
            <w:r w:rsidR="00DC7387">
              <w:rPr>
                <w:rFonts w:ascii="Calibri" w:eastAsiaTheme="majorEastAsia" w:hAnsi="Calibri" w:cs="Calibri"/>
                <w:b/>
                <w:bCs/>
                <w:color w:val="000000"/>
                <w:sz w:val="22"/>
                <w:szCs w:val="22"/>
                <w:shd w:val="clear" w:color="auto" w:fill="FFFFFF"/>
              </w:rPr>
              <w:t>”</w:t>
            </w:r>
            <w:r w:rsidR="00964D64" w:rsidRPr="00146B83">
              <w:rPr>
                <w:rFonts w:ascii="Calibri" w:eastAsiaTheme="majorEastAsia" w:hAnsi="Calibri" w:cs="Calibri"/>
                <w:b/>
                <w:bCs/>
                <w:color w:val="000000"/>
                <w:sz w:val="22"/>
                <w:szCs w:val="22"/>
                <w:shd w:val="clear" w:color="auto" w:fill="FFFFFF"/>
              </w:rPr>
              <w:t xml:space="preserve"> </w:t>
            </w:r>
            <w:r w:rsidR="00964D64" w:rsidRPr="00146B83">
              <w:rPr>
                <w:rFonts w:ascii="Calibri" w:eastAsiaTheme="majorEastAsia" w:hAnsi="Calibri" w:cs="Calibri"/>
                <w:color w:val="000000"/>
                <w:sz w:val="22"/>
                <w:szCs w:val="22"/>
                <w:shd w:val="clear" w:color="auto" w:fill="FFFFFF"/>
              </w:rPr>
              <w:t xml:space="preserve">on </w:t>
            </w:r>
            <w:r w:rsidR="00964D64" w:rsidRPr="00146B83">
              <w:rPr>
                <w:rFonts w:ascii="Calibri" w:eastAsiaTheme="majorEastAsia" w:hAnsi="Calibri" w:cs="Calibri"/>
                <w:b/>
                <w:bCs/>
                <w:color w:val="000000"/>
                <w:sz w:val="22"/>
                <w:szCs w:val="22"/>
                <w:shd w:val="clear" w:color="auto" w:fill="FFFFFF"/>
              </w:rPr>
              <w:t>17 October 2025 from 16h00 to 18h00 CEST</w:t>
            </w:r>
            <w:r w:rsidR="00964D64" w:rsidRPr="00146B83">
              <w:rPr>
                <w:rFonts w:ascii="Calibri" w:eastAsiaTheme="majorEastAsia" w:hAnsi="Calibri" w:cs="Calibri"/>
                <w:color w:val="000000"/>
                <w:sz w:val="22"/>
                <w:szCs w:val="22"/>
                <w:shd w:val="clear" w:color="auto" w:fill="FFFFFF"/>
              </w:rPr>
              <w:t>.</w:t>
            </w:r>
          </w:p>
          <w:p w14:paraId="30779849" w14:textId="17206CFC" w:rsidR="00EC426B" w:rsidRPr="00146B83" w:rsidRDefault="004153C0" w:rsidP="00146B83">
            <w:pPr>
              <w:tabs>
                <w:tab w:val="clear" w:pos="1134"/>
                <w:tab w:val="left" w:pos="900"/>
              </w:tabs>
              <w:spacing w:before="0" w:after="120"/>
              <w:rPr>
                <w:rFonts w:ascii="Calibri" w:eastAsiaTheme="majorEastAsia" w:hAnsi="Calibri" w:cs="Calibri"/>
                <w:color w:val="000000"/>
                <w:sz w:val="22"/>
                <w:szCs w:val="22"/>
                <w:shd w:val="clear" w:color="auto" w:fill="FFFFFF"/>
              </w:rPr>
            </w:pPr>
            <w:r w:rsidRPr="00146B83">
              <w:rPr>
                <w:rStyle w:val="normaltextrun"/>
                <w:rFonts w:ascii="Calibri" w:eastAsiaTheme="majorEastAsia" w:hAnsi="Calibri" w:cs="Calibri"/>
                <w:color w:val="000000"/>
                <w:sz w:val="22"/>
                <w:szCs w:val="22"/>
                <w:shd w:val="clear" w:color="auto" w:fill="FFFFFF"/>
              </w:rPr>
              <w:t>2</w:t>
            </w:r>
            <w:r w:rsidR="00EC426B" w:rsidRPr="00146B83">
              <w:rPr>
                <w:rStyle w:val="normaltextrun"/>
                <w:rFonts w:ascii="Calibri" w:hAnsi="Calibri" w:cs="Calibri"/>
                <w:color w:val="000000"/>
                <w:sz w:val="22"/>
                <w:szCs w:val="22"/>
                <w:shd w:val="clear" w:color="auto" w:fill="FFFFFF"/>
                <w:lang w:eastAsia="ja-JP"/>
              </w:rPr>
              <w:tab/>
            </w:r>
            <w:r w:rsidR="00964D64" w:rsidRPr="00146B83">
              <w:rPr>
                <w:rFonts w:ascii="Calibri" w:hAnsi="Calibri"/>
                <w:sz w:val="22"/>
                <w:szCs w:val="22"/>
                <w:lang w:val="en-AU"/>
              </w:rPr>
              <w:t xml:space="preserve">Every year, millions of tonnes of electrical and electronic equipment (EEE) reach the end of their life, making e-waste one of the fastest growing waste streams worldwide. In 2022 alone, the world produced 62 million tonnes of e-waste, with less than a quarter properly collected and recycled. To commemorate </w:t>
            </w:r>
            <w:r w:rsidR="00964D64" w:rsidRPr="00146B83">
              <w:rPr>
                <w:rFonts w:ascii="Calibri" w:hAnsi="Calibri"/>
                <w:i/>
                <w:iCs/>
                <w:sz w:val="22"/>
                <w:szCs w:val="22"/>
                <w:lang w:val="en-AU"/>
              </w:rPr>
              <w:t>International E-waste Day (14 October),</w:t>
            </w:r>
            <w:r w:rsidR="00964D64" w:rsidRPr="00146B83">
              <w:rPr>
                <w:rFonts w:ascii="Calibri" w:hAnsi="Calibri"/>
                <w:sz w:val="22"/>
                <w:szCs w:val="22"/>
                <w:lang w:val="en-AU"/>
              </w:rPr>
              <w:t xml:space="preserve"> this workshop will highlight Latin America’s progress and future pathways to </w:t>
            </w:r>
            <w:r w:rsidR="00DC7387">
              <w:rPr>
                <w:rFonts w:ascii="Calibri" w:hAnsi="Calibri"/>
                <w:sz w:val="22"/>
                <w:szCs w:val="22"/>
                <w:lang w:val="en-AU"/>
              </w:rPr>
              <w:t>managing</w:t>
            </w:r>
            <w:r w:rsidR="00DC7387" w:rsidRPr="00146B83">
              <w:rPr>
                <w:rFonts w:ascii="Calibri" w:hAnsi="Calibri"/>
                <w:sz w:val="22"/>
                <w:szCs w:val="22"/>
                <w:lang w:val="en-AU"/>
              </w:rPr>
              <w:t xml:space="preserve"> </w:t>
            </w:r>
            <w:r w:rsidR="00964D64" w:rsidRPr="00146B83">
              <w:rPr>
                <w:rFonts w:ascii="Calibri" w:hAnsi="Calibri"/>
                <w:sz w:val="22"/>
                <w:szCs w:val="22"/>
                <w:lang w:val="en-AU"/>
              </w:rPr>
              <w:t xml:space="preserve">e-waste sustainably and </w:t>
            </w:r>
            <w:r w:rsidR="00C62FCF">
              <w:rPr>
                <w:rFonts w:ascii="Calibri" w:hAnsi="Calibri"/>
                <w:sz w:val="22"/>
                <w:szCs w:val="22"/>
                <w:lang w:val="en-AU"/>
              </w:rPr>
              <w:t>harnessing</w:t>
            </w:r>
            <w:r w:rsidR="00C62FCF" w:rsidRPr="00146B83">
              <w:rPr>
                <w:rFonts w:ascii="Calibri" w:hAnsi="Calibri"/>
                <w:sz w:val="22"/>
                <w:szCs w:val="22"/>
                <w:lang w:val="en-AU"/>
              </w:rPr>
              <w:t xml:space="preserve"> </w:t>
            </w:r>
            <w:r w:rsidR="00964D64" w:rsidRPr="00146B83">
              <w:rPr>
                <w:rFonts w:ascii="Calibri" w:hAnsi="Calibri"/>
                <w:sz w:val="22"/>
                <w:szCs w:val="22"/>
                <w:lang w:val="en-AU"/>
              </w:rPr>
              <w:t xml:space="preserve">the opportunities of a circular economy that turns end-of-life equipment into valuable resources. </w:t>
            </w:r>
          </w:p>
          <w:p w14:paraId="4B26B273" w14:textId="3C8A5F65" w:rsidR="00964D64" w:rsidRPr="00146B83" w:rsidRDefault="004153C0" w:rsidP="00146B83">
            <w:pPr>
              <w:tabs>
                <w:tab w:val="clear" w:pos="1134"/>
                <w:tab w:val="left" w:pos="900"/>
              </w:tabs>
              <w:spacing w:before="0" w:after="60"/>
              <w:rPr>
                <w:rStyle w:val="normaltextrun"/>
                <w:rFonts w:ascii="Calibri" w:eastAsiaTheme="majorEastAsia" w:hAnsi="Calibri" w:cs="Calibri"/>
                <w:color w:val="000000"/>
                <w:sz w:val="22"/>
                <w:szCs w:val="22"/>
                <w:shd w:val="clear" w:color="auto" w:fill="FFFFFF"/>
              </w:rPr>
            </w:pPr>
            <w:r w:rsidRPr="00146B83">
              <w:rPr>
                <w:rFonts w:ascii="Calibri" w:hAnsi="Calibri"/>
                <w:sz w:val="22"/>
                <w:szCs w:val="22"/>
              </w:rPr>
              <w:t>3</w:t>
            </w:r>
            <w:r w:rsidR="00EC426B" w:rsidRPr="00146B83">
              <w:rPr>
                <w:sz w:val="22"/>
                <w:szCs w:val="22"/>
              </w:rPr>
              <w:tab/>
            </w:r>
            <w:r w:rsidR="00964D64" w:rsidRPr="00146B83">
              <w:rPr>
                <w:rStyle w:val="normaltextrun"/>
                <w:rFonts w:ascii="Calibri" w:eastAsiaTheme="majorEastAsia" w:hAnsi="Calibri" w:cs="Calibri"/>
                <w:color w:val="000000"/>
                <w:sz w:val="22"/>
                <w:szCs w:val="22"/>
                <w:shd w:val="clear" w:color="auto" w:fill="FFFFFF"/>
              </w:rPr>
              <w:t>As part of the Project for Electronic Waste in Latin America (PREAL), two reports have been developed to support countries in strengthening their e-waste systems:</w:t>
            </w:r>
          </w:p>
          <w:p w14:paraId="2DEDD249" w14:textId="464480AF" w:rsidR="00964D64" w:rsidRPr="00146B83" w:rsidRDefault="00964D64" w:rsidP="00146B83">
            <w:pPr>
              <w:pStyle w:val="ListParagraph"/>
              <w:numPr>
                <w:ilvl w:val="0"/>
                <w:numId w:val="23"/>
              </w:numPr>
              <w:tabs>
                <w:tab w:val="clear" w:pos="1134"/>
                <w:tab w:val="left" w:pos="900"/>
              </w:tabs>
              <w:spacing w:before="0" w:after="60"/>
              <w:contextualSpacing w:val="0"/>
              <w:rPr>
                <w:rStyle w:val="normaltextrun"/>
                <w:rFonts w:ascii="Calibri" w:eastAsiaTheme="majorEastAsia" w:hAnsi="Calibri" w:cs="Calibri"/>
                <w:color w:val="000000"/>
                <w:sz w:val="22"/>
                <w:szCs w:val="22"/>
                <w:shd w:val="clear" w:color="auto" w:fill="FFFFFF"/>
              </w:rPr>
            </w:pPr>
            <w:r w:rsidRPr="00146B83">
              <w:rPr>
                <w:rStyle w:val="normaltextrun"/>
                <w:rFonts w:ascii="Calibri" w:eastAsiaTheme="majorEastAsia" w:hAnsi="Calibri" w:cs="Calibri"/>
                <w:b/>
                <w:bCs/>
                <w:color w:val="000000"/>
                <w:sz w:val="22"/>
                <w:szCs w:val="22"/>
                <w:shd w:val="clear" w:color="auto" w:fill="FFFFFF"/>
              </w:rPr>
              <w:t>Management of Waste Electrical and Electronic Equipment (WEEE) in Latin America: Current Situation and Perspectives:</w:t>
            </w:r>
            <w:r w:rsidRPr="00146B83">
              <w:rPr>
                <w:rStyle w:val="normaltextrun"/>
                <w:rFonts w:ascii="Calibri" w:eastAsiaTheme="majorEastAsia" w:hAnsi="Calibri" w:cs="Calibri"/>
                <w:b/>
                <w:bCs/>
                <w:i/>
                <w:iCs/>
                <w:color w:val="000000"/>
                <w:sz w:val="22"/>
                <w:szCs w:val="22"/>
                <w:shd w:val="clear" w:color="auto" w:fill="FFFFFF"/>
              </w:rPr>
              <w:t xml:space="preserve"> </w:t>
            </w:r>
            <w:r w:rsidRPr="00146B83">
              <w:rPr>
                <w:rStyle w:val="normaltextrun"/>
                <w:rFonts w:ascii="Calibri" w:eastAsiaTheme="majorEastAsia" w:hAnsi="Calibri" w:cs="Calibri"/>
                <w:i/>
                <w:iCs/>
                <w:color w:val="000000"/>
                <w:sz w:val="22"/>
                <w:szCs w:val="22"/>
                <w:shd w:val="clear" w:color="auto" w:fill="FFFFFF"/>
              </w:rPr>
              <w:t>This report provides an overview of the latest regional data and analysis, including results from 13 participating countries.</w:t>
            </w:r>
          </w:p>
          <w:p w14:paraId="5D0D42D4" w14:textId="45752344" w:rsidR="00964D64" w:rsidRPr="00146B83" w:rsidRDefault="00964D64" w:rsidP="00146B83">
            <w:pPr>
              <w:pStyle w:val="ListParagraph"/>
              <w:numPr>
                <w:ilvl w:val="0"/>
                <w:numId w:val="23"/>
              </w:numPr>
              <w:tabs>
                <w:tab w:val="clear" w:pos="1134"/>
                <w:tab w:val="left" w:pos="900"/>
              </w:tabs>
              <w:spacing w:before="0" w:after="120"/>
              <w:rPr>
                <w:rStyle w:val="normaltextrun"/>
                <w:rFonts w:ascii="Calibri" w:eastAsiaTheme="majorEastAsia" w:hAnsi="Calibri" w:cs="Calibri"/>
                <w:color w:val="000000"/>
                <w:sz w:val="22"/>
                <w:szCs w:val="22"/>
                <w:shd w:val="clear" w:color="auto" w:fill="FFFFFF"/>
              </w:rPr>
            </w:pPr>
            <w:r w:rsidRPr="00C85075">
              <w:rPr>
                <w:rStyle w:val="normaltextrun"/>
                <w:rFonts w:ascii="Calibri" w:eastAsiaTheme="majorEastAsia" w:hAnsi="Calibri" w:cs="Calibri"/>
                <w:b/>
                <w:bCs/>
                <w:color w:val="000000"/>
                <w:sz w:val="22"/>
                <w:szCs w:val="22"/>
                <w:shd w:val="clear" w:color="auto" w:fill="FFFFFF"/>
              </w:rPr>
              <w:t>Guidelines for Implementing National Systems for Integrated Management of Waste Electrical and Electronic Equipment (WEEE) in Latin American Countries</w:t>
            </w:r>
            <w:r w:rsidRPr="00DC7387">
              <w:rPr>
                <w:rStyle w:val="normaltextrun"/>
                <w:rFonts w:ascii="Calibri" w:eastAsiaTheme="majorEastAsia" w:hAnsi="Calibri" w:cs="Calibri"/>
                <w:b/>
                <w:bCs/>
                <w:color w:val="000000"/>
                <w:sz w:val="22"/>
                <w:szCs w:val="22"/>
                <w:shd w:val="clear" w:color="auto" w:fill="FFFFFF"/>
              </w:rPr>
              <w:t>:</w:t>
            </w:r>
            <w:r w:rsidRPr="00DC7387">
              <w:rPr>
                <w:rStyle w:val="normaltextrun"/>
                <w:rFonts w:ascii="Calibri" w:eastAsiaTheme="majorEastAsia" w:hAnsi="Calibri" w:cs="Calibri"/>
                <w:color w:val="000000"/>
                <w:sz w:val="22"/>
                <w:szCs w:val="22"/>
                <w:shd w:val="clear" w:color="auto" w:fill="FFFFFF"/>
              </w:rPr>
              <w:t xml:space="preserve"> </w:t>
            </w:r>
            <w:r w:rsidRPr="00146B83">
              <w:rPr>
                <w:rStyle w:val="normaltextrun"/>
                <w:rFonts w:ascii="Calibri" w:eastAsiaTheme="majorEastAsia" w:hAnsi="Calibri" w:cs="Calibri"/>
                <w:i/>
                <w:iCs/>
                <w:color w:val="000000"/>
                <w:sz w:val="22"/>
                <w:szCs w:val="22"/>
                <w:shd w:val="clear" w:color="auto" w:fill="FFFFFF"/>
              </w:rPr>
              <w:t>This report offers practical recommendations for governments and stakeholders to build effective national e-waste management systems.</w:t>
            </w:r>
          </w:p>
          <w:p w14:paraId="01863653" w14:textId="70847162" w:rsidR="00964D64" w:rsidRPr="00146B83" w:rsidRDefault="00FB5101" w:rsidP="00146B83">
            <w:pPr>
              <w:tabs>
                <w:tab w:val="clear" w:pos="1134"/>
                <w:tab w:val="left" w:pos="990"/>
              </w:tabs>
              <w:rPr>
                <w:sz w:val="22"/>
                <w:szCs w:val="22"/>
              </w:rPr>
            </w:pPr>
            <w:r w:rsidRPr="00146B83">
              <w:rPr>
                <w:sz w:val="22"/>
                <w:szCs w:val="22"/>
              </w:rPr>
              <w:t>4</w:t>
            </w:r>
            <w:r w:rsidR="008C2B62" w:rsidRPr="00146B83">
              <w:rPr>
                <w:sz w:val="22"/>
                <w:szCs w:val="22"/>
              </w:rPr>
              <w:tab/>
            </w:r>
            <w:r w:rsidR="00964D64" w:rsidRPr="00146B83">
              <w:rPr>
                <w:sz w:val="22"/>
                <w:szCs w:val="22"/>
              </w:rPr>
              <w:t>International Standards are at the core of these efforts, providing common methods to measure progress, compare results, and guide effective solutions. Together with supportive policies, training and raising awareness, and the engagement of all stakeholders across the value chain, they help countries strengthen e-waste management systems and move towards a circular economy adapted to the realities of Latin America.</w:t>
            </w:r>
          </w:p>
          <w:p w14:paraId="5C71F11D" w14:textId="5201C155" w:rsidR="00EC426B" w:rsidRPr="00146B83" w:rsidRDefault="00964D64" w:rsidP="00146B83">
            <w:pPr>
              <w:spacing w:before="60"/>
              <w:rPr>
                <w:sz w:val="22"/>
                <w:szCs w:val="22"/>
              </w:rPr>
            </w:pPr>
            <w:r w:rsidRPr="00146B83">
              <w:rPr>
                <w:sz w:val="22"/>
                <w:szCs w:val="22"/>
              </w:rPr>
              <w:t>These actions also contribute directly to the ITU-led Green Digital Action (GDA) agenda, which brings the global digital community together to reduce the environmental footprint of ICTs and accelerate climate and circular solutions.</w:t>
            </w:r>
          </w:p>
          <w:p w14:paraId="1A3BC359" w14:textId="70588BB3" w:rsidR="00EC426B" w:rsidRPr="00146B83" w:rsidRDefault="00FB5101" w:rsidP="00146B83">
            <w:pPr>
              <w:tabs>
                <w:tab w:val="clear" w:pos="1134"/>
                <w:tab w:val="left" w:pos="900"/>
              </w:tabs>
              <w:rPr>
                <w:rFonts w:eastAsia="Batang" w:cs="Calibri"/>
                <w:sz w:val="22"/>
                <w:szCs w:val="22"/>
                <w:lang w:val="en-US" w:eastAsia="ko-KR"/>
              </w:rPr>
            </w:pPr>
            <w:r w:rsidRPr="00146B83">
              <w:rPr>
                <w:rFonts w:ascii="Calibri" w:hAnsi="Calibri"/>
                <w:sz w:val="22"/>
                <w:szCs w:val="22"/>
              </w:rPr>
              <w:t>5</w:t>
            </w:r>
            <w:r w:rsidR="00EC426B" w:rsidRPr="00146B83">
              <w:rPr>
                <w:sz w:val="22"/>
                <w:szCs w:val="22"/>
              </w:rPr>
              <w:tab/>
            </w:r>
            <w:r w:rsidRPr="00146B83">
              <w:rPr>
                <w:rFonts w:eastAsia="Batang" w:cs="Calibri"/>
                <w:sz w:val="22"/>
                <w:szCs w:val="22"/>
                <w:lang w:val="en-US" w:eastAsia="ko-KR"/>
              </w:rPr>
              <w:t>The workshop will bring together policymakers, regulators, industry representatives, producer responsibility organizations, recyclers, international bodies, development partners, civil society, and researchers working on e-waste, circular economy, and sustainability. Participation</w:t>
            </w:r>
            <w:r w:rsidR="00DC7387">
              <w:rPr>
                <w:rFonts w:eastAsia="Batang" w:cs="Calibri"/>
                <w:sz w:val="22"/>
                <w:szCs w:val="22"/>
                <w:lang w:val="en-US" w:eastAsia="ko-KR"/>
              </w:rPr>
              <w:t xml:space="preserve"> in the workshop is free of charge and</w:t>
            </w:r>
            <w:r w:rsidRPr="00146B83">
              <w:rPr>
                <w:rFonts w:eastAsia="Batang" w:cs="Calibri"/>
                <w:sz w:val="22"/>
                <w:szCs w:val="22"/>
                <w:lang w:val="en-US" w:eastAsia="ko-KR"/>
              </w:rPr>
              <w:t xml:space="preserve"> is open</w:t>
            </w:r>
            <w:r w:rsidR="00C62FCF">
              <w:rPr>
                <w:rFonts w:eastAsia="Batang" w:cs="Calibri"/>
                <w:sz w:val="22"/>
                <w:szCs w:val="22"/>
                <w:lang w:val="en-US" w:eastAsia="ko-KR"/>
              </w:rPr>
              <w:t xml:space="preserve"> to</w:t>
            </w:r>
            <w:r w:rsidRPr="00146B83">
              <w:rPr>
                <w:rFonts w:eastAsia="Batang" w:cs="Calibri"/>
                <w:sz w:val="22"/>
                <w:szCs w:val="22"/>
                <w:lang w:val="en-US" w:eastAsia="ko-KR"/>
              </w:rPr>
              <w:t xml:space="preserve"> ITU Member States, Sector Members, Associates, Academia, and any interested individuals, including members of international, regional, or national organizations. </w:t>
            </w:r>
            <w:r w:rsidR="00D3538A" w:rsidRPr="00146B83">
              <w:rPr>
                <w:rFonts w:eastAsia="Batang" w:cs="Calibri"/>
                <w:sz w:val="22"/>
                <w:szCs w:val="22"/>
                <w:lang w:eastAsia="ko-KR"/>
              </w:rPr>
              <w:t>The workshop will be held in English and Spanish, with simultaneous interpretation provided.</w:t>
            </w:r>
          </w:p>
          <w:p w14:paraId="01C1F0B2" w14:textId="40C9E48F" w:rsidR="00EC426B" w:rsidRPr="00146B83" w:rsidRDefault="00FB5101" w:rsidP="00146B83">
            <w:pPr>
              <w:tabs>
                <w:tab w:val="clear" w:pos="1134"/>
                <w:tab w:val="left" w:pos="900"/>
              </w:tabs>
              <w:rPr>
                <w:rStyle w:val="eop"/>
                <w:sz w:val="22"/>
                <w:szCs w:val="22"/>
              </w:rPr>
            </w:pPr>
            <w:r w:rsidRPr="00146B83">
              <w:rPr>
                <w:sz w:val="22"/>
                <w:szCs w:val="22"/>
              </w:rPr>
              <w:lastRenderedPageBreak/>
              <w:t>6</w:t>
            </w:r>
            <w:r w:rsidR="00EC426B" w:rsidRPr="00146B83">
              <w:rPr>
                <w:sz w:val="22"/>
                <w:szCs w:val="22"/>
              </w:rPr>
              <w:tab/>
            </w:r>
            <w:r w:rsidR="00EC426B" w:rsidRPr="00146B83">
              <w:rPr>
                <w:rStyle w:val="normaltextrun"/>
                <w:rFonts w:ascii="Calibri" w:eastAsiaTheme="majorEastAsia" w:hAnsi="Calibri" w:cs="Calibri"/>
                <w:color w:val="000000"/>
                <w:sz w:val="22"/>
                <w:szCs w:val="22"/>
                <w:shd w:val="clear" w:color="auto" w:fill="FFFFFF"/>
              </w:rPr>
              <w:t xml:space="preserve">All relevant information pertaining to </w:t>
            </w:r>
            <w:r w:rsidR="004153C0" w:rsidRPr="00146B83">
              <w:rPr>
                <w:rStyle w:val="normaltextrun"/>
                <w:rFonts w:ascii="Calibri" w:eastAsiaTheme="majorEastAsia" w:hAnsi="Calibri" w:cs="Calibri"/>
                <w:color w:val="000000"/>
                <w:sz w:val="22"/>
                <w:szCs w:val="22"/>
                <w:shd w:val="clear" w:color="auto" w:fill="FFFFFF"/>
              </w:rPr>
              <w:t xml:space="preserve">the </w:t>
            </w:r>
            <w:r w:rsidR="00EC426B" w:rsidRPr="00146B83">
              <w:rPr>
                <w:rStyle w:val="normaltextrun"/>
                <w:rFonts w:ascii="Calibri" w:eastAsiaTheme="majorEastAsia" w:hAnsi="Calibri" w:cs="Calibri"/>
                <w:color w:val="000000"/>
                <w:sz w:val="22"/>
                <w:szCs w:val="22"/>
                <w:shd w:val="clear" w:color="auto" w:fill="FFFFFF"/>
              </w:rPr>
              <w:t>event</w:t>
            </w:r>
            <w:r w:rsidR="004153C0" w:rsidRPr="00146B83">
              <w:rPr>
                <w:rStyle w:val="normaltextrun"/>
                <w:rFonts w:ascii="Calibri" w:eastAsiaTheme="majorEastAsia" w:hAnsi="Calibri" w:cs="Calibri"/>
                <w:color w:val="000000"/>
                <w:sz w:val="22"/>
                <w:szCs w:val="22"/>
                <w:shd w:val="clear" w:color="auto" w:fill="FFFFFF"/>
              </w:rPr>
              <w:t xml:space="preserve"> </w:t>
            </w:r>
            <w:r w:rsidR="00EC426B" w:rsidRPr="00146B83">
              <w:rPr>
                <w:rStyle w:val="normaltextrun"/>
                <w:rFonts w:ascii="Calibri" w:eastAsiaTheme="majorEastAsia" w:hAnsi="Calibri" w:cs="Calibri"/>
                <w:color w:val="000000"/>
                <w:sz w:val="22"/>
                <w:szCs w:val="22"/>
                <w:shd w:val="clear" w:color="auto" w:fill="FFFFFF"/>
              </w:rPr>
              <w:t xml:space="preserve">(e.g., draft programme, list of speakers, registration link) will be made available on the </w:t>
            </w:r>
            <w:r w:rsidR="004153C0" w:rsidRPr="00146B83">
              <w:rPr>
                <w:rStyle w:val="normaltextrun"/>
                <w:rFonts w:ascii="Calibri" w:eastAsiaTheme="majorEastAsia" w:hAnsi="Calibri" w:cs="Calibri"/>
                <w:color w:val="000000"/>
                <w:sz w:val="22"/>
                <w:szCs w:val="22"/>
                <w:shd w:val="clear" w:color="auto" w:fill="FFFFFF"/>
              </w:rPr>
              <w:t xml:space="preserve">main </w:t>
            </w:r>
            <w:r w:rsidR="00EC426B" w:rsidRPr="00146B83">
              <w:rPr>
                <w:rStyle w:val="normaltextrun"/>
                <w:rFonts w:ascii="Calibri" w:eastAsiaTheme="majorEastAsia" w:hAnsi="Calibri" w:cs="Calibri"/>
                <w:color w:val="000000"/>
                <w:sz w:val="22"/>
                <w:szCs w:val="22"/>
                <w:shd w:val="clear" w:color="auto" w:fill="FFFFFF"/>
              </w:rPr>
              <w:t>event web</w:t>
            </w:r>
            <w:r w:rsidR="004153C0" w:rsidRPr="00146B83">
              <w:rPr>
                <w:rStyle w:val="normaltextrun"/>
                <w:rFonts w:ascii="Calibri" w:eastAsiaTheme="majorEastAsia" w:hAnsi="Calibri" w:cs="Calibri"/>
                <w:color w:val="000000"/>
                <w:sz w:val="22"/>
                <w:szCs w:val="22"/>
                <w:shd w:val="clear" w:color="auto" w:fill="FFFFFF"/>
              </w:rPr>
              <w:t>page at:</w:t>
            </w:r>
            <w:r w:rsidRPr="00146B83">
              <w:rPr>
                <w:sz w:val="22"/>
                <w:szCs w:val="22"/>
              </w:rPr>
              <w:t xml:space="preserve"> </w:t>
            </w:r>
            <w:hyperlink r:id="rId13" w:history="1">
              <w:r w:rsidRPr="00146B83">
                <w:rPr>
                  <w:rStyle w:val="Hyperlink"/>
                  <w:sz w:val="22"/>
                  <w:szCs w:val="22"/>
                </w:rPr>
                <w:t>https://www.itu.int/en/ITU-T/Workshops-and-Seminars/2025/1017EW/Pages/default.aspx</w:t>
              </w:r>
            </w:hyperlink>
            <w:r w:rsidRPr="00146B83">
              <w:rPr>
                <w:sz w:val="22"/>
                <w:szCs w:val="22"/>
              </w:rPr>
              <w:t xml:space="preserve">. </w:t>
            </w:r>
            <w:r w:rsidR="00EC426B" w:rsidRPr="00146B83">
              <w:rPr>
                <w:rStyle w:val="normaltextrun"/>
                <w:rFonts w:ascii="Calibri" w:eastAsiaTheme="majorEastAsia" w:hAnsi="Calibri" w:cs="Calibri"/>
                <w:color w:val="000000"/>
                <w:sz w:val="22"/>
                <w:szCs w:val="22"/>
                <w:shd w:val="clear" w:color="auto" w:fill="FFFFFF"/>
              </w:rPr>
              <w:t>The websi</w:t>
            </w:r>
            <w:r w:rsidR="004153C0" w:rsidRPr="00146B83">
              <w:rPr>
                <w:rStyle w:val="normaltextrun"/>
                <w:rFonts w:ascii="Calibri" w:eastAsiaTheme="majorEastAsia" w:hAnsi="Calibri" w:cs="Calibri"/>
                <w:color w:val="000000"/>
                <w:sz w:val="22"/>
                <w:szCs w:val="22"/>
                <w:shd w:val="clear" w:color="auto" w:fill="FFFFFF"/>
              </w:rPr>
              <w:t>te</w:t>
            </w:r>
            <w:r w:rsidR="00EC426B" w:rsidRPr="00146B83">
              <w:rPr>
                <w:rStyle w:val="normaltextrun"/>
                <w:rFonts w:ascii="Calibri" w:eastAsiaTheme="majorEastAsia" w:hAnsi="Calibri" w:cs="Calibri"/>
                <w:color w:val="000000"/>
                <w:sz w:val="22"/>
                <w:szCs w:val="22"/>
                <w:shd w:val="clear" w:color="auto" w:fill="FFFFFF"/>
              </w:rPr>
              <w:t xml:space="preserve"> will be updated regularly as new or modified information becomes available</w:t>
            </w:r>
            <w:r w:rsidR="00DC7387">
              <w:rPr>
                <w:rStyle w:val="normaltextrun"/>
                <w:rFonts w:ascii="Calibri" w:eastAsiaTheme="majorEastAsia" w:hAnsi="Calibri" w:cs="Calibri"/>
                <w:color w:val="000000"/>
                <w:sz w:val="22"/>
                <w:szCs w:val="22"/>
                <w:shd w:val="clear" w:color="auto" w:fill="FFFFFF"/>
              </w:rPr>
              <w:t xml:space="preserve"> and participants</w:t>
            </w:r>
            <w:r w:rsidR="00EC426B" w:rsidRPr="00146B83">
              <w:rPr>
                <w:rStyle w:val="normaltextrun"/>
                <w:rFonts w:ascii="Calibri" w:eastAsiaTheme="majorEastAsia" w:hAnsi="Calibri" w:cs="Calibri"/>
                <w:color w:val="000000"/>
                <w:sz w:val="22"/>
                <w:szCs w:val="22"/>
                <w:shd w:val="clear" w:color="auto" w:fill="FFFFFF"/>
              </w:rPr>
              <w:t xml:space="preserve"> are encouraged to check periodically for the latest</w:t>
            </w:r>
            <w:r w:rsidR="00DC7387">
              <w:rPr>
                <w:rStyle w:val="normaltextrun"/>
                <w:rFonts w:ascii="Calibri" w:eastAsiaTheme="majorEastAsia" w:hAnsi="Calibri" w:cs="Calibri"/>
                <w:color w:val="000000"/>
                <w:sz w:val="22"/>
                <w:szCs w:val="22"/>
                <w:shd w:val="clear" w:color="auto" w:fill="FFFFFF"/>
              </w:rPr>
              <w:t xml:space="preserve"> information</w:t>
            </w:r>
            <w:r w:rsidR="00EC426B" w:rsidRPr="00146B83">
              <w:rPr>
                <w:rStyle w:val="normaltextrun"/>
                <w:rFonts w:ascii="Calibri" w:eastAsiaTheme="majorEastAsia" w:hAnsi="Calibri" w:cs="Calibri"/>
                <w:color w:val="000000"/>
                <w:sz w:val="22"/>
                <w:szCs w:val="22"/>
                <w:shd w:val="clear" w:color="auto" w:fill="FFFFFF"/>
              </w:rPr>
              <w:t>.</w:t>
            </w:r>
          </w:p>
          <w:p w14:paraId="71C79339" w14:textId="515DDDBD" w:rsidR="00EC426B" w:rsidRPr="00146B83" w:rsidRDefault="00FB5101" w:rsidP="00146B83">
            <w:pPr>
              <w:tabs>
                <w:tab w:val="clear" w:pos="1134"/>
                <w:tab w:val="left" w:pos="900"/>
              </w:tabs>
              <w:rPr>
                <w:sz w:val="22"/>
                <w:szCs w:val="22"/>
              </w:rPr>
            </w:pPr>
            <w:r w:rsidRPr="00146B83">
              <w:rPr>
                <w:sz w:val="22"/>
                <w:szCs w:val="22"/>
              </w:rPr>
              <w:t>7</w:t>
            </w:r>
            <w:r w:rsidR="00EC426B" w:rsidRPr="00146B83">
              <w:rPr>
                <w:sz w:val="22"/>
                <w:szCs w:val="22"/>
              </w:rPr>
              <w:tab/>
            </w:r>
            <w:r w:rsidR="00EC426B" w:rsidRPr="00146B83">
              <w:rPr>
                <w:rFonts w:cs="Calibri"/>
                <w:sz w:val="22"/>
                <w:szCs w:val="22"/>
              </w:rPr>
              <w:t>To enable TSB to make the necessary arrangements concerning the organization of the workshop, I</w:t>
            </w:r>
            <w:r w:rsidR="00DC7387">
              <w:rPr>
                <w:rFonts w:cs="Calibri"/>
                <w:sz w:val="22"/>
                <w:szCs w:val="22"/>
              </w:rPr>
              <w:t xml:space="preserve"> would</w:t>
            </w:r>
            <w:r w:rsidR="00EC426B" w:rsidRPr="00146B83">
              <w:rPr>
                <w:rFonts w:cs="Calibri"/>
                <w:sz w:val="22"/>
                <w:szCs w:val="22"/>
              </w:rPr>
              <w:t xml:space="preserve"> be grateful if you </w:t>
            </w:r>
            <w:r w:rsidR="00DC7387">
              <w:rPr>
                <w:rFonts w:cs="Calibri"/>
                <w:sz w:val="22"/>
                <w:szCs w:val="22"/>
              </w:rPr>
              <w:t xml:space="preserve">could </w:t>
            </w:r>
            <w:r w:rsidR="00EC426B" w:rsidRPr="00146B83">
              <w:rPr>
                <w:rFonts w:cs="Calibri"/>
                <w:sz w:val="22"/>
                <w:szCs w:val="22"/>
              </w:rPr>
              <w:t xml:space="preserve">register as soon as possible at: </w:t>
            </w:r>
            <w:r w:rsidR="004153C0" w:rsidRPr="00146B83">
              <w:rPr>
                <w:rFonts w:cs="Calibri"/>
                <w:sz w:val="22"/>
                <w:szCs w:val="22"/>
              </w:rPr>
              <w:br/>
            </w:r>
            <w:hyperlink r:id="rId14" w:history="1">
              <w:r w:rsidR="00146B83" w:rsidRPr="00146B83">
                <w:rPr>
                  <w:rStyle w:val="Hyperlink"/>
                  <w:sz w:val="22"/>
                  <w:szCs w:val="22"/>
                </w:rPr>
                <w:t>https://www.itu.int/net/CRM/js/sr/C-00015853</w:t>
              </w:r>
            </w:hyperlink>
            <w:r w:rsidRPr="00146B83">
              <w:rPr>
                <w:sz w:val="22"/>
                <w:szCs w:val="22"/>
              </w:rPr>
              <w:t xml:space="preserve">. </w:t>
            </w:r>
            <w:r w:rsidR="00EC426B" w:rsidRPr="00146B83">
              <w:rPr>
                <w:rFonts w:cs="Calibri"/>
                <w:b/>
                <w:bCs/>
                <w:sz w:val="22"/>
                <w:szCs w:val="22"/>
              </w:rPr>
              <w:t>Please note that pre-registration of participants for the workshop</w:t>
            </w:r>
            <w:r w:rsidR="00DC7387">
              <w:rPr>
                <w:rFonts w:cs="Calibri"/>
                <w:b/>
                <w:bCs/>
                <w:sz w:val="22"/>
                <w:szCs w:val="22"/>
              </w:rPr>
              <w:t xml:space="preserve"> is mandatory and</w:t>
            </w:r>
            <w:r w:rsidR="00EC426B" w:rsidRPr="00146B83">
              <w:rPr>
                <w:rFonts w:cs="Calibri"/>
                <w:b/>
                <w:bCs/>
                <w:sz w:val="22"/>
                <w:szCs w:val="22"/>
              </w:rPr>
              <w:t xml:space="preserve"> is carried out exclusively online.</w:t>
            </w:r>
          </w:p>
          <w:p w14:paraId="1067D9A0" w14:textId="7A556829" w:rsidR="00EC426B" w:rsidRPr="00146B83" w:rsidRDefault="00EC426B" w:rsidP="00146B83">
            <w:pPr>
              <w:tabs>
                <w:tab w:val="clear" w:pos="1134"/>
                <w:tab w:val="left" w:pos="900"/>
              </w:tabs>
              <w:rPr>
                <w:sz w:val="22"/>
                <w:szCs w:val="22"/>
              </w:rPr>
            </w:pPr>
            <w:r w:rsidRPr="00146B83">
              <w:rPr>
                <w:sz w:val="22"/>
                <w:szCs w:val="22"/>
              </w:rPr>
              <w:t>Yours faithfully</w:t>
            </w:r>
            <w:r w:rsidR="00146B83" w:rsidRPr="00146B83">
              <w:rPr>
                <w:sz w:val="22"/>
                <w:szCs w:val="22"/>
              </w:rPr>
              <w:t>,</w:t>
            </w:r>
          </w:p>
          <w:p w14:paraId="6C448CBD" w14:textId="4417D5E2" w:rsidR="00EC426B" w:rsidRPr="00964D64" w:rsidRDefault="00146B83" w:rsidP="00146B83">
            <w:pPr>
              <w:tabs>
                <w:tab w:val="clear" w:pos="1134"/>
                <w:tab w:val="clear" w:pos="1871"/>
                <w:tab w:val="clear" w:pos="2268"/>
                <w:tab w:val="left" w:pos="900"/>
                <w:tab w:val="left" w:pos="5355"/>
              </w:tabs>
              <w:spacing w:before="720"/>
              <w:rPr>
                <w:sz w:val="22"/>
                <w:szCs w:val="22"/>
              </w:rPr>
            </w:pPr>
            <w:r w:rsidRPr="00146B83">
              <w:rPr>
                <w:noProof/>
                <w:sz w:val="22"/>
                <w:szCs w:val="22"/>
              </w:rPr>
              <w:drawing>
                <wp:anchor distT="0" distB="0" distL="114300" distR="114300" simplePos="0" relativeHeight="251659264" behindDoc="0" locked="0" layoutInCell="1" allowOverlap="1" wp14:anchorId="742AF3C2" wp14:editId="6175060F">
                  <wp:simplePos x="0" y="0"/>
                  <wp:positionH relativeFrom="column">
                    <wp:posOffset>-803</wp:posOffset>
                  </wp:positionH>
                  <wp:positionV relativeFrom="paragraph">
                    <wp:posOffset>122555</wp:posOffset>
                  </wp:positionV>
                  <wp:extent cx="660859" cy="279156"/>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660859" cy="279156"/>
                          </a:xfrm>
                          <a:prstGeom prst="rect">
                            <a:avLst/>
                          </a:prstGeom>
                        </pic:spPr>
                      </pic:pic>
                    </a:graphicData>
                  </a:graphic>
                  <wp14:sizeRelH relativeFrom="margin">
                    <wp14:pctWidth>0</wp14:pctWidth>
                  </wp14:sizeRelH>
                  <wp14:sizeRelV relativeFrom="margin">
                    <wp14:pctHeight>0</wp14:pctHeight>
                  </wp14:sizeRelV>
                </wp:anchor>
              </w:drawing>
            </w:r>
            <w:r w:rsidR="00EC426B" w:rsidRPr="00146B83">
              <w:rPr>
                <w:sz w:val="22"/>
                <w:szCs w:val="22"/>
              </w:rPr>
              <w:t>Seizo Onoe</w:t>
            </w:r>
            <w:r w:rsidR="00EC426B" w:rsidRPr="00146B83">
              <w:rPr>
                <w:sz w:val="22"/>
                <w:szCs w:val="22"/>
              </w:rPr>
              <w:br/>
            </w:r>
            <w:r w:rsidR="00EC426B" w:rsidRPr="00964D64">
              <w:rPr>
                <w:sz w:val="22"/>
                <w:szCs w:val="22"/>
              </w:rPr>
              <w:t>Director of the Telecommunication</w:t>
            </w:r>
            <w:r w:rsidR="00EC426B" w:rsidRPr="00964D64">
              <w:rPr>
                <w:sz w:val="22"/>
                <w:szCs w:val="22"/>
              </w:rPr>
              <w:br/>
              <w:t>Standardization Bureau</w:t>
            </w:r>
          </w:p>
        </w:tc>
      </w:tr>
    </w:tbl>
    <w:p w14:paraId="20C2AC01" w14:textId="4F6EAB13" w:rsidR="005D2B53" w:rsidRPr="00BC70C5" w:rsidRDefault="005D2B53" w:rsidP="00EC426B">
      <w:pPr>
        <w:pStyle w:val="Normalaftertitle0"/>
        <w:spacing w:before="0"/>
        <w:rPr>
          <w:sz w:val="22"/>
          <w:szCs w:val="22"/>
        </w:rPr>
      </w:pPr>
      <w:bookmarkStart w:id="3" w:name="StartTyping_E"/>
      <w:bookmarkEnd w:id="3"/>
    </w:p>
    <w:sectPr w:rsidR="005D2B53" w:rsidRPr="00BC70C5" w:rsidSect="00146B83">
      <w:headerReference w:type="default" r:id="rId16"/>
      <w:footerReference w:type="first" r:id="rId17"/>
      <w:type w:val="oddPage"/>
      <w:pgSz w:w="11907" w:h="16834" w:code="9"/>
      <w:pgMar w:top="316" w:right="1089" w:bottom="567" w:left="1089" w:header="567" w:footer="34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17F4" w14:textId="77777777" w:rsidR="00C45ECB" w:rsidRDefault="00C45ECB">
      <w:r>
        <w:separator/>
      </w:r>
    </w:p>
  </w:endnote>
  <w:endnote w:type="continuationSeparator" w:id="0">
    <w:p w14:paraId="59F21DF9" w14:textId="77777777" w:rsidR="00C45ECB" w:rsidRDefault="00C45ECB">
      <w:r>
        <w:continuationSeparator/>
      </w:r>
    </w:p>
  </w:endnote>
  <w:endnote w:type="continuationNotice" w:id="1">
    <w:p w14:paraId="7059F8EB" w14:textId="77777777" w:rsidR="00C45ECB" w:rsidRDefault="00C45E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146B83">
    <w:pPr>
      <w:tabs>
        <w:tab w:val="left" w:pos="5954"/>
        <w:tab w:val="right" w:pos="9639"/>
      </w:tabs>
      <w:spacing w:before="0"/>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B0FB" w14:textId="77777777" w:rsidR="00C45ECB" w:rsidRDefault="00C45ECB">
      <w:r>
        <w:t>____________________</w:t>
      </w:r>
    </w:p>
  </w:footnote>
  <w:footnote w:type="continuationSeparator" w:id="0">
    <w:p w14:paraId="1F670D12" w14:textId="77777777" w:rsidR="00C45ECB" w:rsidRDefault="00C45ECB">
      <w:r>
        <w:continuationSeparator/>
      </w:r>
    </w:p>
  </w:footnote>
  <w:footnote w:type="continuationNotice" w:id="1">
    <w:p w14:paraId="2B062EB3" w14:textId="77777777" w:rsidR="00C45ECB" w:rsidRDefault="00C45EC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CB1" w14:textId="13C8A322" w:rsidR="2D4A7700" w:rsidRDefault="2D4A7700" w:rsidP="2D4A7700">
    <w:pPr>
      <w:pStyle w:val="Header"/>
      <w:spacing w:after="240"/>
      <w:rPr>
        <w:rStyle w:val="PageNumber"/>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44693F3A" w:rsidRPr="44693F3A">
      <w:rPr>
        <w:rStyle w:val="PageNumber"/>
      </w:rPr>
      <w:t xml:space="preserve"> -</w:t>
    </w:r>
    <w:r w:rsidR="44693F3A">
      <w:br/>
    </w:r>
    <w:r w:rsidR="44693F3A" w:rsidRPr="44693F3A">
      <w:rPr>
        <w:rStyle w:val="PageNumber"/>
      </w:rPr>
      <w:t xml:space="preserve">TSB Circular </w:t>
    </w:r>
    <w:r w:rsidR="00964D64">
      <w:rPr>
        <w:rStyle w:val="PageNumber"/>
      </w:rPr>
      <w:t>07</w:t>
    </w:r>
    <w:r w:rsidR="00AA0096">
      <w:rPr>
        <w:rStyle w:val="PageNumber"/>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EC"/>
    <w:multiLevelType w:val="hybridMultilevel"/>
    <w:tmpl w:val="1EB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A59"/>
    <w:multiLevelType w:val="hybridMultilevel"/>
    <w:tmpl w:val="803AA6A2"/>
    <w:lvl w:ilvl="0" w:tplc="DD3CF870">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3E1"/>
    <w:multiLevelType w:val="hybridMultilevel"/>
    <w:tmpl w:val="734CC1B8"/>
    <w:lvl w:ilvl="0" w:tplc="CE30B150">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7106BF"/>
    <w:multiLevelType w:val="hybridMultilevel"/>
    <w:tmpl w:val="E0C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0C90"/>
    <w:multiLevelType w:val="hybridMultilevel"/>
    <w:tmpl w:val="5B0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1182E"/>
    <w:multiLevelType w:val="hybridMultilevel"/>
    <w:tmpl w:val="1564FC9E"/>
    <w:lvl w:ilvl="0" w:tplc="0E5AEE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34383"/>
    <w:multiLevelType w:val="hybridMultilevel"/>
    <w:tmpl w:val="DCF2EC58"/>
    <w:lvl w:ilvl="0" w:tplc="CE30B15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 w15:restartNumberingAfterBreak="0">
    <w:nsid w:val="58F33C78"/>
    <w:multiLevelType w:val="hybridMultilevel"/>
    <w:tmpl w:val="379CD5B6"/>
    <w:lvl w:ilvl="0" w:tplc="A9965C94">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70CA44B1"/>
    <w:multiLevelType w:val="hybridMultilevel"/>
    <w:tmpl w:val="BE66CA20"/>
    <w:lvl w:ilvl="0" w:tplc="38A80AD2">
      <w:numFmt w:val="bullet"/>
      <w:lvlText w:val="–"/>
      <w:lvlJc w:val="left"/>
      <w:pPr>
        <w:ind w:left="1080" w:hanging="360"/>
      </w:pPr>
      <w:rPr>
        <w:rFonts w:ascii="Calibri" w:eastAsiaTheme="majorEastAsia" w:hAnsi="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9"/>
  </w:num>
  <w:num w:numId="2" w16cid:durableId="923687538">
    <w:abstractNumId w:val="2"/>
  </w:num>
  <w:num w:numId="3" w16cid:durableId="209851215">
    <w:abstractNumId w:val="1"/>
  </w:num>
  <w:num w:numId="4" w16cid:durableId="58482928">
    <w:abstractNumId w:val="13"/>
  </w:num>
  <w:num w:numId="5" w16cid:durableId="854421312">
    <w:abstractNumId w:val="15"/>
  </w:num>
  <w:num w:numId="6" w16cid:durableId="1241595101">
    <w:abstractNumId w:val="16"/>
  </w:num>
  <w:num w:numId="7" w16cid:durableId="596519101">
    <w:abstractNumId w:val="20"/>
  </w:num>
  <w:num w:numId="8" w16cid:durableId="637339870">
    <w:abstractNumId w:val="6"/>
  </w:num>
  <w:num w:numId="9" w16cid:durableId="1563982669">
    <w:abstractNumId w:val="11"/>
  </w:num>
  <w:num w:numId="10" w16cid:durableId="510216815">
    <w:abstractNumId w:val="22"/>
  </w:num>
  <w:num w:numId="11" w16cid:durableId="1017656960">
    <w:abstractNumId w:val="10"/>
  </w:num>
  <w:num w:numId="12" w16cid:durableId="2141683595">
    <w:abstractNumId w:val="18"/>
  </w:num>
  <w:num w:numId="13" w16cid:durableId="1566138403">
    <w:abstractNumId w:val="21"/>
  </w:num>
  <w:num w:numId="14" w16cid:durableId="875773493">
    <w:abstractNumId w:val="7"/>
  </w:num>
  <w:num w:numId="15" w16cid:durableId="739133960">
    <w:abstractNumId w:val="12"/>
  </w:num>
  <w:num w:numId="16" w16cid:durableId="1726950850">
    <w:abstractNumId w:val="4"/>
  </w:num>
  <w:num w:numId="17" w16cid:durableId="60031751">
    <w:abstractNumId w:val="19"/>
  </w:num>
  <w:num w:numId="18" w16cid:durableId="1765222625">
    <w:abstractNumId w:val="0"/>
  </w:num>
  <w:num w:numId="19" w16cid:durableId="962467961">
    <w:abstractNumId w:val="8"/>
  </w:num>
  <w:num w:numId="20" w16cid:durableId="1545747832">
    <w:abstractNumId w:val="14"/>
  </w:num>
  <w:num w:numId="21" w16cid:durableId="2085713003">
    <w:abstractNumId w:val="3"/>
  </w:num>
  <w:num w:numId="22" w16cid:durableId="636839988">
    <w:abstractNumId w:val="17"/>
  </w:num>
  <w:num w:numId="23" w16cid:durableId="316038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335E"/>
    <w:rsid w:val="00005959"/>
    <w:rsid w:val="00005AA9"/>
    <w:rsid w:val="0000612C"/>
    <w:rsid w:val="000069D4"/>
    <w:rsid w:val="00011424"/>
    <w:rsid w:val="00015F65"/>
    <w:rsid w:val="000174AD"/>
    <w:rsid w:val="00022725"/>
    <w:rsid w:val="00023277"/>
    <w:rsid w:val="00025CDC"/>
    <w:rsid w:val="00027F69"/>
    <w:rsid w:val="00034325"/>
    <w:rsid w:val="00037236"/>
    <w:rsid w:val="0004219C"/>
    <w:rsid w:val="00047042"/>
    <w:rsid w:val="0006205F"/>
    <w:rsid w:val="00062924"/>
    <w:rsid w:val="00062E8C"/>
    <w:rsid w:val="00066D0D"/>
    <w:rsid w:val="00066EB9"/>
    <w:rsid w:val="00071E10"/>
    <w:rsid w:val="00075011"/>
    <w:rsid w:val="00075F9D"/>
    <w:rsid w:val="00076775"/>
    <w:rsid w:val="0009097B"/>
    <w:rsid w:val="00093775"/>
    <w:rsid w:val="000A0C60"/>
    <w:rsid w:val="000A3261"/>
    <w:rsid w:val="000A6F5D"/>
    <w:rsid w:val="000A7D55"/>
    <w:rsid w:val="000B2A49"/>
    <w:rsid w:val="000C2C81"/>
    <w:rsid w:val="000C2E8E"/>
    <w:rsid w:val="000C7BFA"/>
    <w:rsid w:val="000D03EA"/>
    <w:rsid w:val="000D49FB"/>
    <w:rsid w:val="000D77A5"/>
    <w:rsid w:val="000D7D4D"/>
    <w:rsid w:val="000E0E7C"/>
    <w:rsid w:val="000E30A9"/>
    <w:rsid w:val="000E7AED"/>
    <w:rsid w:val="000F1B4B"/>
    <w:rsid w:val="00103503"/>
    <w:rsid w:val="00103631"/>
    <w:rsid w:val="00107235"/>
    <w:rsid w:val="00110436"/>
    <w:rsid w:val="001118F1"/>
    <w:rsid w:val="00115E69"/>
    <w:rsid w:val="00122D83"/>
    <w:rsid w:val="00122EBE"/>
    <w:rsid w:val="00125818"/>
    <w:rsid w:val="0012744F"/>
    <w:rsid w:val="00130639"/>
    <w:rsid w:val="00130837"/>
    <w:rsid w:val="0013103F"/>
    <w:rsid w:val="001318A7"/>
    <w:rsid w:val="0013316F"/>
    <w:rsid w:val="00140E18"/>
    <w:rsid w:val="00141285"/>
    <w:rsid w:val="0014147B"/>
    <w:rsid w:val="0014328B"/>
    <w:rsid w:val="00144EF5"/>
    <w:rsid w:val="00145EB0"/>
    <w:rsid w:val="00146B83"/>
    <w:rsid w:val="00147901"/>
    <w:rsid w:val="0015057B"/>
    <w:rsid w:val="00153664"/>
    <w:rsid w:val="00154124"/>
    <w:rsid w:val="00156DFF"/>
    <w:rsid w:val="00156F66"/>
    <w:rsid w:val="0015780B"/>
    <w:rsid w:val="0016384C"/>
    <w:rsid w:val="00163C5E"/>
    <w:rsid w:val="00164B7E"/>
    <w:rsid w:val="0018116D"/>
    <w:rsid w:val="00181E3B"/>
    <w:rsid w:val="00182528"/>
    <w:rsid w:val="0018500B"/>
    <w:rsid w:val="001866E7"/>
    <w:rsid w:val="00196103"/>
    <w:rsid w:val="00196A19"/>
    <w:rsid w:val="001A2A59"/>
    <w:rsid w:val="001A4576"/>
    <w:rsid w:val="001A4B51"/>
    <w:rsid w:val="001A7566"/>
    <w:rsid w:val="001A7EB4"/>
    <w:rsid w:val="001B0C13"/>
    <w:rsid w:val="001B1042"/>
    <w:rsid w:val="001B5B16"/>
    <w:rsid w:val="001C1DD9"/>
    <w:rsid w:val="001C3018"/>
    <w:rsid w:val="001C46B1"/>
    <w:rsid w:val="001C654F"/>
    <w:rsid w:val="001C6B1D"/>
    <w:rsid w:val="001C77FD"/>
    <w:rsid w:val="001D1A9B"/>
    <w:rsid w:val="001D1C12"/>
    <w:rsid w:val="001E1011"/>
    <w:rsid w:val="001F127B"/>
    <w:rsid w:val="001F1582"/>
    <w:rsid w:val="001F539B"/>
    <w:rsid w:val="001F7DAF"/>
    <w:rsid w:val="00202198"/>
    <w:rsid w:val="00202DC1"/>
    <w:rsid w:val="002116EE"/>
    <w:rsid w:val="0021209C"/>
    <w:rsid w:val="00215229"/>
    <w:rsid w:val="00221C12"/>
    <w:rsid w:val="00222D56"/>
    <w:rsid w:val="002272D0"/>
    <w:rsid w:val="002306CD"/>
    <w:rsid w:val="002309D8"/>
    <w:rsid w:val="00230B51"/>
    <w:rsid w:val="002321AA"/>
    <w:rsid w:val="00233492"/>
    <w:rsid w:val="00235FA1"/>
    <w:rsid w:val="0024075D"/>
    <w:rsid w:val="0024314F"/>
    <w:rsid w:val="0024761A"/>
    <w:rsid w:val="00261C04"/>
    <w:rsid w:val="00263509"/>
    <w:rsid w:val="00264654"/>
    <w:rsid w:val="0026567E"/>
    <w:rsid w:val="002909F9"/>
    <w:rsid w:val="002913A2"/>
    <w:rsid w:val="00291542"/>
    <w:rsid w:val="002A19F3"/>
    <w:rsid w:val="002A1FFE"/>
    <w:rsid w:val="002A7FE2"/>
    <w:rsid w:val="002B5F0C"/>
    <w:rsid w:val="002B7445"/>
    <w:rsid w:val="002D12ED"/>
    <w:rsid w:val="002D13CC"/>
    <w:rsid w:val="002D693F"/>
    <w:rsid w:val="002E015E"/>
    <w:rsid w:val="002E1B4F"/>
    <w:rsid w:val="002F0043"/>
    <w:rsid w:val="002F2DCC"/>
    <w:rsid w:val="002F2E67"/>
    <w:rsid w:val="002F3D32"/>
    <w:rsid w:val="002F4914"/>
    <w:rsid w:val="002F549A"/>
    <w:rsid w:val="002F59EF"/>
    <w:rsid w:val="002F6A16"/>
    <w:rsid w:val="003047B7"/>
    <w:rsid w:val="003055C9"/>
    <w:rsid w:val="00305761"/>
    <w:rsid w:val="00307BE5"/>
    <w:rsid w:val="0031148E"/>
    <w:rsid w:val="00313042"/>
    <w:rsid w:val="0031444A"/>
    <w:rsid w:val="00315546"/>
    <w:rsid w:val="00323D71"/>
    <w:rsid w:val="003264CE"/>
    <w:rsid w:val="00330567"/>
    <w:rsid w:val="003327D6"/>
    <w:rsid w:val="00332E9D"/>
    <w:rsid w:val="0033332B"/>
    <w:rsid w:val="00333C59"/>
    <w:rsid w:val="0033475A"/>
    <w:rsid w:val="00344BEA"/>
    <w:rsid w:val="00347AF2"/>
    <w:rsid w:val="00351DA5"/>
    <w:rsid w:val="00355180"/>
    <w:rsid w:val="00355D59"/>
    <w:rsid w:val="003561E1"/>
    <w:rsid w:val="003608B3"/>
    <w:rsid w:val="00364487"/>
    <w:rsid w:val="00364B6A"/>
    <w:rsid w:val="00365CD1"/>
    <w:rsid w:val="00373E27"/>
    <w:rsid w:val="00380FF0"/>
    <w:rsid w:val="0038107A"/>
    <w:rsid w:val="003816DF"/>
    <w:rsid w:val="00381935"/>
    <w:rsid w:val="003824B7"/>
    <w:rsid w:val="00383052"/>
    <w:rsid w:val="00386A9D"/>
    <w:rsid w:val="00391081"/>
    <w:rsid w:val="00397FBE"/>
    <w:rsid w:val="003A09B5"/>
    <w:rsid w:val="003A271B"/>
    <w:rsid w:val="003A6D1E"/>
    <w:rsid w:val="003A7073"/>
    <w:rsid w:val="003B2789"/>
    <w:rsid w:val="003B6B61"/>
    <w:rsid w:val="003C13CE"/>
    <w:rsid w:val="003C39BB"/>
    <w:rsid w:val="003C58BF"/>
    <w:rsid w:val="003D38E3"/>
    <w:rsid w:val="003D7EAD"/>
    <w:rsid w:val="003E2518"/>
    <w:rsid w:val="003E4ABE"/>
    <w:rsid w:val="003E6CFD"/>
    <w:rsid w:val="003F1DE8"/>
    <w:rsid w:val="003F6658"/>
    <w:rsid w:val="00402DE4"/>
    <w:rsid w:val="004153C0"/>
    <w:rsid w:val="00420763"/>
    <w:rsid w:val="0042284C"/>
    <w:rsid w:val="00424D56"/>
    <w:rsid w:val="00426DFF"/>
    <w:rsid w:val="00442983"/>
    <w:rsid w:val="0044618C"/>
    <w:rsid w:val="00447BC4"/>
    <w:rsid w:val="0045016D"/>
    <w:rsid w:val="0045295D"/>
    <w:rsid w:val="00452ECF"/>
    <w:rsid w:val="00456F33"/>
    <w:rsid w:val="004606D4"/>
    <w:rsid w:val="0046208E"/>
    <w:rsid w:val="0046364B"/>
    <w:rsid w:val="0046420A"/>
    <w:rsid w:val="004648D7"/>
    <w:rsid w:val="00474150"/>
    <w:rsid w:val="004850CB"/>
    <w:rsid w:val="004A0ED8"/>
    <w:rsid w:val="004A2393"/>
    <w:rsid w:val="004A3F79"/>
    <w:rsid w:val="004B1EF7"/>
    <w:rsid w:val="004B376A"/>
    <w:rsid w:val="004B3FAD"/>
    <w:rsid w:val="004B4988"/>
    <w:rsid w:val="004C1193"/>
    <w:rsid w:val="004C4F93"/>
    <w:rsid w:val="004D0DCE"/>
    <w:rsid w:val="004D567C"/>
    <w:rsid w:val="004E202F"/>
    <w:rsid w:val="004E22C8"/>
    <w:rsid w:val="004E6972"/>
    <w:rsid w:val="004F1118"/>
    <w:rsid w:val="00501DCA"/>
    <w:rsid w:val="00512FA6"/>
    <w:rsid w:val="00513A47"/>
    <w:rsid w:val="0051688E"/>
    <w:rsid w:val="00521349"/>
    <w:rsid w:val="00521F67"/>
    <w:rsid w:val="00522E5D"/>
    <w:rsid w:val="00526FF8"/>
    <w:rsid w:val="005368B6"/>
    <w:rsid w:val="005408DF"/>
    <w:rsid w:val="00543481"/>
    <w:rsid w:val="00545268"/>
    <w:rsid w:val="005460A3"/>
    <w:rsid w:val="00547214"/>
    <w:rsid w:val="00553DDF"/>
    <w:rsid w:val="00554441"/>
    <w:rsid w:val="0056338C"/>
    <w:rsid w:val="00571130"/>
    <w:rsid w:val="00573344"/>
    <w:rsid w:val="00583F9B"/>
    <w:rsid w:val="00584516"/>
    <w:rsid w:val="00590F1D"/>
    <w:rsid w:val="00592D81"/>
    <w:rsid w:val="00593789"/>
    <w:rsid w:val="005A3191"/>
    <w:rsid w:val="005A3D50"/>
    <w:rsid w:val="005B0F78"/>
    <w:rsid w:val="005B43C6"/>
    <w:rsid w:val="005D2B53"/>
    <w:rsid w:val="005D69FA"/>
    <w:rsid w:val="005D7D3C"/>
    <w:rsid w:val="005E1223"/>
    <w:rsid w:val="005E2B06"/>
    <w:rsid w:val="005E3FF7"/>
    <w:rsid w:val="005E480F"/>
    <w:rsid w:val="005E56AA"/>
    <w:rsid w:val="005E5C10"/>
    <w:rsid w:val="005F0EE4"/>
    <w:rsid w:val="005F19FF"/>
    <w:rsid w:val="005F2C78"/>
    <w:rsid w:val="005F486F"/>
    <w:rsid w:val="005F4EC6"/>
    <w:rsid w:val="00602986"/>
    <w:rsid w:val="00603370"/>
    <w:rsid w:val="006144E4"/>
    <w:rsid w:val="006145B0"/>
    <w:rsid w:val="00615D69"/>
    <w:rsid w:val="00620A64"/>
    <w:rsid w:val="00623AE2"/>
    <w:rsid w:val="00634893"/>
    <w:rsid w:val="00634D6B"/>
    <w:rsid w:val="00640A88"/>
    <w:rsid w:val="00642014"/>
    <w:rsid w:val="00643E20"/>
    <w:rsid w:val="00643EE1"/>
    <w:rsid w:val="00644BB9"/>
    <w:rsid w:val="00644F86"/>
    <w:rsid w:val="00646B43"/>
    <w:rsid w:val="00650299"/>
    <w:rsid w:val="00655FC5"/>
    <w:rsid w:val="00656EA1"/>
    <w:rsid w:val="00657F9C"/>
    <w:rsid w:val="0066579E"/>
    <w:rsid w:val="00665E91"/>
    <w:rsid w:val="006735FA"/>
    <w:rsid w:val="00680A88"/>
    <w:rsid w:val="00687DCE"/>
    <w:rsid w:val="006902B3"/>
    <w:rsid w:val="006A1D7C"/>
    <w:rsid w:val="006A5433"/>
    <w:rsid w:val="006B0395"/>
    <w:rsid w:val="006B1D54"/>
    <w:rsid w:val="006B2080"/>
    <w:rsid w:val="006B4E2F"/>
    <w:rsid w:val="006C07C4"/>
    <w:rsid w:val="006C45DE"/>
    <w:rsid w:val="006D46B9"/>
    <w:rsid w:val="006D4926"/>
    <w:rsid w:val="006D7CEB"/>
    <w:rsid w:val="006E1B78"/>
    <w:rsid w:val="006E337F"/>
    <w:rsid w:val="006E6F42"/>
    <w:rsid w:val="006F3345"/>
    <w:rsid w:val="006F5269"/>
    <w:rsid w:val="00711EC5"/>
    <w:rsid w:val="007167AB"/>
    <w:rsid w:val="00726BE3"/>
    <w:rsid w:val="00727173"/>
    <w:rsid w:val="00730BDC"/>
    <w:rsid w:val="007349C0"/>
    <w:rsid w:val="00737C89"/>
    <w:rsid w:val="0074368B"/>
    <w:rsid w:val="007558C0"/>
    <w:rsid w:val="00755DCD"/>
    <w:rsid w:val="00757AF1"/>
    <w:rsid w:val="007633E9"/>
    <w:rsid w:val="00763B33"/>
    <w:rsid w:val="00766F6B"/>
    <w:rsid w:val="00767230"/>
    <w:rsid w:val="00777A31"/>
    <w:rsid w:val="007844F7"/>
    <w:rsid w:val="007858A0"/>
    <w:rsid w:val="00787A3C"/>
    <w:rsid w:val="00790FB5"/>
    <w:rsid w:val="00797035"/>
    <w:rsid w:val="00797810"/>
    <w:rsid w:val="007A6C7C"/>
    <w:rsid w:val="007A737B"/>
    <w:rsid w:val="007A7AD0"/>
    <w:rsid w:val="007C7926"/>
    <w:rsid w:val="007D0124"/>
    <w:rsid w:val="007D2F64"/>
    <w:rsid w:val="007D537B"/>
    <w:rsid w:val="007D5B99"/>
    <w:rsid w:val="007D76B9"/>
    <w:rsid w:val="007D7EE3"/>
    <w:rsid w:val="007D7FF7"/>
    <w:rsid w:val="007E39A4"/>
    <w:rsid w:val="007E3BC8"/>
    <w:rsid w:val="007F789A"/>
    <w:rsid w:val="007F7962"/>
    <w:rsid w:val="007F79FC"/>
    <w:rsid w:val="008105BD"/>
    <w:rsid w:val="00814F57"/>
    <w:rsid w:val="00822581"/>
    <w:rsid w:val="008230D7"/>
    <w:rsid w:val="008309DD"/>
    <w:rsid w:val="0083227A"/>
    <w:rsid w:val="008372C3"/>
    <w:rsid w:val="008415E7"/>
    <w:rsid w:val="0084644B"/>
    <w:rsid w:val="00851140"/>
    <w:rsid w:val="0085284A"/>
    <w:rsid w:val="0085464A"/>
    <w:rsid w:val="00856120"/>
    <w:rsid w:val="00863180"/>
    <w:rsid w:val="008663E3"/>
    <w:rsid w:val="00866900"/>
    <w:rsid w:val="00870336"/>
    <w:rsid w:val="008710F3"/>
    <w:rsid w:val="00871959"/>
    <w:rsid w:val="00872BF7"/>
    <w:rsid w:val="0087300D"/>
    <w:rsid w:val="00874D8F"/>
    <w:rsid w:val="008751FF"/>
    <w:rsid w:val="00877242"/>
    <w:rsid w:val="00880D81"/>
    <w:rsid w:val="00881BA1"/>
    <w:rsid w:val="008820D0"/>
    <w:rsid w:val="0088403A"/>
    <w:rsid w:val="008A0A55"/>
    <w:rsid w:val="008A0BAA"/>
    <w:rsid w:val="008A61EA"/>
    <w:rsid w:val="008A739C"/>
    <w:rsid w:val="008B1C94"/>
    <w:rsid w:val="008B2A3A"/>
    <w:rsid w:val="008B714F"/>
    <w:rsid w:val="008C26B8"/>
    <w:rsid w:val="008C2B62"/>
    <w:rsid w:val="008D3799"/>
    <w:rsid w:val="008D4B4C"/>
    <w:rsid w:val="008E0F5A"/>
    <w:rsid w:val="008E28D9"/>
    <w:rsid w:val="008E32D1"/>
    <w:rsid w:val="008E3578"/>
    <w:rsid w:val="008F1CFE"/>
    <w:rsid w:val="008F39FA"/>
    <w:rsid w:val="00905A46"/>
    <w:rsid w:val="00915157"/>
    <w:rsid w:val="00915429"/>
    <w:rsid w:val="00915592"/>
    <w:rsid w:val="00915C9B"/>
    <w:rsid w:val="00917FF3"/>
    <w:rsid w:val="009252B8"/>
    <w:rsid w:val="009273EC"/>
    <w:rsid w:val="00932E45"/>
    <w:rsid w:val="00937C61"/>
    <w:rsid w:val="009543EF"/>
    <w:rsid w:val="00960C11"/>
    <w:rsid w:val="00963555"/>
    <w:rsid w:val="00964D64"/>
    <w:rsid w:val="00965932"/>
    <w:rsid w:val="00965E6D"/>
    <w:rsid w:val="00966C70"/>
    <w:rsid w:val="00976D71"/>
    <w:rsid w:val="00982084"/>
    <w:rsid w:val="00991A72"/>
    <w:rsid w:val="0099232E"/>
    <w:rsid w:val="00994183"/>
    <w:rsid w:val="00994C0C"/>
    <w:rsid w:val="00995963"/>
    <w:rsid w:val="009A17A2"/>
    <w:rsid w:val="009A2BDE"/>
    <w:rsid w:val="009A54D9"/>
    <w:rsid w:val="009B3ADD"/>
    <w:rsid w:val="009B4024"/>
    <w:rsid w:val="009B474D"/>
    <w:rsid w:val="009B61EB"/>
    <w:rsid w:val="009B6449"/>
    <w:rsid w:val="009B662D"/>
    <w:rsid w:val="009B7691"/>
    <w:rsid w:val="009C2064"/>
    <w:rsid w:val="009C3DB5"/>
    <w:rsid w:val="009C7C49"/>
    <w:rsid w:val="009D092D"/>
    <w:rsid w:val="009D1697"/>
    <w:rsid w:val="009D40D7"/>
    <w:rsid w:val="009D59C0"/>
    <w:rsid w:val="009E0E1E"/>
    <w:rsid w:val="009F17F4"/>
    <w:rsid w:val="00A014F8"/>
    <w:rsid w:val="00A03A7D"/>
    <w:rsid w:val="00A05CAB"/>
    <w:rsid w:val="00A05E8D"/>
    <w:rsid w:val="00A11DBB"/>
    <w:rsid w:val="00A11DCA"/>
    <w:rsid w:val="00A14C49"/>
    <w:rsid w:val="00A20154"/>
    <w:rsid w:val="00A2271D"/>
    <w:rsid w:val="00A2576E"/>
    <w:rsid w:val="00A25A66"/>
    <w:rsid w:val="00A40A96"/>
    <w:rsid w:val="00A43824"/>
    <w:rsid w:val="00A440FA"/>
    <w:rsid w:val="00A5173C"/>
    <w:rsid w:val="00A5354B"/>
    <w:rsid w:val="00A5557D"/>
    <w:rsid w:val="00A56843"/>
    <w:rsid w:val="00A61AEF"/>
    <w:rsid w:val="00A64494"/>
    <w:rsid w:val="00A80417"/>
    <w:rsid w:val="00A81B26"/>
    <w:rsid w:val="00A9018E"/>
    <w:rsid w:val="00A94710"/>
    <w:rsid w:val="00A94DAB"/>
    <w:rsid w:val="00A97AB0"/>
    <w:rsid w:val="00AA0096"/>
    <w:rsid w:val="00AB0FFD"/>
    <w:rsid w:val="00AB1E2F"/>
    <w:rsid w:val="00AB2341"/>
    <w:rsid w:val="00AB6C43"/>
    <w:rsid w:val="00AC7D35"/>
    <w:rsid w:val="00AD02E4"/>
    <w:rsid w:val="00AD7192"/>
    <w:rsid w:val="00AE04B7"/>
    <w:rsid w:val="00AE0A5F"/>
    <w:rsid w:val="00AE2DC6"/>
    <w:rsid w:val="00AE2E00"/>
    <w:rsid w:val="00AE363E"/>
    <w:rsid w:val="00AF173A"/>
    <w:rsid w:val="00AF2BF0"/>
    <w:rsid w:val="00AF2CD4"/>
    <w:rsid w:val="00AF36E4"/>
    <w:rsid w:val="00AF39E5"/>
    <w:rsid w:val="00AF3F54"/>
    <w:rsid w:val="00AF47A3"/>
    <w:rsid w:val="00AF702F"/>
    <w:rsid w:val="00B04447"/>
    <w:rsid w:val="00B066A4"/>
    <w:rsid w:val="00B07A13"/>
    <w:rsid w:val="00B12847"/>
    <w:rsid w:val="00B143E2"/>
    <w:rsid w:val="00B22956"/>
    <w:rsid w:val="00B25227"/>
    <w:rsid w:val="00B27A02"/>
    <w:rsid w:val="00B32B08"/>
    <w:rsid w:val="00B37469"/>
    <w:rsid w:val="00B4109B"/>
    <w:rsid w:val="00B421A6"/>
    <w:rsid w:val="00B4279B"/>
    <w:rsid w:val="00B42ADC"/>
    <w:rsid w:val="00B45FC9"/>
    <w:rsid w:val="00B50CB6"/>
    <w:rsid w:val="00B51487"/>
    <w:rsid w:val="00B5276A"/>
    <w:rsid w:val="00B559DF"/>
    <w:rsid w:val="00B5674A"/>
    <w:rsid w:val="00B60CA8"/>
    <w:rsid w:val="00B61283"/>
    <w:rsid w:val="00B63ADF"/>
    <w:rsid w:val="00B64149"/>
    <w:rsid w:val="00B665B0"/>
    <w:rsid w:val="00B66EDB"/>
    <w:rsid w:val="00B67350"/>
    <w:rsid w:val="00B705AE"/>
    <w:rsid w:val="00B72058"/>
    <w:rsid w:val="00B73CBA"/>
    <w:rsid w:val="00B75C3E"/>
    <w:rsid w:val="00B75D2D"/>
    <w:rsid w:val="00B776BF"/>
    <w:rsid w:val="00B77FBC"/>
    <w:rsid w:val="00B81A42"/>
    <w:rsid w:val="00B83461"/>
    <w:rsid w:val="00B837E4"/>
    <w:rsid w:val="00B854E3"/>
    <w:rsid w:val="00B9101C"/>
    <w:rsid w:val="00B910C0"/>
    <w:rsid w:val="00B92222"/>
    <w:rsid w:val="00B94DE5"/>
    <w:rsid w:val="00BA1944"/>
    <w:rsid w:val="00BA3914"/>
    <w:rsid w:val="00BA4DAE"/>
    <w:rsid w:val="00BA6E3B"/>
    <w:rsid w:val="00BA78AB"/>
    <w:rsid w:val="00BB1D6D"/>
    <w:rsid w:val="00BB7232"/>
    <w:rsid w:val="00BC1330"/>
    <w:rsid w:val="00BC3C27"/>
    <w:rsid w:val="00BC70C5"/>
    <w:rsid w:val="00BC7CCF"/>
    <w:rsid w:val="00BD2937"/>
    <w:rsid w:val="00BD3579"/>
    <w:rsid w:val="00BD3B80"/>
    <w:rsid w:val="00BD5411"/>
    <w:rsid w:val="00BE0E3D"/>
    <w:rsid w:val="00BE319C"/>
    <w:rsid w:val="00BE470B"/>
    <w:rsid w:val="00BE6C71"/>
    <w:rsid w:val="00BE7F3A"/>
    <w:rsid w:val="00BF0471"/>
    <w:rsid w:val="00BF59A4"/>
    <w:rsid w:val="00C041E7"/>
    <w:rsid w:val="00C04F98"/>
    <w:rsid w:val="00C07E56"/>
    <w:rsid w:val="00C248F7"/>
    <w:rsid w:val="00C25579"/>
    <w:rsid w:val="00C27BDB"/>
    <w:rsid w:val="00C30B32"/>
    <w:rsid w:val="00C31DDB"/>
    <w:rsid w:val="00C420A6"/>
    <w:rsid w:val="00C45ECB"/>
    <w:rsid w:val="00C57A91"/>
    <w:rsid w:val="00C57FEC"/>
    <w:rsid w:val="00C62820"/>
    <w:rsid w:val="00C62FCF"/>
    <w:rsid w:val="00C6344E"/>
    <w:rsid w:val="00C63CE7"/>
    <w:rsid w:val="00C63FC0"/>
    <w:rsid w:val="00C643F1"/>
    <w:rsid w:val="00C6617B"/>
    <w:rsid w:val="00C668ED"/>
    <w:rsid w:val="00C71357"/>
    <w:rsid w:val="00C80706"/>
    <w:rsid w:val="00C80FB9"/>
    <w:rsid w:val="00C81B43"/>
    <w:rsid w:val="00C85075"/>
    <w:rsid w:val="00C906A2"/>
    <w:rsid w:val="00C919EC"/>
    <w:rsid w:val="00C92BC8"/>
    <w:rsid w:val="00C933AC"/>
    <w:rsid w:val="00CA5AA1"/>
    <w:rsid w:val="00CA5F8E"/>
    <w:rsid w:val="00CB44D6"/>
    <w:rsid w:val="00CB6982"/>
    <w:rsid w:val="00CC01C2"/>
    <w:rsid w:val="00CC2DDB"/>
    <w:rsid w:val="00CC3FC7"/>
    <w:rsid w:val="00CC4252"/>
    <w:rsid w:val="00CC657A"/>
    <w:rsid w:val="00CC7049"/>
    <w:rsid w:val="00CC7C8A"/>
    <w:rsid w:val="00CD09A2"/>
    <w:rsid w:val="00CD52BA"/>
    <w:rsid w:val="00CD5AEE"/>
    <w:rsid w:val="00CD63EC"/>
    <w:rsid w:val="00CD75C0"/>
    <w:rsid w:val="00CD78DE"/>
    <w:rsid w:val="00CD7F8B"/>
    <w:rsid w:val="00CE43D0"/>
    <w:rsid w:val="00CF0E9B"/>
    <w:rsid w:val="00CF11FB"/>
    <w:rsid w:val="00CF21F2"/>
    <w:rsid w:val="00D02712"/>
    <w:rsid w:val="00D05C5F"/>
    <w:rsid w:val="00D06F98"/>
    <w:rsid w:val="00D128F0"/>
    <w:rsid w:val="00D13633"/>
    <w:rsid w:val="00D20D71"/>
    <w:rsid w:val="00D214D0"/>
    <w:rsid w:val="00D2180F"/>
    <w:rsid w:val="00D2253E"/>
    <w:rsid w:val="00D23148"/>
    <w:rsid w:val="00D339D4"/>
    <w:rsid w:val="00D3538A"/>
    <w:rsid w:val="00D41ED6"/>
    <w:rsid w:val="00D6546B"/>
    <w:rsid w:val="00D71071"/>
    <w:rsid w:val="00D71F84"/>
    <w:rsid w:val="00D725FA"/>
    <w:rsid w:val="00D72604"/>
    <w:rsid w:val="00D72B7F"/>
    <w:rsid w:val="00D76AE1"/>
    <w:rsid w:val="00D8563D"/>
    <w:rsid w:val="00D86DE3"/>
    <w:rsid w:val="00D92116"/>
    <w:rsid w:val="00D92327"/>
    <w:rsid w:val="00D93255"/>
    <w:rsid w:val="00D9652D"/>
    <w:rsid w:val="00D97C31"/>
    <w:rsid w:val="00DA27E9"/>
    <w:rsid w:val="00DA3AA3"/>
    <w:rsid w:val="00DA640F"/>
    <w:rsid w:val="00DA73F6"/>
    <w:rsid w:val="00DC1CAB"/>
    <w:rsid w:val="00DC3802"/>
    <w:rsid w:val="00DC4BBA"/>
    <w:rsid w:val="00DC7387"/>
    <w:rsid w:val="00DD4699"/>
    <w:rsid w:val="00DD4BED"/>
    <w:rsid w:val="00DE069B"/>
    <w:rsid w:val="00DE39F0"/>
    <w:rsid w:val="00DE47FA"/>
    <w:rsid w:val="00DF0AF3"/>
    <w:rsid w:val="00DF1ABB"/>
    <w:rsid w:val="00DF3BFB"/>
    <w:rsid w:val="00DF694B"/>
    <w:rsid w:val="00DF74BB"/>
    <w:rsid w:val="00DF7A27"/>
    <w:rsid w:val="00E048A5"/>
    <w:rsid w:val="00E059B5"/>
    <w:rsid w:val="00E0600D"/>
    <w:rsid w:val="00E0695A"/>
    <w:rsid w:val="00E1502B"/>
    <w:rsid w:val="00E175D0"/>
    <w:rsid w:val="00E236A5"/>
    <w:rsid w:val="00E25F66"/>
    <w:rsid w:val="00E27D7E"/>
    <w:rsid w:val="00E32243"/>
    <w:rsid w:val="00E33BBC"/>
    <w:rsid w:val="00E34935"/>
    <w:rsid w:val="00E34D68"/>
    <w:rsid w:val="00E42E13"/>
    <w:rsid w:val="00E53BC0"/>
    <w:rsid w:val="00E61736"/>
    <w:rsid w:val="00E6257C"/>
    <w:rsid w:val="00E63C59"/>
    <w:rsid w:val="00E650B2"/>
    <w:rsid w:val="00E71B18"/>
    <w:rsid w:val="00E818C0"/>
    <w:rsid w:val="00E8290E"/>
    <w:rsid w:val="00E84380"/>
    <w:rsid w:val="00E95BDE"/>
    <w:rsid w:val="00EA15B1"/>
    <w:rsid w:val="00EB0FD4"/>
    <w:rsid w:val="00EC426B"/>
    <w:rsid w:val="00ED06C3"/>
    <w:rsid w:val="00ED15EB"/>
    <w:rsid w:val="00ED1F02"/>
    <w:rsid w:val="00ED6C02"/>
    <w:rsid w:val="00ED7B96"/>
    <w:rsid w:val="00EE549D"/>
    <w:rsid w:val="00EE617F"/>
    <w:rsid w:val="00EE68EC"/>
    <w:rsid w:val="00EF0A61"/>
    <w:rsid w:val="00EF27C8"/>
    <w:rsid w:val="00EF2F87"/>
    <w:rsid w:val="00EF335B"/>
    <w:rsid w:val="00EF339F"/>
    <w:rsid w:val="00EF7249"/>
    <w:rsid w:val="00F01D97"/>
    <w:rsid w:val="00F01DC8"/>
    <w:rsid w:val="00F0690B"/>
    <w:rsid w:val="00F17D59"/>
    <w:rsid w:val="00F33DC4"/>
    <w:rsid w:val="00F353B6"/>
    <w:rsid w:val="00F41E6E"/>
    <w:rsid w:val="00F435A4"/>
    <w:rsid w:val="00F43EEB"/>
    <w:rsid w:val="00F45EDA"/>
    <w:rsid w:val="00F46C8A"/>
    <w:rsid w:val="00F47820"/>
    <w:rsid w:val="00F50108"/>
    <w:rsid w:val="00F5169C"/>
    <w:rsid w:val="00F5419D"/>
    <w:rsid w:val="00F54EF2"/>
    <w:rsid w:val="00F55A66"/>
    <w:rsid w:val="00F61F10"/>
    <w:rsid w:val="00F6207B"/>
    <w:rsid w:val="00F70F71"/>
    <w:rsid w:val="00F73673"/>
    <w:rsid w:val="00F75432"/>
    <w:rsid w:val="00F7595F"/>
    <w:rsid w:val="00F763C8"/>
    <w:rsid w:val="00F7771A"/>
    <w:rsid w:val="00F81B89"/>
    <w:rsid w:val="00F839F0"/>
    <w:rsid w:val="00F914E3"/>
    <w:rsid w:val="00F91B8D"/>
    <w:rsid w:val="00F97E32"/>
    <w:rsid w:val="00FA124A"/>
    <w:rsid w:val="00FA3EBD"/>
    <w:rsid w:val="00FB351E"/>
    <w:rsid w:val="00FB3DA4"/>
    <w:rsid w:val="00FB5101"/>
    <w:rsid w:val="00FB5A80"/>
    <w:rsid w:val="00FB5FBB"/>
    <w:rsid w:val="00FC08DD"/>
    <w:rsid w:val="00FC16CD"/>
    <w:rsid w:val="00FC2316"/>
    <w:rsid w:val="00FC2CFD"/>
    <w:rsid w:val="00FC38B9"/>
    <w:rsid w:val="00FC428E"/>
    <w:rsid w:val="00FC64E4"/>
    <w:rsid w:val="00FC7924"/>
    <w:rsid w:val="00FD35E6"/>
    <w:rsid w:val="00FF27CD"/>
    <w:rsid w:val="00FF5DF3"/>
    <w:rsid w:val="03170C43"/>
    <w:rsid w:val="03DB1171"/>
    <w:rsid w:val="07625870"/>
    <w:rsid w:val="0764E7C1"/>
    <w:rsid w:val="09BA5B86"/>
    <w:rsid w:val="0A475BA8"/>
    <w:rsid w:val="0AF00A3E"/>
    <w:rsid w:val="0AFC8D59"/>
    <w:rsid w:val="1162371B"/>
    <w:rsid w:val="129E6B54"/>
    <w:rsid w:val="1520EC74"/>
    <w:rsid w:val="16258BF8"/>
    <w:rsid w:val="17C3D63A"/>
    <w:rsid w:val="1815251A"/>
    <w:rsid w:val="1BED99BB"/>
    <w:rsid w:val="20C1C0BB"/>
    <w:rsid w:val="20F6650D"/>
    <w:rsid w:val="2385FE38"/>
    <w:rsid w:val="23FD1C5C"/>
    <w:rsid w:val="24C5715C"/>
    <w:rsid w:val="2671F06B"/>
    <w:rsid w:val="29CBD194"/>
    <w:rsid w:val="2B2809FC"/>
    <w:rsid w:val="2C94CEA0"/>
    <w:rsid w:val="2CD783FC"/>
    <w:rsid w:val="2D4A7700"/>
    <w:rsid w:val="3121249E"/>
    <w:rsid w:val="347DB8F9"/>
    <w:rsid w:val="35E8ECFD"/>
    <w:rsid w:val="36083338"/>
    <w:rsid w:val="3DD643F9"/>
    <w:rsid w:val="3E97A244"/>
    <w:rsid w:val="40011CD5"/>
    <w:rsid w:val="40B7143C"/>
    <w:rsid w:val="41DEEA56"/>
    <w:rsid w:val="42F5928B"/>
    <w:rsid w:val="434514F1"/>
    <w:rsid w:val="44693F3A"/>
    <w:rsid w:val="46915B34"/>
    <w:rsid w:val="484C05F6"/>
    <w:rsid w:val="49EAC684"/>
    <w:rsid w:val="4CD455DA"/>
    <w:rsid w:val="504AD13F"/>
    <w:rsid w:val="513C8F29"/>
    <w:rsid w:val="529F82FC"/>
    <w:rsid w:val="553643DD"/>
    <w:rsid w:val="583B8007"/>
    <w:rsid w:val="5D96B669"/>
    <w:rsid w:val="608C6D8E"/>
    <w:rsid w:val="614B5714"/>
    <w:rsid w:val="62759047"/>
    <w:rsid w:val="63310487"/>
    <w:rsid w:val="670AD741"/>
    <w:rsid w:val="6888691F"/>
    <w:rsid w:val="6C7F2A53"/>
    <w:rsid w:val="6C9973BC"/>
    <w:rsid w:val="6D3902C2"/>
    <w:rsid w:val="6EDB0E68"/>
    <w:rsid w:val="73FFDCFF"/>
    <w:rsid w:val="7666CC05"/>
    <w:rsid w:val="777BA69E"/>
    <w:rsid w:val="785687ED"/>
    <w:rsid w:val="7A8E75FF"/>
    <w:rsid w:val="7BD24E63"/>
    <w:rsid w:val="7CCBD018"/>
    <w:rsid w:val="7E5AF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DBF195"/>
  <w14:defaultImageDpi w14:val="0"/>
  <w15:docId w15:val="{C951940A-CAAC-4450-972E-8A6725B6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5/1017EW/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CRM/js/sr/C-0001585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8" ma:contentTypeDescription="Create a new document." ma:contentTypeScope="" ma:versionID="f3516937cf040d4f07085bfbeed98192">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aa823e4d74f1916066b3b20f6c8676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customXml/itemProps2.xml><?xml version="1.0" encoding="utf-8"?>
<ds:datastoreItem xmlns:ds="http://schemas.openxmlformats.org/officeDocument/2006/customXml" ds:itemID="{FF01B5BE-B364-4213-BD7C-7FF5DCFA50BD}">
  <ds:schemaRefs>
    <ds:schemaRef ds:uri="http://schemas.microsoft.com/sharepoint/v3/contenttype/forms"/>
  </ds:schemaRefs>
</ds:datastoreItem>
</file>

<file path=customXml/itemProps3.xml><?xml version="1.0" encoding="utf-8"?>
<ds:datastoreItem xmlns:ds="http://schemas.openxmlformats.org/officeDocument/2006/customXml" ds:itemID="{C63F51F2-2659-435F-8006-DCCC56B6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docProps/app.xml><?xml version="1.0" encoding="utf-8"?>
<Properties xmlns="http://schemas.openxmlformats.org/officeDocument/2006/extended-properties" xmlns:vt="http://schemas.openxmlformats.org/officeDocument/2006/docPropsVTypes">
  <Template>WORKSHOP-E.dotx</Template>
  <TotalTime>42</TotalTime>
  <Pages>2</Pages>
  <Words>604</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4570</CharactersWithSpaces>
  <SharedDoc>false</SharedDoc>
  <HLinks>
    <vt:vector size="36" baseType="variant">
      <vt:variant>
        <vt:i4>6291497</vt:i4>
      </vt:variant>
      <vt:variant>
        <vt:i4>9</vt:i4>
      </vt:variant>
      <vt:variant>
        <vt:i4>0</vt:i4>
      </vt:variant>
      <vt:variant>
        <vt:i4>5</vt:i4>
      </vt:variant>
      <vt:variant>
        <vt:lpwstr>https://www.itu.int/net4/CRM/xreg/web/Login.aspx?src=Registration&amp;Event=C-00014196</vt:lpwstr>
      </vt:variant>
      <vt:variant>
        <vt:lpwstr/>
      </vt:variant>
      <vt:variant>
        <vt:i4>5963855</vt:i4>
      </vt:variant>
      <vt:variant>
        <vt:i4>6</vt:i4>
      </vt:variant>
      <vt:variant>
        <vt:i4>0</vt:i4>
      </vt:variant>
      <vt:variant>
        <vt:i4>5</vt:i4>
      </vt:variant>
      <vt:variant>
        <vt:lpwstr>https://www.itu.int/en/ITU-T/Workshops-and-Seminars/2024/0710/Pages/default.aspx</vt:lpwstr>
      </vt:variant>
      <vt:variant>
        <vt:lpwstr/>
      </vt:variant>
      <vt:variant>
        <vt:i4>917574</vt:i4>
      </vt:variant>
      <vt:variant>
        <vt:i4>3</vt:i4>
      </vt:variant>
      <vt:variant>
        <vt:i4>0</vt:i4>
      </vt:variant>
      <vt:variant>
        <vt:i4>5</vt:i4>
      </vt:variant>
      <vt:variant>
        <vt:lpwstr>https://www.itu.int/en/ITU-T/studygroups/2022-2024/15/Pages/default.aspx</vt:lpwstr>
      </vt:variant>
      <vt:variant>
        <vt:lpwstr>gsc.tab=0</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Braud, Olivia</cp:lastModifiedBy>
  <cp:revision>7</cp:revision>
  <cp:lastPrinted>2025-09-26T14:07:00Z</cp:lastPrinted>
  <dcterms:created xsi:type="dcterms:W3CDTF">2025-09-25T08:49:00Z</dcterms:created>
  <dcterms:modified xsi:type="dcterms:W3CDTF">2025-09-26T14:08:00Z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