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0" w:type="dxa"/>
        <w:tblCellMar>
          <w:left w:w="0" w:type="dxa"/>
          <w:right w:w="0" w:type="dxa"/>
        </w:tblCellMar>
        <w:tblLook w:val="0000" w:firstRow="0" w:lastRow="0" w:firstColumn="0" w:lastColumn="0" w:noHBand="0" w:noVBand="0"/>
      </w:tblPr>
      <w:tblGrid>
        <w:gridCol w:w="1310"/>
        <w:gridCol w:w="3765"/>
        <w:gridCol w:w="4825"/>
      </w:tblGrid>
      <w:tr w:rsidR="00EF6A23" w:rsidRPr="00C54B80" w14:paraId="3FDAE1F3" w14:textId="77777777" w:rsidTr="00A06502">
        <w:trPr>
          <w:cantSplit/>
        </w:trPr>
        <w:tc>
          <w:tcPr>
            <w:tcW w:w="1310" w:type="dxa"/>
            <w:vAlign w:val="center"/>
          </w:tcPr>
          <w:p w14:paraId="3DE42CAA" w14:textId="77777777" w:rsidR="00EF6A23" w:rsidRPr="00C54B80" w:rsidRDefault="00EF6A23" w:rsidP="00D14F31">
            <w:pPr>
              <w:tabs>
                <w:tab w:val="right" w:pos="8732"/>
              </w:tabs>
              <w:spacing w:before="0"/>
              <w:rPr>
                <w:b/>
                <w:bCs/>
                <w:iCs/>
                <w:color w:val="FFFFFF"/>
                <w:sz w:val="30"/>
                <w:szCs w:val="30"/>
              </w:rPr>
            </w:pPr>
            <w:r w:rsidRPr="00C54B80">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90" w:type="dxa"/>
            <w:gridSpan w:val="2"/>
            <w:vAlign w:val="center"/>
          </w:tcPr>
          <w:p w14:paraId="75924CEF" w14:textId="77777777" w:rsidR="00EF6A23" w:rsidRPr="00C54B80" w:rsidRDefault="00EF6A23" w:rsidP="00EF6A23">
            <w:pPr>
              <w:spacing w:before="0"/>
              <w:rPr>
                <w:rFonts w:cs="Times New Roman Bold"/>
                <w:b/>
                <w:bCs/>
                <w:iCs/>
                <w:smallCaps/>
                <w:sz w:val="34"/>
                <w:szCs w:val="34"/>
              </w:rPr>
            </w:pPr>
            <w:r w:rsidRPr="00C54B80">
              <w:rPr>
                <w:rFonts w:cs="Times New Roman Bold"/>
                <w:b/>
                <w:bCs/>
                <w:iCs/>
                <w:smallCaps/>
                <w:sz w:val="34"/>
                <w:szCs w:val="34"/>
              </w:rPr>
              <w:t>Union internationale des télécommunications</w:t>
            </w:r>
          </w:p>
          <w:p w14:paraId="089E66D0" w14:textId="77777777" w:rsidR="00EF6A23" w:rsidRPr="00C54B80" w:rsidRDefault="00EF6A23" w:rsidP="00EF6A23">
            <w:pPr>
              <w:spacing w:before="0"/>
              <w:rPr>
                <w:color w:val="FFFFFF"/>
                <w:sz w:val="26"/>
                <w:szCs w:val="26"/>
              </w:rPr>
            </w:pPr>
            <w:r w:rsidRPr="00C54B80">
              <w:rPr>
                <w:rFonts w:cs="Times New Roman Bold"/>
                <w:b/>
                <w:bCs/>
                <w:iCs/>
                <w:smallCaps/>
                <w:sz w:val="28"/>
                <w:szCs w:val="28"/>
              </w:rPr>
              <w:t>B</w:t>
            </w:r>
            <w:r w:rsidRPr="00C54B80">
              <w:rPr>
                <w:b/>
                <w:bCs/>
                <w:iCs/>
                <w:smallCaps/>
                <w:sz w:val="28"/>
                <w:szCs w:val="28"/>
              </w:rPr>
              <w:t>ureau de la Normalisation des Télécommunications</w:t>
            </w:r>
          </w:p>
        </w:tc>
      </w:tr>
      <w:tr w:rsidR="00036F4F" w:rsidRPr="00A06502" w14:paraId="18B25741" w14:textId="77777777" w:rsidTr="00A06502">
        <w:trPr>
          <w:cantSplit/>
        </w:trPr>
        <w:tc>
          <w:tcPr>
            <w:tcW w:w="1310" w:type="dxa"/>
          </w:tcPr>
          <w:p w14:paraId="4B1AFD72" w14:textId="77777777" w:rsidR="00036F4F" w:rsidRPr="00A06502" w:rsidRDefault="00036F4F" w:rsidP="00A5280F">
            <w:pPr>
              <w:tabs>
                <w:tab w:val="left" w:pos="4111"/>
              </w:tabs>
              <w:spacing w:before="10"/>
              <w:ind w:left="57"/>
              <w:rPr>
                <w:rFonts w:cstheme="minorHAnsi"/>
                <w:sz w:val="22"/>
                <w:szCs w:val="22"/>
              </w:rPr>
            </w:pPr>
          </w:p>
        </w:tc>
        <w:tc>
          <w:tcPr>
            <w:tcW w:w="3765" w:type="dxa"/>
          </w:tcPr>
          <w:p w14:paraId="6579D3E8" w14:textId="77777777" w:rsidR="00036F4F" w:rsidRPr="00A06502" w:rsidRDefault="00036F4F" w:rsidP="00A5280F">
            <w:pPr>
              <w:tabs>
                <w:tab w:val="left" w:pos="4111"/>
              </w:tabs>
              <w:spacing w:before="10"/>
              <w:ind w:left="57"/>
              <w:rPr>
                <w:rFonts w:cstheme="minorHAnsi"/>
                <w:b/>
                <w:sz w:val="22"/>
                <w:szCs w:val="22"/>
              </w:rPr>
            </w:pPr>
          </w:p>
        </w:tc>
        <w:tc>
          <w:tcPr>
            <w:tcW w:w="4825" w:type="dxa"/>
          </w:tcPr>
          <w:p w14:paraId="0DC34ECA" w14:textId="16B15B91" w:rsidR="00036F4F" w:rsidRPr="00A06502" w:rsidRDefault="000E1E2A" w:rsidP="00A5645A">
            <w:pPr>
              <w:tabs>
                <w:tab w:val="clear" w:pos="794"/>
                <w:tab w:val="clear" w:pos="1191"/>
                <w:tab w:val="clear" w:pos="1588"/>
                <w:tab w:val="clear" w:pos="1985"/>
                <w:tab w:val="left" w:pos="284"/>
              </w:tabs>
              <w:spacing w:after="120"/>
              <w:ind w:left="284" w:hanging="227"/>
              <w:rPr>
                <w:rFonts w:cstheme="minorHAnsi"/>
                <w:sz w:val="22"/>
                <w:szCs w:val="22"/>
              </w:rPr>
            </w:pPr>
            <w:r w:rsidRPr="00A06502">
              <w:rPr>
                <w:rFonts w:cstheme="minorHAnsi"/>
                <w:sz w:val="22"/>
                <w:szCs w:val="22"/>
              </w:rPr>
              <w:t xml:space="preserve">Genève, </w:t>
            </w:r>
            <w:r w:rsidRPr="00A06502">
              <w:rPr>
                <w:rFonts w:cstheme="minorHAnsi"/>
                <w:color w:val="000000"/>
                <w:sz w:val="22"/>
                <w:szCs w:val="22"/>
              </w:rPr>
              <w:t xml:space="preserve">le </w:t>
            </w:r>
            <w:r w:rsidR="00625990" w:rsidRPr="00A06502">
              <w:rPr>
                <w:rFonts w:cstheme="minorHAnsi"/>
                <w:color w:val="000000"/>
                <w:sz w:val="22"/>
                <w:szCs w:val="22"/>
              </w:rPr>
              <w:t>1er octobre</w:t>
            </w:r>
            <w:r w:rsidRPr="00A06502">
              <w:rPr>
                <w:rFonts w:cstheme="minorHAnsi"/>
                <w:color w:val="000000"/>
                <w:sz w:val="22"/>
                <w:szCs w:val="22"/>
              </w:rPr>
              <w:t xml:space="preserve"> 2025</w:t>
            </w:r>
          </w:p>
        </w:tc>
      </w:tr>
      <w:tr w:rsidR="00445B68" w:rsidRPr="00A06502" w14:paraId="16CDDFEF" w14:textId="77777777" w:rsidTr="00A06502">
        <w:trPr>
          <w:cantSplit/>
          <w:trHeight w:val="340"/>
        </w:trPr>
        <w:tc>
          <w:tcPr>
            <w:tcW w:w="1310" w:type="dxa"/>
          </w:tcPr>
          <w:p w14:paraId="3EFF375D" w14:textId="58556577" w:rsidR="00445B68" w:rsidRPr="00A06502" w:rsidRDefault="00445B68" w:rsidP="00307FB4">
            <w:pPr>
              <w:tabs>
                <w:tab w:val="left" w:pos="4111"/>
              </w:tabs>
              <w:spacing w:before="10"/>
              <w:ind w:left="57"/>
              <w:rPr>
                <w:rFonts w:cstheme="minorHAnsi"/>
                <w:b/>
                <w:bCs/>
                <w:sz w:val="22"/>
                <w:szCs w:val="22"/>
              </w:rPr>
            </w:pPr>
            <w:proofErr w:type="gramStart"/>
            <w:r w:rsidRPr="00A06502">
              <w:rPr>
                <w:rFonts w:cstheme="minorHAnsi"/>
                <w:b/>
                <w:bCs/>
                <w:sz w:val="22"/>
                <w:szCs w:val="22"/>
              </w:rPr>
              <w:t>Réf.:</w:t>
            </w:r>
            <w:proofErr w:type="gramEnd"/>
          </w:p>
        </w:tc>
        <w:tc>
          <w:tcPr>
            <w:tcW w:w="3765" w:type="dxa"/>
          </w:tcPr>
          <w:p w14:paraId="5FFBBC9B" w14:textId="706FCC1E" w:rsidR="00445B68" w:rsidRPr="00A06502" w:rsidRDefault="00445B68" w:rsidP="00A5280F">
            <w:pPr>
              <w:tabs>
                <w:tab w:val="left" w:pos="4111"/>
              </w:tabs>
              <w:spacing w:before="10"/>
              <w:ind w:left="57"/>
              <w:rPr>
                <w:rFonts w:cstheme="minorHAnsi"/>
                <w:b/>
                <w:sz w:val="22"/>
                <w:szCs w:val="22"/>
              </w:rPr>
            </w:pPr>
            <w:r w:rsidRPr="00A06502">
              <w:rPr>
                <w:rFonts w:cstheme="minorHAnsi"/>
                <w:b/>
                <w:sz w:val="22"/>
                <w:szCs w:val="22"/>
              </w:rPr>
              <w:t>Circulaire TSB</w:t>
            </w:r>
            <w:r w:rsidR="00625990" w:rsidRPr="00A06502">
              <w:rPr>
                <w:rFonts w:cstheme="minorHAnsi"/>
                <w:b/>
                <w:sz w:val="22"/>
                <w:szCs w:val="22"/>
              </w:rPr>
              <w:t xml:space="preserve"> 76</w:t>
            </w:r>
          </w:p>
          <w:p w14:paraId="577F6DA2" w14:textId="26C6136B" w:rsidR="00445B68" w:rsidRPr="00A06502" w:rsidRDefault="00625990" w:rsidP="00307FB4">
            <w:pPr>
              <w:tabs>
                <w:tab w:val="left" w:pos="4111"/>
              </w:tabs>
              <w:spacing w:before="10"/>
              <w:ind w:left="57"/>
              <w:rPr>
                <w:rFonts w:cstheme="minorHAnsi"/>
                <w:b/>
                <w:bCs/>
                <w:sz w:val="22"/>
                <w:szCs w:val="22"/>
              </w:rPr>
            </w:pPr>
            <w:r w:rsidRPr="00A06502">
              <w:rPr>
                <w:rFonts w:cstheme="minorHAnsi"/>
                <w:b/>
                <w:bCs/>
                <w:color w:val="000000"/>
                <w:sz w:val="22"/>
                <w:szCs w:val="22"/>
              </w:rPr>
              <w:t>Manifestations du TSB/CB</w:t>
            </w:r>
          </w:p>
        </w:tc>
        <w:tc>
          <w:tcPr>
            <w:tcW w:w="4825" w:type="dxa"/>
            <w:vMerge w:val="restart"/>
          </w:tcPr>
          <w:p w14:paraId="07ABB5A7" w14:textId="77777777" w:rsidR="000E1E2A" w:rsidRPr="00A06502" w:rsidRDefault="000E1E2A" w:rsidP="00A06502">
            <w:pPr>
              <w:tabs>
                <w:tab w:val="left" w:pos="226"/>
                <w:tab w:val="left" w:pos="4111"/>
              </w:tabs>
              <w:spacing w:before="0"/>
              <w:ind w:left="170" w:hanging="170"/>
              <w:rPr>
                <w:rFonts w:cstheme="minorHAnsi"/>
                <w:sz w:val="22"/>
                <w:szCs w:val="22"/>
              </w:rPr>
            </w:pPr>
            <w:bookmarkStart w:id="0" w:name="Addressee_F"/>
            <w:bookmarkEnd w:id="0"/>
            <w:r w:rsidRPr="00A06502">
              <w:rPr>
                <w:rFonts w:cstheme="minorHAnsi"/>
                <w:sz w:val="22"/>
                <w:szCs w:val="22"/>
              </w:rPr>
              <w:t>–</w:t>
            </w:r>
            <w:r w:rsidRPr="00A06502">
              <w:rPr>
                <w:rFonts w:cstheme="minorHAnsi"/>
                <w:sz w:val="22"/>
                <w:szCs w:val="22"/>
              </w:rPr>
              <w:tab/>
            </w:r>
            <w:r w:rsidRPr="00A06502">
              <w:rPr>
                <w:rFonts w:cstheme="minorHAnsi"/>
                <w:color w:val="000000"/>
                <w:sz w:val="22"/>
                <w:szCs w:val="22"/>
              </w:rPr>
              <w:t xml:space="preserve">Aux Administrations des États Membres de </w:t>
            </w:r>
            <w:proofErr w:type="gramStart"/>
            <w:r w:rsidRPr="00A06502">
              <w:rPr>
                <w:rFonts w:cstheme="minorHAnsi"/>
                <w:color w:val="000000"/>
                <w:sz w:val="22"/>
                <w:szCs w:val="22"/>
              </w:rPr>
              <w:t>l'Union</w:t>
            </w:r>
            <w:r w:rsidRPr="00A06502">
              <w:rPr>
                <w:rFonts w:cstheme="minorHAnsi"/>
                <w:sz w:val="22"/>
                <w:szCs w:val="22"/>
              </w:rPr>
              <w:t>;</w:t>
            </w:r>
            <w:proofErr w:type="gramEnd"/>
          </w:p>
          <w:p w14:paraId="3A5BA16C" w14:textId="77777777" w:rsidR="00625990" w:rsidRPr="00A06502" w:rsidRDefault="00625990" w:rsidP="00A06502">
            <w:pPr>
              <w:tabs>
                <w:tab w:val="left" w:pos="226"/>
                <w:tab w:val="left" w:pos="4111"/>
              </w:tabs>
              <w:spacing w:before="0"/>
              <w:ind w:left="170" w:hanging="170"/>
              <w:rPr>
                <w:rFonts w:cstheme="minorHAnsi"/>
                <w:color w:val="000000"/>
                <w:sz w:val="22"/>
                <w:szCs w:val="22"/>
              </w:rPr>
            </w:pPr>
            <w:r w:rsidRPr="00A06502">
              <w:rPr>
                <w:rFonts w:cstheme="minorHAnsi"/>
                <w:sz w:val="22"/>
                <w:szCs w:val="22"/>
              </w:rPr>
              <w:t>–</w:t>
            </w:r>
            <w:r w:rsidRPr="00A06502">
              <w:rPr>
                <w:rFonts w:cstheme="minorHAnsi"/>
                <w:sz w:val="22"/>
                <w:szCs w:val="22"/>
              </w:rPr>
              <w:tab/>
            </w:r>
            <w:r w:rsidRPr="00A06502">
              <w:rPr>
                <w:rFonts w:cstheme="minorHAnsi"/>
                <w:color w:val="000000"/>
                <w:sz w:val="22"/>
                <w:szCs w:val="22"/>
              </w:rPr>
              <w:t>Aux Membres du Secteur de l'UIT-</w:t>
            </w:r>
            <w:proofErr w:type="gramStart"/>
            <w:r w:rsidRPr="00A06502">
              <w:rPr>
                <w:rFonts w:cstheme="minorHAnsi"/>
                <w:color w:val="000000"/>
                <w:sz w:val="22"/>
                <w:szCs w:val="22"/>
              </w:rPr>
              <w:t>T;</w:t>
            </w:r>
            <w:proofErr w:type="gramEnd"/>
          </w:p>
          <w:p w14:paraId="61647A9E" w14:textId="7C509471" w:rsidR="000E1E2A" w:rsidRPr="00A06502" w:rsidRDefault="000E1E2A" w:rsidP="00A06502">
            <w:pPr>
              <w:tabs>
                <w:tab w:val="left" w:pos="226"/>
                <w:tab w:val="left" w:pos="4111"/>
              </w:tabs>
              <w:spacing w:before="0"/>
              <w:ind w:left="170" w:hanging="170"/>
              <w:rPr>
                <w:rFonts w:cstheme="minorHAnsi"/>
                <w:sz w:val="22"/>
                <w:szCs w:val="22"/>
              </w:rPr>
            </w:pPr>
            <w:r w:rsidRPr="00A06502">
              <w:rPr>
                <w:rFonts w:cstheme="minorHAnsi"/>
                <w:sz w:val="22"/>
                <w:szCs w:val="22"/>
              </w:rPr>
              <w:t>–</w:t>
            </w:r>
            <w:r w:rsidRPr="00A06502">
              <w:rPr>
                <w:rFonts w:cstheme="minorHAnsi"/>
                <w:sz w:val="22"/>
                <w:szCs w:val="22"/>
              </w:rPr>
              <w:tab/>
            </w:r>
            <w:r w:rsidRPr="00A06502">
              <w:rPr>
                <w:rFonts w:cstheme="minorHAnsi"/>
                <w:color w:val="000000"/>
                <w:sz w:val="22"/>
                <w:szCs w:val="22"/>
              </w:rPr>
              <w:t>À l'État de Palestine (Résolution 99 (Rév. Dubaï, 2018)</w:t>
            </w:r>
            <w:proofErr w:type="gramStart"/>
            <w:r w:rsidRPr="00A06502">
              <w:rPr>
                <w:rFonts w:cstheme="minorHAnsi"/>
                <w:color w:val="000000"/>
                <w:sz w:val="22"/>
                <w:szCs w:val="22"/>
              </w:rPr>
              <w:t>);</w:t>
            </w:r>
            <w:proofErr w:type="gramEnd"/>
          </w:p>
          <w:p w14:paraId="1251A8B1" w14:textId="364AA29F" w:rsidR="000E1E2A" w:rsidRPr="00A06502" w:rsidRDefault="000E1E2A" w:rsidP="00A06502">
            <w:pPr>
              <w:pStyle w:val="ListParagraph"/>
              <w:numPr>
                <w:ilvl w:val="0"/>
                <w:numId w:val="6"/>
              </w:numPr>
              <w:tabs>
                <w:tab w:val="left" w:pos="226"/>
                <w:tab w:val="left" w:pos="4111"/>
              </w:tabs>
              <w:spacing w:before="0"/>
              <w:ind w:left="170" w:hanging="170"/>
              <w:rPr>
                <w:rFonts w:cstheme="minorHAnsi"/>
                <w:sz w:val="22"/>
                <w:szCs w:val="22"/>
                <w:lang w:val="fr-CH"/>
              </w:rPr>
            </w:pPr>
            <w:r w:rsidRPr="00A06502">
              <w:rPr>
                <w:rFonts w:cstheme="minorHAnsi"/>
                <w:color w:val="000000"/>
                <w:sz w:val="22"/>
                <w:szCs w:val="22"/>
                <w:lang w:val="fr-CH"/>
              </w:rPr>
              <w:t>Aux Associés de l'UIT-</w:t>
            </w:r>
            <w:proofErr w:type="gramStart"/>
            <w:r w:rsidRPr="00A06502">
              <w:rPr>
                <w:rFonts w:cstheme="minorHAnsi"/>
                <w:color w:val="000000"/>
                <w:sz w:val="22"/>
                <w:szCs w:val="22"/>
                <w:lang w:val="fr-CH"/>
              </w:rPr>
              <w:t>T;</w:t>
            </w:r>
            <w:proofErr w:type="gramEnd"/>
          </w:p>
          <w:p w14:paraId="461460AE" w14:textId="2609872D" w:rsidR="00445B68" w:rsidRPr="00A06502" w:rsidRDefault="000E1E2A" w:rsidP="00A06502">
            <w:pPr>
              <w:pStyle w:val="ListParagraph"/>
              <w:numPr>
                <w:ilvl w:val="0"/>
                <w:numId w:val="6"/>
              </w:numPr>
              <w:tabs>
                <w:tab w:val="left" w:pos="4111"/>
              </w:tabs>
              <w:spacing w:before="0"/>
              <w:ind w:left="170" w:hanging="170"/>
              <w:rPr>
                <w:rFonts w:cstheme="minorHAnsi"/>
                <w:sz w:val="22"/>
                <w:szCs w:val="22"/>
                <w:lang w:val="fr-CH"/>
              </w:rPr>
            </w:pPr>
            <w:r w:rsidRPr="00A06502">
              <w:rPr>
                <w:rFonts w:cstheme="minorHAnsi"/>
                <w:color w:val="000000"/>
                <w:sz w:val="22"/>
                <w:szCs w:val="22"/>
                <w:lang w:val="fr-CH"/>
              </w:rPr>
              <w:t>Aux établissements universitaires participant aux travaux de l'UIT</w:t>
            </w:r>
          </w:p>
        </w:tc>
      </w:tr>
      <w:tr w:rsidR="00307FB4" w:rsidRPr="00A06502" w14:paraId="06A3F0E7" w14:textId="77777777" w:rsidTr="00A06502">
        <w:trPr>
          <w:cantSplit/>
          <w:trHeight w:val="340"/>
        </w:trPr>
        <w:tc>
          <w:tcPr>
            <w:tcW w:w="1310" w:type="dxa"/>
          </w:tcPr>
          <w:p w14:paraId="5CF43A7B" w14:textId="13CA75D3" w:rsidR="00307FB4" w:rsidRPr="00A06502" w:rsidRDefault="00307FB4" w:rsidP="00A5280F">
            <w:pPr>
              <w:tabs>
                <w:tab w:val="left" w:pos="4111"/>
              </w:tabs>
              <w:spacing w:before="10"/>
              <w:ind w:left="57"/>
              <w:rPr>
                <w:rFonts w:cstheme="minorHAnsi"/>
                <w:b/>
                <w:bCs/>
                <w:sz w:val="22"/>
                <w:szCs w:val="22"/>
              </w:rPr>
            </w:pPr>
          </w:p>
        </w:tc>
        <w:tc>
          <w:tcPr>
            <w:tcW w:w="3765" w:type="dxa"/>
          </w:tcPr>
          <w:p w14:paraId="2074781F" w14:textId="17E3A8AB" w:rsidR="00307FB4" w:rsidRPr="00A06502" w:rsidRDefault="00307FB4" w:rsidP="00A5280F">
            <w:pPr>
              <w:tabs>
                <w:tab w:val="left" w:pos="4111"/>
              </w:tabs>
              <w:spacing w:before="10"/>
              <w:ind w:left="57"/>
              <w:rPr>
                <w:rFonts w:cstheme="minorHAnsi"/>
                <w:b/>
                <w:sz w:val="22"/>
                <w:szCs w:val="22"/>
              </w:rPr>
            </w:pPr>
          </w:p>
        </w:tc>
        <w:tc>
          <w:tcPr>
            <w:tcW w:w="4825" w:type="dxa"/>
            <w:vMerge/>
          </w:tcPr>
          <w:p w14:paraId="2F310545" w14:textId="77777777" w:rsidR="00307FB4" w:rsidRPr="00A06502" w:rsidRDefault="00307FB4" w:rsidP="00A06502">
            <w:pPr>
              <w:tabs>
                <w:tab w:val="clear" w:pos="794"/>
                <w:tab w:val="clear" w:pos="1191"/>
                <w:tab w:val="clear" w:pos="1588"/>
                <w:tab w:val="clear" w:pos="1985"/>
                <w:tab w:val="left" w:pos="284"/>
              </w:tabs>
              <w:spacing w:before="0"/>
              <w:ind w:left="426" w:hanging="346"/>
              <w:rPr>
                <w:rFonts w:cstheme="minorHAnsi"/>
                <w:sz w:val="22"/>
                <w:szCs w:val="22"/>
              </w:rPr>
            </w:pPr>
          </w:p>
        </w:tc>
      </w:tr>
      <w:tr w:rsidR="00445B68" w:rsidRPr="00A06502" w14:paraId="724FD23E" w14:textId="77777777" w:rsidTr="00A06502">
        <w:trPr>
          <w:cantSplit/>
        </w:trPr>
        <w:tc>
          <w:tcPr>
            <w:tcW w:w="1310" w:type="dxa"/>
          </w:tcPr>
          <w:p w14:paraId="73149CCD" w14:textId="77777777" w:rsidR="00445B68" w:rsidRPr="00A06502" w:rsidRDefault="00445B68" w:rsidP="00A5280F">
            <w:pPr>
              <w:tabs>
                <w:tab w:val="left" w:pos="4111"/>
              </w:tabs>
              <w:spacing w:before="10"/>
              <w:ind w:left="57"/>
              <w:rPr>
                <w:rFonts w:cstheme="minorHAnsi"/>
                <w:sz w:val="22"/>
                <w:szCs w:val="22"/>
              </w:rPr>
            </w:pPr>
            <w:proofErr w:type="gramStart"/>
            <w:r w:rsidRPr="00A06502">
              <w:rPr>
                <w:rFonts w:cstheme="minorHAnsi"/>
                <w:sz w:val="22"/>
                <w:szCs w:val="22"/>
              </w:rPr>
              <w:t>Tél.:</w:t>
            </w:r>
            <w:proofErr w:type="gramEnd"/>
          </w:p>
        </w:tc>
        <w:tc>
          <w:tcPr>
            <w:tcW w:w="3765" w:type="dxa"/>
          </w:tcPr>
          <w:p w14:paraId="78D06186" w14:textId="7E21348E" w:rsidR="00445B68" w:rsidRPr="00A06502" w:rsidRDefault="000E1E2A" w:rsidP="00A5280F">
            <w:pPr>
              <w:tabs>
                <w:tab w:val="left" w:pos="4111"/>
              </w:tabs>
              <w:spacing w:before="0"/>
              <w:ind w:left="57"/>
              <w:rPr>
                <w:rFonts w:cstheme="minorHAnsi"/>
                <w:sz w:val="22"/>
                <w:szCs w:val="22"/>
              </w:rPr>
            </w:pPr>
            <w:r w:rsidRPr="00A06502">
              <w:rPr>
                <w:rFonts w:cstheme="minorHAnsi"/>
                <w:color w:val="000000"/>
                <w:sz w:val="22"/>
                <w:szCs w:val="22"/>
              </w:rPr>
              <w:t>+41 22 730 63</w:t>
            </w:r>
            <w:r w:rsidR="00625990" w:rsidRPr="00A06502">
              <w:rPr>
                <w:rFonts w:cstheme="minorHAnsi"/>
                <w:color w:val="000000"/>
                <w:sz w:val="22"/>
                <w:szCs w:val="22"/>
              </w:rPr>
              <w:t>01</w:t>
            </w:r>
          </w:p>
        </w:tc>
        <w:tc>
          <w:tcPr>
            <w:tcW w:w="4825" w:type="dxa"/>
            <w:vMerge/>
          </w:tcPr>
          <w:p w14:paraId="6D3A5806" w14:textId="77777777" w:rsidR="00445B68" w:rsidRPr="00A06502" w:rsidRDefault="00445B68" w:rsidP="00A06502">
            <w:pPr>
              <w:tabs>
                <w:tab w:val="left" w:pos="226"/>
                <w:tab w:val="left" w:pos="4111"/>
              </w:tabs>
              <w:spacing w:before="0"/>
              <w:ind w:left="426" w:hanging="346"/>
              <w:rPr>
                <w:rFonts w:cstheme="minorHAnsi"/>
                <w:b/>
                <w:sz w:val="22"/>
                <w:szCs w:val="22"/>
              </w:rPr>
            </w:pPr>
          </w:p>
        </w:tc>
      </w:tr>
      <w:tr w:rsidR="00307FB4" w:rsidRPr="00A06502" w14:paraId="030F9AE5" w14:textId="77777777" w:rsidTr="00A06502">
        <w:trPr>
          <w:cantSplit/>
          <w:trHeight w:val="586"/>
        </w:trPr>
        <w:tc>
          <w:tcPr>
            <w:tcW w:w="1310" w:type="dxa"/>
          </w:tcPr>
          <w:p w14:paraId="7B417C4C" w14:textId="77777777" w:rsidR="00307FB4" w:rsidRPr="00A06502" w:rsidRDefault="00307FB4" w:rsidP="00A5280F">
            <w:pPr>
              <w:tabs>
                <w:tab w:val="left" w:pos="4111"/>
              </w:tabs>
              <w:spacing w:before="10"/>
              <w:ind w:left="57"/>
              <w:rPr>
                <w:rFonts w:cstheme="minorHAnsi"/>
                <w:sz w:val="22"/>
                <w:szCs w:val="22"/>
              </w:rPr>
            </w:pPr>
            <w:proofErr w:type="gramStart"/>
            <w:r w:rsidRPr="00A06502">
              <w:rPr>
                <w:rFonts w:cstheme="minorHAnsi"/>
                <w:sz w:val="22"/>
                <w:szCs w:val="22"/>
              </w:rPr>
              <w:t>Télécopie:</w:t>
            </w:r>
            <w:proofErr w:type="gramEnd"/>
          </w:p>
        </w:tc>
        <w:tc>
          <w:tcPr>
            <w:tcW w:w="3765" w:type="dxa"/>
          </w:tcPr>
          <w:p w14:paraId="1A4A5F7B" w14:textId="2C2C4E0D" w:rsidR="00307FB4" w:rsidRPr="00A06502" w:rsidRDefault="000E1E2A" w:rsidP="00A5280F">
            <w:pPr>
              <w:tabs>
                <w:tab w:val="left" w:pos="4111"/>
              </w:tabs>
              <w:spacing w:before="0"/>
              <w:ind w:left="57"/>
              <w:rPr>
                <w:rFonts w:cstheme="minorHAnsi"/>
                <w:sz w:val="22"/>
                <w:szCs w:val="22"/>
              </w:rPr>
            </w:pPr>
            <w:r w:rsidRPr="00A06502">
              <w:rPr>
                <w:rFonts w:cstheme="minorHAnsi"/>
                <w:color w:val="000000"/>
                <w:sz w:val="22"/>
                <w:szCs w:val="22"/>
              </w:rPr>
              <w:t>+41 22 730 5853</w:t>
            </w:r>
          </w:p>
        </w:tc>
        <w:tc>
          <w:tcPr>
            <w:tcW w:w="4825" w:type="dxa"/>
            <w:vMerge/>
          </w:tcPr>
          <w:p w14:paraId="323DAC81" w14:textId="77777777" w:rsidR="00307FB4" w:rsidRPr="00A06502" w:rsidRDefault="00307FB4" w:rsidP="00A06502">
            <w:pPr>
              <w:tabs>
                <w:tab w:val="left" w:pos="226"/>
                <w:tab w:val="left" w:pos="4111"/>
              </w:tabs>
              <w:spacing w:before="0"/>
              <w:ind w:left="426" w:hanging="346"/>
              <w:rPr>
                <w:rFonts w:cstheme="minorHAnsi"/>
                <w:b/>
                <w:sz w:val="22"/>
                <w:szCs w:val="22"/>
              </w:rPr>
            </w:pPr>
          </w:p>
        </w:tc>
      </w:tr>
      <w:tr w:rsidR="00307FB4" w:rsidRPr="00A06502" w14:paraId="640FB6B9" w14:textId="77777777" w:rsidTr="00A06502">
        <w:trPr>
          <w:cantSplit/>
        </w:trPr>
        <w:tc>
          <w:tcPr>
            <w:tcW w:w="1310" w:type="dxa"/>
          </w:tcPr>
          <w:p w14:paraId="15527369" w14:textId="0865F49A" w:rsidR="00307FB4" w:rsidRPr="00A06502" w:rsidRDefault="00307FB4" w:rsidP="00A5280F">
            <w:pPr>
              <w:tabs>
                <w:tab w:val="left" w:pos="4111"/>
              </w:tabs>
              <w:spacing w:before="10"/>
              <w:ind w:left="57"/>
              <w:rPr>
                <w:rFonts w:cstheme="minorHAnsi"/>
                <w:sz w:val="22"/>
                <w:szCs w:val="22"/>
              </w:rPr>
            </w:pPr>
            <w:proofErr w:type="gramStart"/>
            <w:r w:rsidRPr="00A06502">
              <w:rPr>
                <w:rFonts w:cstheme="minorHAnsi"/>
                <w:sz w:val="22"/>
                <w:szCs w:val="22"/>
              </w:rPr>
              <w:t>Courriel:</w:t>
            </w:r>
            <w:proofErr w:type="gramEnd"/>
          </w:p>
        </w:tc>
        <w:tc>
          <w:tcPr>
            <w:tcW w:w="3765" w:type="dxa"/>
          </w:tcPr>
          <w:p w14:paraId="172249CE" w14:textId="40AED0EF" w:rsidR="00307FB4" w:rsidRPr="00A06502" w:rsidRDefault="00625990" w:rsidP="00A5280F">
            <w:pPr>
              <w:tabs>
                <w:tab w:val="left" w:pos="4111"/>
              </w:tabs>
              <w:spacing w:before="0"/>
              <w:ind w:left="57"/>
              <w:rPr>
                <w:rFonts w:cstheme="minorHAnsi"/>
                <w:sz w:val="22"/>
                <w:szCs w:val="22"/>
              </w:rPr>
            </w:pPr>
            <w:hyperlink r:id="rId9" w:history="1">
              <w:r w:rsidRPr="00A06502">
                <w:rPr>
                  <w:rStyle w:val="Hyperlink"/>
                  <w:rFonts w:cstheme="minorHAnsi"/>
                  <w:sz w:val="22"/>
                  <w:szCs w:val="22"/>
                </w:rPr>
                <w:t>virtualworlds@itu.int</w:t>
              </w:r>
            </w:hyperlink>
          </w:p>
        </w:tc>
        <w:tc>
          <w:tcPr>
            <w:tcW w:w="4825" w:type="dxa"/>
          </w:tcPr>
          <w:p w14:paraId="55E5D357" w14:textId="77777777" w:rsidR="00307FB4" w:rsidRPr="00A06502" w:rsidRDefault="00307FB4" w:rsidP="00A06502">
            <w:pPr>
              <w:tabs>
                <w:tab w:val="clear" w:pos="794"/>
                <w:tab w:val="left" w:pos="226"/>
                <w:tab w:val="left" w:pos="4111"/>
              </w:tabs>
              <w:spacing w:before="0"/>
              <w:ind w:left="426" w:hanging="346"/>
              <w:rPr>
                <w:rFonts w:cstheme="minorHAnsi"/>
                <w:b/>
                <w:bCs/>
                <w:sz w:val="22"/>
                <w:szCs w:val="22"/>
              </w:rPr>
            </w:pPr>
            <w:proofErr w:type="gramStart"/>
            <w:r w:rsidRPr="00A06502">
              <w:rPr>
                <w:rFonts w:cstheme="minorHAnsi"/>
                <w:b/>
                <w:bCs/>
                <w:sz w:val="22"/>
                <w:szCs w:val="22"/>
              </w:rPr>
              <w:t>Copie:</w:t>
            </w:r>
            <w:proofErr w:type="gramEnd"/>
          </w:p>
          <w:p w14:paraId="4539E4C2" w14:textId="77777777" w:rsidR="000E1E2A" w:rsidRPr="00A06502" w:rsidRDefault="000E1E2A" w:rsidP="00A06502">
            <w:pPr>
              <w:tabs>
                <w:tab w:val="left" w:pos="226"/>
                <w:tab w:val="left" w:pos="4111"/>
              </w:tabs>
              <w:spacing w:before="0"/>
              <w:ind w:left="260" w:hanging="260"/>
              <w:rPr>
                <w:rFonts w:cstheme="minorHAnsi"/>
                <w:sz w:val="22"/>
                <w:szCs w:val="22"/>
              </w:rPr>
            </w:pPr>
            <w:r w:rsidRPr="00A06502">
              <w:rPr>
                <w:rFonts w:cstheme="minorHAnsi"/>
                <w:sz w:val="22"/>
                <w:szCs w:val="22"/>
              </w:rPr>
              <w:t>–</w:t>
            </w:r>
            <w:r w:rsidRPr="00A06502">
              <w:rPr>
                <w:rFonts w:cstheme="minorHAnsi"/>
                <w:sz w:val="22"/>
                <w:szCs w:val="22"/>
              </w:rPr>
              <w:tab/>
            </w:r>
            <w:r w:rsidRPr="00A06502">
              <w:rPr>
                <w:rFonts w:cstheme="minorHAnsi"/>
                <w:color w:val="000000"/>
                <w:sz w:val="22"/>
                <w:szCs w:val="22"/>
              </w:rPr>
              <w:t xml:space="preserve">Aux </w:t>
            </w:r>
            <w:r w:rsidRPr="00A06502">
              <w:rPr>
                <w:rFonts w:cstheme="minorHAnsi"/>
                <w:sz w:val="22"/>
                <w:szCs w:val="22"/>
              </w:rPr>
              <w:t>Présidents et Vice-Présidents des Commissions d'études de l'UIT-</w:t>
            </w:r>
            <w:proofErr w:type="gramStart"/>
            <w:r w:rsidRPr="00A06502">
              <w:rPr>
                <w:rFonts w:cstheme="minorHAnsi"/>
                <w:sz w:val="22"/>
                <w:szCs w:val="22"/>
              </w:rPr>
              <w:t>T;</w:t>
            </w:r>
            <w:proofErr w:type="gramEnd"/>
          </w:p>
          <w:p w14:paraId="5909B2C1" w14:textId="73F87B6C" w:rsidR="000E1E2A" w:rsidRPr="00A06502" w:rsidRDefault="000E1E2A" w:rsidP="00A06502">
            <w:pPr>
              <w:tabs>
                <w:tab w:val="left" w:pos="226"/>
                <w:tab w:val="left" w:pos="4111"/>
              </w:tabs>
              <w:spacing w:before="0"/>
              <w:ind w:left="260" w:hanging="260"/>
              <w:rPr>
                <w:rFonts w:cstheme="minorHAnsi"/>
                <w:sz w:val="22"/>
                <w:szCs w:val="22"/>
              </w:rPr>
            </w:pPr>
            <w:r w:rsidRPr="00A06502">
              <w:rPr>
                <w:rFonts w:cstheme="minorHAnsi"/>
                <w:sz w:val="22"/>
                <w:szCs w:val="22"/>
              </w:rPr>
              <w:t>–</w:t>
            </w:r>
            <w:r w:rsidRPr="00A06502">
              <w:rPr>
                <w:rFonts w:cstheme="minorHAnsi"/>
                <w:sz w:val="22"/>
                <w:szCs w:val="22"/>
              </w:rPr>
              <w:tab/>
              <w:t xml:space="preserve">Au Directeur du Bureau de développement des </w:t>
            </w:r>
            <w:proofErr w:type="gramStart"/>
            <w:r w:rsidRPr="00A06502">
              <w:rPr>
                <w:rFonts w:cstheme="minorHAnsi"/>
                <w:sz w:val="22"/>
                <w:szCs w:val="22"/>
              </w:rPr>
              <w:t>télécommunications;</w:t>
            </w:r>
            <w:proofErr w:type="gramEnd"/>
          </w:p>
          <w:p w14:paraId="32317092" w14:textId="77777777" w:rsidR="00307FB4" w:rsidRPr="00A06502" w:rsidRDefault="000E1E2A" w:rsidP="00A06502">
            <w:pPr>
              <w:tabs>
                <w:tab w:val="left" w:pos="226"/>
                <w:tab w:val="left" w:pos="4111"/>
              </w:tabs>
              <w:spacing w:before="0"/>
              <w:ind w:left="260" w:hanging="260"/>
              <w:rPr>
                <w:rFonts w:cstheme="minorHAnsi"/>
                <w:sz w:val="22"/>
                <w:szCs w:val="22"/>
              </w:rPr>
            </w:pPr>
            <w:r w:rsidRPr="00A06502">
              <w:rPr>
                <w:rFonts w:cstheme="minorHAnsi"/>
                <w:sz w:val="22"/>
                <w:szCs w:val="22"/>
              </w:rPr>
              <w:t>–</w:t>
            </w:r>
            <w:r w:rsidRPr="00A06502">
              <w:rPr>
                <w:rFonts w:cstheme="minorHAnsi"/>
                <w:sz w:val="22"/>
                <w:szCs w:val="22"/>
              </w:rPr>
              <w:tab/>
              <w:t>Au Directeur</w:t>
            </w:r>
            <w:r w:rsidRPr="00A06502">
              <w:rPr>
                <w:rFonts w:cstheme="minorHAnsi"/>
                <w:color w:val="000000"/>
                <w:sz w:val="22"/>
                <w:szCs w:val="22"/>
              </w:rPr>
              <w:t xml:space="preserve"> du Bureau des </w:t>
            </w:r>
            <w:proofErr w:type="gramStart"/>
            <w:r w:rsidRPr="00A06502">
              <w:rPr>
                <w:rFonts w:cstheme="minorHAnsi"/>
                <w:sz w:val="22"/>
                <w:szCs w:val="22"/>
              </w:rPr>
              <w:t>radiocommunications</w:t>
            </w:r>
            <w:r w:rsidR="0062604F" w:rsidRPr="00A06502">
              <w:rPr>
                <w:rFonts w:cstheme="minorHAnsi"/>
                <w:sz w:val="22"/>
                <w:szCs w:val="22"/>
              </w:rPr>
              <w:t>;</w:t>
            </w:r>
            <w:proofErr w:type="gramEnd"/>
          </w:p>
          <w:p w14:paraId="19762254" w14:textId="40105BC6" w:rsidR="0063550F" w:rsidRPr="00A06502" w:rsidRDefault="0062604F" w:rsidP="00A06502">
            <w:pPr>
              <w:tabs>
                <w:tab w:val="left" w:pos="226"/>
                <w:tab w:val="left" w:pos="4111"/>
              </w:tabs>
              <w:spacing w:before="0"/>
              <w:ind w:left="260" w:hanging="260"/>
              <w:rPr>
                <w:rFonts w:cstheme="minorHAnsi"/>
                <w:sz w:val="22"/>
                <w:szCs w:val="22"/>
              </w:rPr>
            </w:pPr>
            <w:r w:rsidRPr="00A06502">
              <w:rPr>
                <w:rFonts w:cstheme="minorHAnsi"/>
                <w:sz w:val="22"/>
                <w:szCs w:val="22"/>
              </w:rPr>
              <w:t>–</w:t>
            </w:r>
            <w:r w:rsidRPr="00A06502">
              <w:rPr>
                <w:rFonts w:cstheme="minorHAnsi"/>
                <w:sz w:val="22"/>
                <w:szCs w:val="22"/>
              </w:rPr>
              <w:tab/>
              <w:t>Aux Directeurs des bureaux régionaux de l'UIT</w:t>
            </w:r>
          </w:p>
        </w:tc>
      </w:tr>
      <w:tr w:rsidR="00517A03" w:rsidRPr="00A06502" w14:paraId="5435C04A" w14:textId="77777777" w:rsidTr="00A06502">
        <w:trPr>
          <w:cantSplit/>
          <w:trHeight w:val="397"/>
        </w:trPr>
        <w:tc>
          <w:tcPr>
            <w:tcW w:w="1310" w:type="dxa"/>
          </w:tcPr>
          <w:p w14:paraId="2A0B9B4F" w14:textId="77777777" w:rsidR="00517A03" w:rsidRPr="00A06502" w:rsidRDefault="00517A03" w:rsidP="00307FB4">
            <w:pPr>
              <w:tabs>
                <w:tab w:val="left" w:pos="4111"/>
              </w:tabs>
              <w:ind w:left="57"/>
              <w:rPr>
                <w:rFonts w:cstheme="minorHAnsi"/>
                <w:b/>
                <w:bCs/>
                <w:sz w:val="22"/>
                <w:szCs w:val="22"/>
              </w:rPr>
            </w:pPr>
            <w:proofErr w:type="gramStart"/>
            <w:r w:rsidRPr="00A06502">
              <w:rPr>
                <w:rFonts w:cstheme="minorHAnsi"/>
                <w:b/>
                <w:bCs/>
                <w:sz w:val="22"/>
                <w:szCs w:val="22"/>
              </w:rPr>
              <w:t>Objet:</w:t>
            </w:r>
            <w:proofErr w:type="gramEnd"/>
          </w:p>
        </w:tc>
        <w:tc>
          <w:tcPr>
            <w:tcW w:w="8590" w:type="dxa"/>
            <w:gridSpan w:val="2"/>
          </w:tcPr>
          <w:p w14:paraId="1A51EE75" w14:textId="744A4857" w:rsidR="00517A03" w:rsidRPr="00A06502" w:rsidRDefault="0062604F" w:rsidP="0048088B">
            <w:pPr>
              <w:tabs>
                <w:tab w:val="left" w:pos="4111"/>
              </w:tabs>
              <w:spacing w:after="120"/>
              <w:ind w:left="57"/>
              <w:rPr>
                <w:rFonts w:cstheme="minorHAnsi"/>
                <w:b/>
                <w:bCs/>
                <w:sz w:val="22"/>
                <w:szCs w:val="22"/>
              </w:rPr>
            </w:pPr>
            <w:r w:rsidRPr="00A06502">
              <w:rPr>
                <w:rFonts w:cstheme="minorHAnsi"/>
                <w:b/>
                <w:bCs/>
                <w:color w:val="000000"/>
                <w:sz w:val="22"/>
                <w:szCs w:val="22"/>
              </w:rPr>
              <w:t>Première Assemblée sur les métavilles de l'Initiative mondiale sur les mondes virtuels et l'IA – À la découverte des métavilles</w:t>
            </w:r>
            <w:r w:rsidRPr="00A06502">
              <w:rPr>
                <w:rFonts w:cstheme="minorHAnsi"/>
                <w:b/>
                <w:bCs/>
                <w:color w:val="000000"/>
                <w:sz w:val="22"/>
                <w:szCs w:val="22"/>
              </w:rPr>
              <w:br/>
              <w:t>(Valence, Espagne, 3 novembre 2025)</w:t>
            </w:r>
          </w:p>
        </w:tc>
      </w:tr>
    </w:tbl>
    <w:p w14:paraId="7B121714" w14:textId="77777777" w:rsidR="000E1E2A" w:rsidRPr="00A06502" w:rsidRDefault="000E1E2A" w:rsidP="00A06502">
      <w:pPr>
        <w:pStyle w:val="Normalaftertitle"/>
        <w:spacing w:before="120"/>
        <w:rPr>
          <w:rFonts w:cstheme="minorHAnsi"/>
          <w:sz w:val="22"/>
          <w:szCs w:val="22"/>
        </w:rPr>
      </w:pPr>
      <w:bookmarkStart w:id="1" w:name="StartTyping_F"/>
      <w:bookmarkEnd w:id="1"/>
      <w:r w:rsidRPr="00A06502">
        <w:rPr>
          <w:rFonts w:cstheme="minorHAnsi"/>
          <w:sz w:val="22"/>
          <w:szCs w:val="22"/>
        </w:rPr>
        <w:t>Madame, Monsieur,</w:t>
      </w:r>
    </w:p>
    <w:p w14:paraId="0119B23A" w14:textId="7ECC53F7" w:rsidR="0062604F" w:rsidRPr="00A06502" w:rsidRDefault="0062604F" w:rsidP="0062604F">
      <w:pPr>
        <w:tabs>
          <w:tab w:val="left" w:pos="900"/>
        </w:tabs>
        <w:rPr>
          <w:rFonts w:cstheme="minorHAnsi"/>
          <w:sz w:val="22"/>
          <w:szCs w:val="22"/>
        </w:rPr>
      </w:pPr>
      <w:bookmarkStart w:id="2" w:name="suitetext"/>
      <w:bookmarkStart w:id="3" w:name="text"/>
      <w:bookmarkEnd w:id="2"/>
      <w:bookmarkEnd w:id="3"/>
      <w:r w:rsidRPr="00A06502">
        <w:rPr>
          <w:rFonts w:cstheme="minorHAnsi"/>
          <w:sz w:val="22"/>
          <w:szCs w:val="22"/>
        </w:rPr>
        <w:t>1</w:t>
      </w:r>
      <w:r w:rsidRPr="00A06502">
        <w:rPr>
          <w:rFonts w:cstheme="minorHAnsi"/>
          <w:sz w:val="22"/>
          <w:szCs w:val="22"/>
        </w:rPr>
        <w:tab/>
        <w:t xml:space="preserve">J'ai l'honneur de vous informer que l'Union internationale des télécommunications (UIT), en collaboration avec le Centre international de calcul des Nations Unies (CIC) et la ville de Valence, organise la </w:t>
      </w:r>
      <w:r w:rsidRPr="00A06502">
        <w:rPr>
          <w:rFonts w:cstheme="minorHAnsi"/>
          <w:b/>
          <w:bCs/>
          <w:sz w:val="22"/>
          <w:szCs w:val="22"/>
        </w:rPr>
        <w:t xml:space="preserve">première Assemblée sur les métavilles de l'Initiative mondiale sur les mondes virtuels et l'IA – </w:t>
      </w:r>
      <w:r w:rsidRPr="00A06502">
        <w:rPr>
          <w:rFonts w:cstheme="minorHAnsi"/>
          <w:b/>
          <w:bCs/>
          <w:i/>
          <w:iCs/>
          <w:sz w:val="22"/>
          <w:szCs w:val="22"/>
        </w:rPr>
        <w:t>À la découverte des métavilles</w:t>
      </w:r>
      <w:r w:rsidRPr="00A06502">
        <w:rPr>
          <w:rFonts w:cstheme="minorHAnsi"/>
          <w:sz w:val="22"/>
          <w:szCs w:val="22"/>
        </w:rPr>
        <w:t>. Cette manifestation se tiendra à l'invitation de la ville de Valence le 3 novembre 2025, à Valence (Espagne).</w:t>
      </w:r>
    </w:p>
    <w:p w14:paraId="51D6FCDD" w14:textId="77777777" w:rsidR="0062604F" w:rsidRPr="00A06502" w:rsidRDefault="0062604F" w:rsidP="0062604F">
      <w:pPr>
        <w:tabs>
          <w:tab w:val="left" w:pos="900"/>
        </w:tabs>
        <w:rPr>
          <w:rFonts w:cstheme="minorHAnsi"/>
          <w:sz w:val="22"/>
          <w:szCs w:val="22"/>
        </w:rPr>
      </w:pPr>
      <w:r w:rsidRPr="00A06502">
        <w:rPr>
          <w:rFonts w:cstheme="minorHAnsi"/>
          <w:sz w:val="22"/>
          <w:szCs w:val="22"/>
        </w:rPr>
        <w:t>2</w:t>
      </w:r>
      <w:r w:rsidRPr="00A06502">
        <w:rPr>
          <w:rFonts w:cstheme="minorHAnsi"/>
          <w:sz w:val="22"/>
          <w:szCs w:val="22"/>
        </w:rPr>
        <w:tab/>
        <w:t>L'Assemblée sur les métavilles se déroulera en anglais seulement.</w:t>
      </w:r>
    </w:p>
    <w:p w14:paraId="3FAF810E" w14:textId="634A49B0" w:rsidR="0062604F" w:rsidRPr="00A06502" w:rsidRDefault="0062604F" w:rsidP="0062604F">
      <w:pPr>
        <w:tabs>
          <w:tab w:val="left" w:pos="900"/>
        </w:tabs>
        <w:rPr>
          <w:rFonts w:cstheme="minorHAnsi"/>
          <w:sz w:val="22"/>
          <w:szCs w:val="22"/>
        </w:rPr>
      </w:pPr>
      <w:r w:rsidRPr="00A06502">
        <w:rPr>
          <w:rFonts w:cstheme="minorHAnsi"/>
          <w:sz w:val="22"/>
          <w:szCs w:val="22"/>
        </w:rPr>
        <w:t>3</w:t>
      </w:r>
      <w:r w:rsidRPr="00A06502">
        <w:rPr>
          <w:rFonts w:cstheme="minorHAnsi"/>
          <w:sz w:val="22"/>
          <w:szCs w:val="22"/>
        </w:rPr>
        <w:tab/>
        <w:t>L'</w:t>
      </w:r>
      <w:hyperlink r:id="rId10" w:history="1">
        <w:r w:rsidRPr="00A06502">
          <w:rPr>
            <w:rStyle w:val="Hyperlink"/>
            <w:rFonts w:cstheme="minorHAnsi"/>
            <w:sz w:val="22"/>
            <w:szCs w:val="22"/>
          </w:rPr>
          <w:t>Initiative mondiale sur les mondes virtuels et l'</w:t>
        </w:r>
        <w:r w:rsidRPr="00A06502">
          <w:rPr>
            <w:rStyle w:val="Hyperlink"/>
            <w:rFonts w:cstheme="minorHAnsi"/>
            <w:sz w:val="22"/>
            <w:szCs w:val="22"/>
          </w:rPr>
          <w:t>I</w:t>
        </w:r>
        <w:r w:rsidRPr="00A06502">
          <w:rPr>
            <w:rStyle w:val="Hyperlink"/>
            <w:rFonts w:cstheme="minorHAnsi"/>
            <w:sz w:val="22"/>
            <w:szCs w:val="22"/>
          </w:rPr>
          <w:t xml:space="preserve">A – </w:t>
        </w:r>
        <w:r w:rsidRPr="00A06502">
          <w:rPr>
            <w:rStyle w:val="Hyperlink"/>
            <w:rFonts w:cstheme="minorHAnsi"/>
            <w:i/>
            <w:iCs/>
            <w:sz w:val="22"/>
            <w:szCs w:val="22"/>
          </w:rPr>
          <w:t>À la découverte des métavilles</w:t>
        </w:r>
      </w:hyperlink>
      <w:r w:rsidRPr="00A06502">
        <w:rPr>
          <w:rFonts w:cstheme="minorHAnsi"/>
          <w:sz w:val="22"/>
          <w:szCs w:val="22"/>
        </w:rPr>
        <w:t xml:space="preserve"> est une plate-forme mondiale multi-parties prenantes lancée par l'UIT, le CIC et Digital Dubai, soutenue par plus de 60 partenaires internationaux. Elle vise à façonner la prochaine génération de mondes virtuels fondés sur l'IA, afin qu'ils soient inclusifs, fiables et interopérables, tout en appuyant la mise en œuvre du Pacte pour l'avenir et de son Pacte numérique mondial. De plus amples renseignements au sujet de cette initiative sont disponibles à l'adresse </w:t>
      </w:r>
      <w:hyperlink r:id="rId11" w:history="1">
        <w:r w:rsidRPr="00A06502">
          <w:rPr>
            <w:rStyle w:val="Hyperlink"/>
            <w:rFonts w:cstheme="minorHAnsi"/>
            <w:sz w:val="22"/>
            <w:szCs w:val="22"/>
          </w:rPr>
          <w:t>https://www.itu.int/metaverse/virtu</w:t>
        </w:r>
        <w:r w:rsidRPr="00A06502">
          <w:rPr>
            <w:rStyle w:val="Hyperlink"/>
            <w:rFonts w:cstheme="minorHAnsi"/>
            <w:sz w:val="22"/>
            <w:szCs w:val="22"/>
          </w:rPr>
          <w:t>a</w:t>
        </w:r>
        <w:r w:rsidRPr="00A06502">
          <w:rPr>
            <w:rStyle w:val="Hyperlink"/>
            <w:rFonts w:cstheme="minorHAnsi"/>
            <w:sz w:val="22"/>
            <w:szCs w:val="22"/>
          </w:rPr>
          <w:t>l-worlds/</w:t>
        </w:r>
      </w:hyperlink>
      <w:r w:rsidRPr="00A06502">
        <w:rPr>
          <w:rFonts w:cstheme="minorHAnsi"/>
          <w:sz w:val="22"/>
          <w:szCs w:val="22"/>
        </w:rPr>
        <w:t>.</w:t>
      </w:r>
    </w:p>
    <w:p w14:paraId="4AF6C210" w14:textId="78D47E1E" w:rsidR="0062604F" w:rsidRPr="00A06502" w:rsidRDefault="0062604F" w:rsidP="0062604F">
      <w:pPr>
        <w:tabs>
          <w:tab w:val="left" w:pos="900"/>
        </w:tabs>
        <w:rPr>
          <w:rFonts w:cstheme="minorHAnsi"/>
          <w:sz w:val="22"/>
          <w:szCs w:val="22"/>
        </w:rPr>
      </w:pPr>
      <w:r w:rsidRPr="00A06502">
        <w:rPr>
          <w:rFonts w:cstheme="minorHAnsi"/>
          <w:sz w:val="22"/>
          <w:szCs w:val="22"/>
        </w:rPr>
        <w:t>4</w:t>
      </w:r>
      <w:r w:rsidRPr="00A06502">
        <w:rPr>
          <w:rFonts w:cstheme="minorHAnsi"/>
          <w:sz w:val="22"/>
          <w:szCs w:val="22"/>
        </w:rPr>
        <w:tab/>
        <w:t>L'Assemblée sur les métavilles servira de forum mondial permettant un dialogue ouvert, l'échange de connaissances et la collaboration sur l'avenir des mondes virtuels fondés sur l'IA. Elle réunira des parties prenantes diverses, notamment des responsables municipaux, des représentants gouvernementaux, des dirigeants du secteur, des chercheurs et des organisations internationales, afin d'échanger des idées et des bonnes pratiques sur la conception et la mise en</w:t>
      </w:r>
      <w:r w:rsidR="009E3253" w:rsidRPr="00A06502">
        <w:rPr>
          <w:rFonts w:cstheme="minorHAnsi"/>
          <w:sz w:val="22"/>
          <w:szCs w:val="22"/>
        </w:rPr>
        <w:t> </w:t>
      </w:r>
      <w:r w:rsidRPr="00A06502">
        <w:rPr>
          <w:rFonts w:cstheme="minorHAnsi"/>
          <w:sz w:val="22"/>
          <w:szCs w:val="22"/>
        </w:rPr>
        <w:t xml:space="preserve">œuvre des métavilles. La manifestation présentera des travaux novateurs et des activités phares menées dans le cadre de l'initiative et sera marquée par la cérémonie de remise des prix pour la catégorie </w:t>
      </w:r>
      <w:proofErr w:type="gramStart"/>
      <w:r w:rsidRPr="00A06502">
        <w:rPr>
          <w:rFonts w:cstheme="minorHAnsi"/>
          <w:sz w:val="22"/>
          <w:szCs w:val="22"/>
        </w:rPr>
        <w:t>des start-up</w:t>
      </w:r>
      <w:proofErr w:type="gramEnd"/>
      <w:r w:rsidRPr="00A06502">
        <w:rPr>
          <w:rFonts w:cstheme="minorHAnsi"/>
          <w:sz w:val="22"/>
          <w:szCs w:val="22"/>
        </w:rPr>
        <w:t xml:space="preserve"> de la </w:t>
      </w:r>
      <w:hyperlink r:id="rId12" w:history="1">
        <w:r w:rsidRPr="00A06502">
          <w:rPr>
            <w:rStyle w:val="Hyperlink"/>
            <w:rFonts w:cstheme="minorHAnsi"/>
            <w:sz w:val="22"/>
            <w:szCs w:val="22"/>
          </w:rPr>
          <w:t>1ère édition d</w:t>
        </w:r>
        <w:r w:rsidRPr="00A06502">
          <w:rPr>
            <w:rStyle w:val="Hyperlink"/>
            <w:rFonts w:cstheme="minorHAnsi"/>
            <w:sz w:val="22"/>
            <w:szCs w:val="22"/>
          </w:rPr>
          <w:t>u</w:t>
        </w:r>
        <w:r w:rsidRPr="00A06502">
          <w:rPr>
            <w:rStyle w:val="Hyperlink"/>
            <w:rFonts w:cstheme="minorHAnsi"/>
            <w:sz w:val="22"/>
            <w:szCs w:val="22"/>
          </w:rPr>
          <w:t xml:space="preserve"> Défi des Nations Unies pour les métavilles</w:t>
        </w:r>
      </w:hyperlink>
      <w:r w:rsidRPr="00A06502">
        <w:rPr>
          <w:rFonts w:cstheme="minorHAnsi"/>
          <w:sz w:val="22"/>
          <w:szCs w:val="22"/>
        </w:rPr>
        <w:t xml:space="preserve">. Lancé en février 2025, ce défi constitue une compétition mondiale coorganisée par l'UIT et 18 partenaires, invitant les étudiants et </w:t>
      </w:r>
      <w:proofErr w:type="gramStart"/>
      <w:r w:rsidRPr="00A06502">
        <w:rPr>
          <w:rFonts w:cstheme="minorHAnsi"/>
          <w:sz w:val="22"/>
          <w:szCs w:val="22"/>
        </w:rPr>
        <w:t>les start-up</w:t>
      </w:r>
      <w:proofErr w:type="gramEnd"/>
      <w:r w:rsidRPr="00A06502">
        <w:rPr>
          <w:rFonts w:cstheme="minorHAnsi"/>
          <w:sz w:val="22"/>
          <w:szCs w:val="22"/>
        </w:rPr>
        <w:t xml:space="preserve"> à concevoir des solutions fondées sur l'IA et les mondes virtuels pour répondre aux enjeux urbains réels.</w:t>
      </w:r>
    </w:p>
    <w:p w14:paraId="777FC0B1" w14:textId="77777777" w:rsidR="0062604F" w:rsidRPr="00A06502" w:rsidRDefault="0062604F" w:rsidP="0062604F">
      <w:pPr>
        <w:tabs>
          <w:tab w:val="left" w:pos="900"/>
        </w:tabs>
        <w:rPr>
          <w:rFonts w:cstheme="minorHAnsi"/>
          <w:sz w:val="22"/>
          <w:szCs w:val="22"/>
        </w:rPr>
      </w:pPr>
      <w:r w:rsidRPr="00A06502">
        <w:rPr>
          <w:rFonts w:cstheme="minorHAnsi"/>
          <w:sz w:val="22"/>
          <w:szCs w:val="22"/>
        </w:rPr>
        <w:t>5</w:t>
      </w:r>
      <w:r w:rsidRPr="00A06502">
        <w:rPr>
          <w:rFonts w:cstheme="minorHAnsi"/>
          <w:sz w:val="22"/>
          <w:szCs w:val="22"/>
        </w:rPr>
        <w:tab/>
        <w:t>La participation à la manifestation est gratuite et ouverte aux États Membres, Membres de Secteur et Associés de l'UIT,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7B10412E" w14:textId="10D405F9" w:rsidR="0062604F" w:rsidRPr="00A06502" w:rsidRDefault="0062604F" w:rsidP="0062604F">
      <w:pPr>
        <w:tabs>
          <w:tab w:val="left" w:pos="900"/>
        </w:tabs>
        <w:rPr>
          <w:rFonts w:cstheme="minorHAnsi"/>
          <w:sz w:val="22"/>
          <w:szCs w:val="22"/>
        </w:rPr>
      </w:pPr>
      <w:r w:rsidRPr="00A06502">
        <w:rPr>
          <w:rFonts w:cstheme="minorHAnsi"/>
          <w:sz w:val="22"/>
          <w:szCs w:val="22"/>
        </w:rPr>
        <w:lastRenderedPageBreak/>
        <w:t>6</w:t>
      </w:r>
      <w:r w:rsidRPr="00A06502">
        <w:rPr>
          <w:rFonts w:cstheme="minorHAnsi"/>
          <w:sz w:val="22"/>
          <w:szCs w:val="22"/>
        </w:rPr>
        <w:tab/>
        <w:t xml:space="preserve">Les informations relatives à la réunion, notamment le projet de programme, les intervenants et le lien pour l'inscription, seront publiées sur le </w:t>
      </w:r>
      <w:hyperlink r:id="rId13" w:history="1">
        <w:r w:rsidRPr="00A06502">
          <w:rPr>
            <w:rStyle w:val="Hyperlink"/>
            <w:rFonts w:cstheme="minorHAnsi"/>
            <w:sz w:val="22"/>
            <w:szCs w:val="22"/>
          </w:rPr>
          <w:t>site web de l'initiat</w:t>
        </w:r>
        <w:r w:rsidRPr="00A06502">
          <w:rPr>
            <w:rStyle w:val="Hyperlink"/>
            <w:rFonts w:cstheme="minorHAnsi"/>
            <w:sz w:val="22"/>
            <w:szCs w:val="22"/>
          </w:rPr>
          <w:t>i</w:t>
        </w:r>
        <w:r w:rsidRPr="00A06502">
          <w:rPr>
            <w:rStyle w:val="Hyperlink"/>
            <w:rFonts w:cstheme="minorHAnsi"/>
            <w:sz w:val="22"/>
            <w:szCs w:val="22"/>
          </w:rPr>
          <w:t>ve</w:t>
        </w:r>
      </w:hyperlink>
      <w:r w:rsidRPr="00A06502">
        <w:rPr>
          <w:rFonts w:cstheme="minorHAnsi"/>
          <w:sz w:val="22"/>
          <w:szCs w:val="22"/>
        </w:rPr>
        <w:t xml:space="preserve">. Ce site web sera actualisé régulièrement à mesure que parviendront des informations nouvelles ou modifiées, et les participants sont invités à le consulter régulièrement pour prendre connaissance des dernières mises à jour. </w:t>
      </w:r>
      <w:r w:rsidRPr="00A06502">
        <w:rPr>
          <w:rFonts w:cstheme="minorHAnsi"/>
          <w:b/>
          <w:bCs/>
          <w:sz w:val="22"/>
          <w:szCs w:val="22"/>
        </w:rPr>
        <w:t>Veuillez noter que l'inscription à la réunion est obligatoire afin d'y</w:t>
      </w:r>
      <w:r w:rsidR="00F874E0" w:rsidRPr="00A06502">
        <w:rPr>
          <w:rFonts w:cstheme="minorHAnsi"/>
          <w:b/>
          <w:bCs/>
          <w:sz w:val="22"/>
          <w:szCs w:val="22"/>
        </w:rPr>
        <w:t> </w:t>
      </w:r>
      <w:r w:rsidRPr="00A06502">
        <w:rPr>
          <w:rFonts w:cstheme="minorHAnsi"/>
          <w:b/>
          <w:bCs/>
          <w:sz w:val="22"/>
          <w:szCs w:val="22"/>
        </w:rPr>
        <w:t>participer.</w:t>
      </w:r>
    </w:p>
    <w:p w14:paraId="39A17DB8" w14:textId="77777777" w:rsidR="0062604F" w:rsidRPr="00A06502" w:rsidRDefault="0062604F" w:rsidP="0062604F">
      <w:pPr>
        <w:tabs>
          <w:tab w:val="left" w:pos="900"/>
        </w:tabs>
        <w:rPr>
          <w:rFonts w:cstheme="minorHAnsi"/>
          <w:sz w:val="22"/>
          <w:szCs w:val="22"/>
        </w:rPr>
      </w:pPr>
      <w:r w:rsidRPr="00A06502">
        <w:rPr>
          <w:rFonts w:cstheme="minorHAnsi"/>
          <w:sz w:val="22"/>
          <w:szCs w:val="22"/>
        </w:rPr>
        <w:t>7</w:t>
      </w:r>
      <w:r w:rsidRPr="00A06502">
        <w:rPr>
          <w:rFonts w:cstheme="minorHAnsi"/>
          <w:sz w:val="22"/>
          <w:szCs w:val="22"/>
        </w:rPr>
        <w:tab/>
        <w:t>Nous vous rappelons que, pour les ressortissants de certains pays, l'entrée et le séjour, quelle qu'en soit la durée, sur le territoire de l'Espagne sont soumis à l'obtention d'un visa. Si vous avez besoin d'un visa, celui-ci doit être demandé avant la date de votre arrivée et obtenu auprès de l'ambassade ou du consulat de l'Espagne dans votre pays ou, à défaut, dans le pays le plus proche de votre pays de départ. Les délais pouvant varier, nous vous suggérons de vous renseigner directement auprès de la représentation concernée et de formuler votre demande au plus tôt.</w:t>
      </w:r>
    </w:p>
    <w:p w14:paraId="0360C700" w14:textId="6830BBB7" w:rsidR="0062604F" w:rsidRPr="00A06502" w:rsidRDefault="0062604F" w:rsidP="0062604F">
      <w:pPr>
        <w:tabs>
          <w:tab w:val="left" w:pos="900"/>
        </w:tabs>
        <w:rPr>
          <w:rFonts w:cstheme="minorHAnsi"/>
          <w:sz w:val="22"/>
          <w:szCs w:val="22"/>
        </w:rPr>
      </w:pPr>
      <w:r w:rsidRPr="00A06502">
        <w:rPr>
          <w:rFonts w:cstheme="minorHAnsi"/>
          <w:sz w:val="22"/>
          <w:szCs w:val="22"/>
        </w:rPr>
        <w:t xml:space="preserve">Des renseignements supplémentaires et les documents nécessaires pour le traitement des demandes de visas, le cas échéant, seront publiés sur le </w:t>
      </w:r>
      <w:hyperlink r:id="rId14" w:history="1">
        <w:r w:rsidRPr="00A06502">
          <w:rPr>
            <w:rStyle w:val="Hyperlink"/>
            <w:rFonts w:cstheme="minorHAnsi"/>
            <w:sz w:val="22"/>
            <w:szCs w:val="22"/>
          </w:rPr>
          <w:t xml:space="preserve">site </w:t>
        </w:r>
        <w:r w:rsidRPr="00A06502">
          <w:rPr>
            <w:rStyle w:val="Hyperlink"/>
            <w:rFonts w:cstheme="minorHAnsi"/>
            <w:sz w:val="22"/>
            <w:szCs w:val="22"/>
          </w:rPr>
          <w:t>w</w:t>
        </w:r>
        <w:r w:rsidRPr="00A06502">
          <w:rPr>
            <w:rStyle w:val="Hyperlink"/>
            <w:rFonts w:cstheme="minorHAnsi"/>
            <w:sz w:val="22"/>
            <w:szCs w:val="22"/>
          </w:rPr>
          <w:t>eb de la manifestation</w:t>
        </w:r>
      </w:hyperlink>
      <w:r w:rsidRPr="00A06502">
        <w:rPr>
          <w:rFonts w:cstheme="minorHAnsi"/>
          <w:sz w:val="22"/>
          <w:szCs w:val="22"/>
        </w:rPr>
        <w:t>.</w:t>
      </w:r>
    </w:p>
    <w:p w14:paraId="3DAA72C7" w14:textId="30F5CBF1" w:rsidR="0062604F" w:rsidRPr="00A06502" w:rsidRDefault="0062604F" w:rsidP="0062604F">
      <w:pPr>
        <w:tabs>
          <w:tab w:val="left" w:pos="900"/>
        </w:tabs>
        <w:rPr>
          <w:rFonts w:cstheme="minorHAnsi"/>
          <w:sz w:val="22"/>
          <w:szCs w:val="22"/>
        </w:rPr>
      </w:pPr>
      <w:r w:rsidRPr="00A06502">
        <w:rPr>
          <w:rFonts w:cstheme="minorHAnsi"/>
          <w:sz w:val="22"/>
          <w:szCs w:val="22"/>
        </w:rPr>
        <w:t>Je vous souhaite une réunion constructive et agréable.</w:t>
      </w:r>
    </w:p>
    <w:p w14:paraId="609DB603" w14:textId="5EA6E0C9" w:rsidR="00F874E0" w:rsidRPr="00A06502" w:rsidRDefault="00F874E0" w:rsidP="0062604F">
      <w:pPr>
        <w:tabs>
          <w:tab w:val="left" w:pos="900"/>
        </w:tabs>
        <w:rPr>
          <w:rFonts w:cstheme="minorHAnsi"/>
          <w:sz w:val="22"/>
          <w:szCs w:val="22"/>
        </w:rPr>
      </w:pPr>
      <w:r w:rsidRPr="00A06502">
        <w:rPr>
          <w:rFonts w:cstheme="minorHAnsi"/>
          <w:color w:val="000000"/>
          <w:sz w:val="22"/>
          <w:szCs w:val="22"/>
        </w:rPr>
        <w:t>Veuillez agréer, Madame, Monsieur, l'assurance de ma considération distinguée</w:t>
      </w:r>
      <w:r w:rsidRPr="00A06502">
        <w:rPr>
          <w:rFonts w:cstheme="minorHAnsi"/>
          <w:sz w:val="22"/>
          <w:szCs w:val="22"/>
        </w:rPr>
        <w:t>.</w:t>
      </w:r>
    </w:p>
    <w:tbl>
      <w:tblPr>
        <w:tblStyle w:val="TableGrid"/>
        <w:tblW w:w="0" w:type="auto"/>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0"/>
        <w:gridCol w:w="2568"/>
      </w:tblGrid>
      <w:tr w:rsidR="009E3253" w:rsidRPr="00A06502" w14:paraId="55A8B1C6" w14:textId="77777777" w:rsidTr="00CB71E9">
        <w:trPr>
          <w:cantSplit/>
          <w:trHeight w:val="2205"/>
        </w:trPr>
        <w:tc>
          <w:tcPr>
            <w:tcW w:w="7460" w:type="dxa"/>
          </w:tcPr>
          <w:p w14:paraId="34B26CED" w14:textId="430A7901" w:rsidR="009E3253" w:rsidRPr="00A06502" w:rsidRDefault="005B6A7C" w:rsidP="00A06502">
            <w:pPr>
              <w:spacing w:before="720"/>
              <w:rPr>
                <w:rFonts w:cstheme="minorHAnsi"/>
                <w:color w:val="000000"/>
                <w:sz w:val="22"/>
                <w:szCs w:val="22"/>
              </w:rPr>
            </w:pPr>
            <w:r>
              <w:rPr>
                <w:rFonts w:cstheme="minorHAnsi"/>
                <w:noProof/>
                <w:sz w:val="22"/>
                <w:szCs w:val="22"/>
              </w:rPr>
              <w:drawing>
                <wp:anchor distT="0" distB="0" distL="114300" distR="114300" simplePos="0" relativeHeight="251658240" behindDoc="1" locked="0" layoutInCell="1" allowOverlap="1" wp14:anchorId="23F0DAD6" wp14:editId="6EAF9BE3">
                  <wp:simplePos x="0" y="0"/>
                  <wp:positionH relativeFrom="column">
                    <wp:posOffset>-11430</wp:posOffset>
                  </wp:positionH>
                  <wp:positionV relativeFrom="paragraph">
                    <wp:posOffset>81280</wp:posOffset>
                  </wp:positionV>
                  <wp:extent cx="692186" cy="330217"/>
                  <wp:effectExtent l="0" t="0" r="0" b="0"/>
                  <wp:wrapNone/>
                  <wp:docPr id="4448647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64774" name="Picture 1" descr="A black text on a white backgroun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9E3253" w:rsidRPr="00A06502">
              <w:rPr>
                <w:rFonts w:cstheme="minorHAnsi"/>
                <w:sz w:val="22"/>
                <w:szCs w:val="22"/>
              </w:rPr>
              <w:t>Seizo Onoe</w:t>
            </w:r>
            <w:r w:rsidR="009E3253" w:rsidRPr="00A06502">
              <w:rPr>
                <w:rFonts w:cstheme="minorHAnsi"/>
                <w:sz w:val="22"/>
                <w:szCs w:val="22"/>
              </w:rPr>
              <w:br/>
              <w:t>Directeur du Bureau de la normalisation</w:t>
            </w:r>
            <w:r w:rsidR="009E3253" w:rsidRPr="00A06502">
              <w:rPr>
                <w:rFonts w:cstheme="minorHAnsi"/>
                <w:sz w:val="22"/>
                <w:szCs w:val="22"/>
              </w:rPr>
              <w:br/>
              <w:t>des télécommunications</w:t>
            </w:r>
          </w:p>
        </w:tc>
        <w:tc>
          <w:tcPr>
            <w:tcW w:w="1928" w:type="dxa"/>
            <w:textDirection w:val="btLr"/>
            <w:vAlign w:val="center"/>
          </w:tcPr>
          <w:p w14:paraId="2C9CD7B0" w14:textId="15ACF02D" w:rsidR="009E3253" w:rsidRPr="00A06502" w:rsidRDefault="009E3253" w:rsidP="00CB71E9">
            <w:pPr>
              <w:ind w:left="113" w:right="113"/>
              <w:jc w:val="center"/>
              <w:rPr>
                <w:rFonts w:cstheme="minorHAnsi"/>
                <w:color w:val="000000"/>
                <w:sz w:val="22"/>
                <w:szCs w:val="22"/>
              </w:rPr>
            </w:pPr>
            <w:r w:rsidRPr="00A06502">
              <w:rPr>
                <w:rFonts w:cstheme="minorHAnsi"/>
                <w:noProof/>
                <w:color w:val="000000"/>
                <w:sz w:val="22"/>
                <w:szCs w:val="22"/>
              </w:rPr>
              <w:drawing>
                <wp:inline distT="0" distB="0" distL="0" distR="0" wp14:anchorId="2686B0D0" wp14:editId="76096362">
                  <wp:extent cx="1155940" cy="1155940"/>
                  <wp:effectExtent l="0" t="0" r="6350" b="635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59837" cy="1159837"/>
                          </a:xfrm>
                          <a:prstGeom prst="rect">
                            <a:avLst/>
                          </a:prstGeom>
                          <a:noFill/>
                          <a:ln>
                            <a:noFill/>
                          </a:ln>
                        </pic:spPr>
                      </pic:pic>
                    </a:graphicData>
                  </a:graphic>
                </wp:inline>
              </w:drawing>
            </w:r>
          </w:p>
          <w:p w14:paraId="3C098E66" w14:textId="180B5873" w:rsidR="009E3253" w:rsidRPr="00A06502" w:rsidRDefault="009E3253" w:rsidP="00CB71E9">
            <w:pPr>
              <w:ind w:left="113" w:right="113"/>
              <w:jc w:val="center"/>
              <w:rPr>
                <w:rFonts w:cstheme="minorHAnsi"/>
                <w:color w:val="000000"/>
                <w:sz w:val="22"/>
                <w:szCs w:val="22"/>
              </w:rPr>
            </w:pPr>
            <w:r w:rsidRPr="00A06502">
              <w:rPr>
                <w:rFonts w:cstheme="minorHAnsi"/>
                <w:color w:val="000000"/>
                <w:sz w:val="22"/>
                <w:szCs w:val="22"/>
              </w:rPr>
              <w:t>Plus d'informations</w:t>
            </w:r>
          </w:p>
        </w:tc>
      </w:tr>
    </w:tbl>
    <w:p w14:paraId="3B647157" w14:textId="2F35FC68" w:rsidR="00517A03" w:rsidRPr="00A06502" w:rsidRDefault="00517A03" w:rsidP="009E3253">
      <w:pPr>
        <w:rPr>
          <w:rFonts w:cstheme="minorHAnsi"/>
          <w:bCs/>
          <w:sz w:val="22"/>
          <w:szCs w:val="22"/>
        </w:rPr>
      </w:pPr>
    </w:p>
    <w:sectPr w:rsidR="00517A03" w:rsidRPr="00A06502" w:rsidSect="00A15179">
      <w:head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85B2" w14:textId="77777777" w:rsidR="00DC6AD1" w:rsidRDefault="00DC6AD1">
      <w:r>
        <w:separator/>
      </w:r>
    </w:p>
  </w:endnote>
  <w:endnote w:type="continuationSeparator" w:id="0">
    <w:p w14:paraId="7010DDFC" w14:textId="77777777" w:rsidR="00DC6AD1" w:rsidRDefault="00DC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7BC3" w14:textId="77777777" w:rsidR="00DC6AD1" w:rsidRDefault="00DC6AD1">
      <w:r>
        <w:t>____________________</w:t>
      </w:r>
    </w:p>
  </w:footnote>
  <w:footnote w:type="continuationSeparator" w:id="0">
    <w:p w14:paraId="13C7483D" w14:textId="77777777" w:rsidR="00DC6AD1" w:rsidRDefault="00DC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5C187A1D" w:rsidR="00697BC1" w:rsidRPr="00697BC1" w:rsidRDefault="0063550F" w:rsidP="00697BC1">
    <w:pPr>
      <w:pStyle w:val="Header"/>
      <w:rPr>
        <w:sz w:val="18"/>
        <w:szCs w:val="16"/>
      </w:rPr>
    </w:pPr>
    <w:r>
      <w:rPr>
        <w:sz w:val="18"/>
        <w:szCs w:val="16"/>
      </w:rPr>
      <w:t>-</w:t>
    </w: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Pr>
            <w:noProof/>
            <w:sz w:val="18"/>
            <w:szCs w:val="16"/>
          </w:rPr>
          <w:t>-</w:t>
        </w:r>
      </w:sdtContent>
    </w:sdt>
    <w:r w:rsidR="00AF0D7D">
      <w:rPr>
        <w:noProof/>
        <w:sz w:val="18"/>
        <w:szCs w:val="16"/>
      </w:rPr>
      <w:br/>
      <w:t xml:space="preserve">Circulaire TSB </w:t>
    </w:r>
    <w:r>
      <w:rPr>
        <w:noProof/>
        <w:sz w:val="18"/>
        <w:szCs w:val="16"/>
      </w:rPr>
      <w:t>0</w:t>
    </w:r>
    <w:r w:rsidR="004D2B16">
      <w:rPr>
        <w:noProof/>
        <w:sz w:val="18"/>
        <w:szCs w:val="16"/>
      </w:rPr>
      <w:t>7</w:t>
    </w:r>
    <w:r w:rsidR="009E3253">
      <w:rPr>
        <w:noProof/>
        <w:sz w:val="18"/>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B7106BF"/>
    <w:multiLevelType w:val="hybridMultilevel"/>
    <w:tmpl w:val="E0C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344"/>
    <w:multiLevelType w:val="hybridMultilevel"/>
    <w:tmpl w:val="D3A034FA"/>
    <w:lvl w:ilvl="0" w:tplc="F5264712">
      <w:numFmt w:val="bullet"/>
      <w:lvlText w:val="–"/>
      <w:lvlJc w:val="left"/>
      <w:pPr>
        <w:ind w:left="440" w:hanging="360"/>
      </w:pPr>
      <w:rPr>
        <w:rFonts w:ascii="Calibri" w:eastAsia="Times New Roman"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4"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5"/>
  </w:num>
  <w:num w:numId="3" w16cid:durableId="2075545744">
    <w:abstractNumId w:val="4"/>
  </w:num>
  <w:num w:numId="4" w16cid:durableId="1871449755">
    <w:abstractNumId w:val="0"/>
  </w:num>
  <w:num w:numId="5" w16cid:durableId="316038484">
    <w:abstractNumId w:val="2"/>
  </w:num>
  <w:num w:numId="6" w16cid:durableId="58499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0E1E2A"/>
    <w:rsid w:val="001026FD"/>
    <w:rsid w:val="001077FD"/>
    <w:rsid w:val="00115DD7"/>
    <w:rsid w:val="00130F92"/>
    <w:rsid w:val="001335F9"/>
    <w:rsid w:val="00167472"/>
    <w:rsid w:val="00167F92"/>
    <w:rsid w:val="00173738"/>
    <w:rsid w:val="001B79A3"/>
    <w:rsid w:val="002152A3"/>
    <w:rsid w:val="0023667A"/>
    <w:rsid w:val="002774DF"/>
    <w:rsid w:val="002937DB"/>
    <w:rsid w:val="002E395D"/>
    <w:rsid w:val="00307FB4"/>
    <w:rsid w:val="003131F0"/>
    <w:rsid w:val="00333A80"/>
    <w:rsid w:val="00340EFA"/>
    <w:rsid w:val="00341117"/>
    <w:rsid w:val="00364E95"/>
    <w:rsid w:val="00372875"/>
    <w:rsid w:val="003742F8"/>
    <w:rsid w:val="003A6C98"/>
    <w:rsid w:val="003B1E80"/>
    <w:rsid w:val="003B66E8"/>
    <w:rsid w:val="003E66AD"/>
    <w:rsid w:val="004033F1"/>
    <w:rsid w:val="00414B0C"/>
    <w:rsid w:val="00423C21"/>
    <w:rsid w:val="004257AC"/>
    <w:rsid w:val="0043711B"/>
    <w:rsid w:val="004419E9"/>
    <w:rsid w:val="00445B68"/>
    <w:rsid w:val="0048088B"/>
    <w:rsid w:val="004977C9"/>
    <w:rsid w:val="004B732E"/>
    <w:rsid w:val="004D2B16"/>
    <w:rsid w:val="004D51F4"/>
    <w:rsid w:val="004D64E0"/>
    <w:rsid w:val="005120A2"/>
    <w:rsid w:val="0051210D"/>
    <w:rsid w:val="005136D2"/>
    <w:rsid w:val="00517A03"/>
    <w:rsid w:val="005A3DD9"/>
    <w:rsid w:val="005B1DFC"/>
    <w:rsid w:val="005B6A7C"/>
    <w:rsid w:val="00601682"/>
    <w:rsid w:val="00603470"/>
    <w:rsid w:val="00625990"/>
    <w:rsid w:val="00625E79"/>
    <w:rsid w:val="0062604F"/>
    <w:rsid w:val="006333F7"/>
    <w:rsid w:val="0063550F"/>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76FF0"/>
    <w:rsid w:val="00887FA6"/>
    <w:rsid w:val="008C4397"/>
    <w:rsid w:val="008C465A"/>
    <w:rsid w:val="008F2C9B"/>
    <w:rsid w:val="008F626E"/>
    <w:rsid w:val="00923CD6"/>
    <w:rsid w:val="00935AA8"/>
    <w:rsid w:val="00971C9A"/>
    <w:rsid w:val="00987336"/>
    <w:rsid w:val="009D51FA"/>
    <w:rsid w:val="009E3253"/>
    <w:rsid w:val="009F1E23"/>
    <w:rsid w:val="00A06502"/>
    <w:rsid w:val="00A15179"/>
    <w:rsid w:val="00A51537"/>
    <w:rsid w:val="00A5280F"/>
    <w:rsid w:val="00A5645A"/>
    <w:rsid w:val="00A60FC1"/>
    <w:rsid w:val="00A97C37"/>
    <w:rsid w:val="00AA131B"/>
    <w:rsid w:val="00AC37B5"/>
    <w:rsid w:val="00AD752F"/>
    <w:rsid w:val="00AF08A4"/>
    <w:rsid w:val="00AF0D7D"/>
    <w:rsid w:val="00B00A8B"/>
    <w:rsid w:val="00B27B41"/>
    <w:rsid w:val="00B42659"/>
    <w:rsid w:val="00B46F2D"/>
    <w:rsid w:val="00B60868"/>
    <w:rsid w:val="00B8573E"/>
    <w:rsid w:val="00BB24C0"/>
    <w:rsid w:val="00BC15E0"/>
    <w:rsid w:val="00BD4D3E"/>
    <w:rsid w:val="00BD6ECF"/>
    <w:rsid w:val="00C26F2E"/>
    <w:rsid w:val="00C302E3"/>
    <w:rsid w:val="00C41B89"/>
    <w:rsid w:val="00C45376"/>
    <w:rsid w:val="00C54B80"/>
    <w:rsid w:val="00C9028F"/>
    <w:rsid w:val="00CA0416"/>
    <w:rsid w:val="00CB1125"/>
    <w:rsid w:val="00CB4E80"/>
    <w:rsid w:val="00CB71E9"/>
    <w:rsid w:val="00CD042E"/>
    <w:rsid w:val="00CE6BFC"/>
    <w:rsid w:val="00CF2560"/>
    <w:rsid w:val="00CF5B46"/>
    <w:rsid w:val="00D46B68"/>
    <w:rsid w:val="00D542A5"/>
    <w:rsid w:val="00DC3D47"/>
    <w:rsid w:val="00DC6AD1"/>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874E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character" w:customStyle="1" w:styleId="normaltextrun">
    <w:name w:val="normaltextrun"/>
    <w:basedOn w:val="DefaultParagraphFont"/>
    <w:rsid w:val="000E1E2A"/>
  </w:style>
  <w:style w:type="character" w:customStyle="1" w:styleId="eop">
    <w:name w:val="eop"/>
    <w:basedOn w:val="DefaultParagraphFont"/>
    <w:rsid w:val="000E1E2A"/>
  </w:style>
  <w:style w:type="paragraph" w:styleId="ListParagraph">
    <w:name w:val="List Paragraph"/>
    <w:basedOn w:val="Normal"/>
    <w:uiPriority w:val="34"/>
    <w:qFormat/>
    <w:rsid w:val="000E1E2A"/>
    <w:pPr>
      <w:tabs>
        <w:tab w:val="clear" w:pos="794"/>
        <w:tab w:val="clear" w:pos="1191"/>
        <w:tab w:val="clear" w:pos="1588"/>
        <w:tab w:val="clear" w:pos="1985"/>
        <w:tab w:val="left" w:pos="1134"/>
        <w:tab w:val="left" w:pos="1871"/>
        <w:tab w:val="left" w:pos="2268"/>
      </w:tabs>
      <w:ind w:left="720"/>
      <w:contextualSpacing/>
    </w:pPr>
    <w:rPr>
      <w:rFonts w:eastAsia="MS Mincho"/>
      <w:lang w:val="en-GB"/>
    </w:rPr>
  </w:style>
  <w:style w:type="table" w:styleId="TableGrid">
    <w:name w:val="Table Grid"/>
    <w:basedOn w:val="TableNormal"/>
    <w:rsid w:val="009E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1st-un-citiverse-challen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etaverse/virtual-worlds/1st-un-citiverse-challen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metaverse/virtual-worl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metaverse/virtual-worlds/1st-citiverse-assembl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4</TotalTime>
  <Pages>2</Pages>
  <Words>721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5337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2025-12-18T10:10:00Z</cp:lastPrinted>
  <dcterms:created xsi:type="dcterms:W3CDTF">2025-12-17T15:55:00Z</dcterms:created>
  <dcterms:modified xsi:type="dcterms:W3CDTF">2025-12-18T10:11:00Z</dcterms:modified>
</cp:coreProperties>
</file>