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90" w:tblpY="-380"/>
        <w:tblW w:w="9810" w:type="dxa"/>
        <w:tblLayout w:type="fixed"/>
        <w:tblCellMar>
          <w:left w:w="0" w:type="dxa"/>
          <w:right w:w="0" w:type="dxa"/>
        </w:tblCellMar>
        <w:tblLook w:val="0000" w:firstRow="0" w:lastRow="0" w:firstColumn="0" w:lastColumn="0" w:noHBand="0" w:noVBand="0"/>
      </w:tblPr>
      <w:tblGrid>
        <w:gridCol w:w="1314"/>
        <w:gridCol w:w="284"/>
        <w:gridCol w:w="3467"/>
        <w:gridCol w:w="4745"/>
      </w:tblGrid>
      <w:tr w:rsidR="007B6316" w:rsidRPr="00F20797" w14:paraId="2920FF38" w14:textId="77777777" w:rsidTr="005D2FC8">
        <w:trPr>
          <w:cantSplit/>
          <w:trHeight w:val="340"/>
        </w:trPr>
        <w:tc>
          <w:tcPr>
            <w:tcW w:w="1598" w:type="dxa"/>
            <w:gridSpan w:val="2"/>
          </w:tcPr>
          <w:p w14:paraId="0156C8A9" w14:textId="77777777" w:rsidR="007B6316" w:rsidRPr="00F20797" w:rsidRDefault="007B6316" w:rsidP="005D2FC8">
            <w:pPr>
              <w:tabs>
                <w:tab w:val="left" w:pos="4111"/>
              </w:tabs>
              <w:spacing w:before="10"/>
              <w:ind w:left="57"/>
              <w:rPr>
                <w:sz w:val="22"/>
                <w:szCs w:val="22"/>
              </w:rPr>
            </w:pPr>
            <w:r w:rsidRPr="00F20797">
              <w:rPr>
                <w:noProof/>
                <w:sz w:val="22"/>
                <w:szCs w:val="22"/>
                <w:lang w:val="en-US" w:eastAsia="zh-CN"/>
              </w:rPr>
              <w:drawing>
                <wp:inline distT="0" distB="0" distL="0" distR="0" wp14:anchorId="69D6FE10" wp14:editId="076C54C4">
                  <wp:extent cx="787400" cy="787400"/>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inline>
              </w:drawing>
            </w:r>
          </w:p>
        </w:tc>
        <w:tc>
          <w:tcPr>
            <w:tcW w:w="8212" w:type="dxa"/>
            <w:gridSpan w:val="2"/>
            <w:vAlign w:val="center"/>
          </w:tcPr>
          <w:p w14:paraId="795CA786" w14:textId="77777777" w:rsidR="007B6316" w:rsidRPr="005D2FC8" w:rsidRDefault="007B6316" w:rsidP="005D2FC8">
            <w:pPr>
              <w:spacing w:before="0"/>
              <w:rPr>
                <w:rFonts w:cs="Times New Roman Bold"/>
                <w:b/>
                <w:bCs/>
                <w:smallCaps/>
                <w:sz w:val="36"/>
                <w:szCs w:val="30"/>
              </w:rPr>
            </w:pPr>
            <w:r w:rsidRPr="005D2FC8">
              <w:rPr>
                <w:rFonts w:cs="Times New Roman Bold"/>
                <w:b/>
                <w:bCs/>
                <w:smallCaps/>
                <w:sz w:val="36"/>
                <w:szCs w:val="30"/>
              </w:rPr>
              <w:t>Unión Internacional de Telecomunicaciones</w:t>
            </w:r>
          </w:p>
          <w:p w14:paraId="7293BF5B" w14:textId="77777777" w:rsidR="007B6316" w:rsidRPr="00F20797" w:rsidRDefault="007B6316" w:rsidP="005D2FC8">
            <w:pPr>
              <w:spacing w:before="0"/>
              <w:rPr>
                <w:sz w:val="22"/>
                <w:szCs w:val="22"/>
              </w:rPr>
            </w:pPr>
            <w:r w:rsidRPr="005D2FC8">
              <w:rPr>
                <w:rFonts w:cs="Times New Roman Bold"/>
                <w:b/>
                <w:bCs/>
                <w:smallCaps/>
                <w:sz w:val="28"/>
                <w:szCs w:val="26"/>
              </w:rPr>
              <w:t>Oficina</w:t>
            </w:r>
            <w:r w:rsidRPr="005D2FC8">
              <w:rPr>
                <w:rFonts w:cs="Times New Roman Bold"/>
                <w:b/>
                <w:bCs/>
                <w:iCs/>
                <w:smallCaps/>
                <w:sz w:val="28"/>
                <w:szCs w:val="26"/>
              </w:rPr>
              <w:t xml:space="preserve"> de Normalización de las Telecomunicaciones</w:t>
            </w:r>
          </w:p>
        </w:tc>
      </w:tr>
      <w:tr w:rsidR="007B6316" w:rsidRPr="00F20797" w14:paraId="43EC9BFD" w14:textId="77777777" w:rsidTr="005D2FC8">
        <w:trPr>
          <w:cantSplit/>
          <w:trHeight w:val="816"/>
        </w:trPr>
        <w:tc>
          <w:tcPr>
            <w:tcW w:w="1314" w:type="dxa"/>
          </w:tcPr>
          <w:p w14:paraId="71EBD63E" w14:textId="77777777" w:rsidR="007B6316" w:rsidRPr="00F20797" w:rsidRDefault="007B6316" w:rsidP="005D2FC8">
            <w:pPr>
              <w:tabs>
                <w:tab w:val="left" w:pos="4111"/>
              </w:tabs>
              <w:spacing w:before="10"/>
              <w:ind w:left="57"/>
              <w:rPr>
                <w:b/>
                <w:bCs/>
                <w:sz w:val="22"/>
                <w:szCs w:val="22"/>
              </w:rPr>
            </w:pPr>
          </w:p>
        </w:tc>
        <w:tc>
          <w:tcPr>
            <w:tcW w:w="3751" w:type="dxa"/>
            <w:gridSpan w:val="2"/>
          </w:tcPr>
          <w:p w14:paraId="7F86ECA0" w14:textId="77777777" w:rsidR="007B6316" w:rsidRPr="00F20797" w:rsidRDefault="007B6316" w:rsidP="005D2FC8">
            <w:pPr>
              <w:tabs>
                <w:tab w:val="left" w:pos="4111"/>
              </w:tabs>
              <w:spacing w:before="0"/>
              <w:ind w:left="57"/>
              <w:rPr>
                <w:b/>
                <w:sz w:val="22"/>
                <w:szCs w:val="22"/>
              </w:rPr>
            </w:pPr>
          </w:p>
        </w:tc>
        <w:tc>
          <w:tcPr>
            <w:tcW w:w="4745" w:type="dxa"/>
          </w:tcPr>
          <w:p w14:paraId="7630A9BD" w14:textId="4955FEE1" w:rsidR="007B6316" w:rsidRPr="00F20797" w:rsidRDefault="007B6316" w:rsidP="005D2FC8">
            <w:pPr>
              <w:tabs>
                <w:tab w:val="clear" w:pos="794"/>
                <w:tab w:val="clear" w:pos="1191"/>
                <w:tab w:val="clear" w:pos="1588"/>
                <w:tab w:val="clear" w:pos="1985"/>
                <w:tab w:val="left" w:pos="284"/>
              </w:tabs>
              <w:spacing w:after="120"/>
              <w:ind w:left="284" w:hanging="227"/>
              <w:rPr>
                <w:sz w:val="22"/>
                <w:szCs w:val="22"/>
              </w:rPr>
            </w:pPr>
            <w:r w:rsidRPr="00F20797">
              <w:rPr>
                <w:sz w:val="22"/>
                <w:szCs w:val="22"/>
              </w:rPr>
              <w:t>Ginebra,</w:t>
            </w:r>
            <w:r w:rsidR="00B12FF0" w:rsidRPr="00F20797">
              <w:rPr>
                <w:sz w:val="22"/>
                <w:szCs w:val="22"/>
              </w:rPr>
              <w:t xml:space="preserve"> 23 de septiembre de 2025</w:t>
            </w:r>
          </w:p>
        </w:tc>
      </w:tr>
      <w:tr w:rsidR="001350B9" w:rsidRPr="00F20797" w14:paraId="584EC499" w14:textId="77777777" w:rsidTr="005D2FC8">
        <w:trPr>
          <w:cantSplit/>
          <w:trHeight w:val="340"/>
        </w:trPr>
        <w:tc>
          <w:tcPr>
            <w:tcW w:w="1314" w:type="dxa"/>
          </w:tcPr>
          <w:p w14:paraId="67291B24" w14:textId="77777777" w:rsidR="001350B9" w:rsidRPr="00F20797" w:rsidRDefault="001350B9" w:rsidP="005D2FC8">
            <w:pPr>
              <w:tabs>
                <w:tab w:val="left" w:pos="4111"/>
              </w:tabs>
              <w:spacing w:before="10"/>
              <w:ind w:left="57"/>
              <w:rPr>
                <w:sz w:val="22"/>
                <w:szCs w:val="22"/>
              </w:rPr>
            </w:pPr>
            <w:r w:rsidRPr="00F20797">
              <w:rPr>
                <w:sz w:val="22"/>
                <w:szCs w:val="22"/>
              </w:rPr>
              <w:t>Ref.:</w:t>
            </w:r>
          </w:p>
          <w:p w14:paraId="2F0312F0" w14:textId="77777777" w:rsidR="001350B9" w:rsidRPr="00F20797" w:rsidRDefault="001350B9" w:rsidP="005D2FC8">
            <w:pPr>
              <w:tabs>
                <w:tab w:val="left" w:pos="4111"/>
              </w:tabs>
              <w:spacing w:before="10"/>
              <w:ind w:left="57"/>
              <w:rPr>
                <w:sz w:val="22"/>
                <w:szCs w:val="22"/>
              </w:rPr>
            </w:pPr>
          </w:p>
        </w:tc>
        <w:tc>
          <w:tcPr>
            <w:tcW w:w="3751" w:type="dxa"/>
            <w:gridSpan w:val="2"/>
          </w:tcPr>
          <w:p w14:paraId="23FA5961" w14:textId="63F9D7E8" w:rsidR="001350B9" w:rsidRPr="00F20797" w:rsidRDefault="001350B9" w:rsidP="005D2FC8">
            <w:pPr>
              <w:tabs>
                <w:tab w:val="left" w:pos="4111"/>
              </w:tabs>
              <w:spacing w:before="0"/>
              <w:ind w:left="57"/>
              <w:rPr>
                <w:b/>
                <w:sz w:val="22"/>
                <w:szCs w:val="22"/>
              </w:rPr>
            </w:pPr>
            <w:r w:rsidRPr="00F20797">
              <w:rPr>
                <w:b/>
                <w:sz w:val="22"/>
                <w:szCs w:val="22"/>
              </w:rPr>
              <w:t xml:space="preserve">Circular TSB </w:t>
            </w:r>
            <w:r w:rsidR="00B12FF0" w:rsidRPr="00F20797">
              <w:rPr>
                <w:b/>
                <w:sz w:val="22"/>
                <w:szCs w:val="22"/>
              </w:rPr>
              <w:t>074</w:t>
            </w:r>
            <w:r w:rsidRPr="00F20797">
              <w:rPr>
                <w:b/>
                <w:sz w:val="22"/>
                <w:szCs w:val="22"/>
              </w:rPr>
              <w:t>...</w:t>
            </w:r>
          </w:p>
          <w:p w14:paraId="7DC616C6" w14:textId="127A112D" w:rsidR="001350B9" w:rsidRPr="00F20797" w:rsidRDefault="00B12FF0" w:rsidP="005D2FC8">
            <w:pPr>
              <w:tabs>
                <w:tab w:val="left" w:pos="4111"/>
              </w:tabs>
              <w:spacing w:before="0"/>
              <w:ind w:left="57"/>
              <w:rPr>
                <w:sz w:val="22"/>
                <w:szCs w:val="22"/>
              </w:rPr>
            </w:pPr>
            <w:r w:rsidRPr="00F20797">
              <w:rPr>
                <w:sz w:val="22"/>
                <w:szCs w:val="22"/>
              </w:rPr>
              <w:t>TSB Events</w:t>
            </w:r>
            <w:r w:rsidR="001350B9" w:rsidRPr="00F20797">
              <w:rPr>
                <w:sz w:val="22"/>
                <w:szCs w:val="22"/>
              </w:rPr>
              <w:t>/</w:t>
            </w:r>
            <w:r w:rsidRPr="00F20797">
              <w:rPr>
                <w:sz w:val="22"/>
                <w:szCs w:val="22"/>
              </w:rPr>
              <w:t>HO</w:t>
            </w:r>
          </w:p>
        </w:tc>
        <w:tc>
          <w:tcPr>
            <w:tcW w:w="4745" w:type="dxa"/>
            <w:vMerge w:val="restart"/>
          </w:tcPr>
          <w:p w14:paraId="2DEE459F" w14:textId="1A583E2F" w:rsidR="00B12FF0" w:rsidRPr="00F20797" w:rsidRDefault="001350B9" w:rsidP="005D2FC8">
            <w:pPr>
              <w:tabs>
                <w:tab w:val="clear" w:pos="794"/>
                <w:tab w:val="clear" w:pos="1191"/>
                <w:tab w:val="clear" w:pos="1588"/>
                <w:tab w:val="clear" w:pos="1985"/>
                <w:tab w:val="left" w:pos="284"/>
              </w:tabs>
              <w:spacing w:before="0" w:after="40"/>
              <w:ind w:left="288" w:hanging="230"/>
              <w:rPr>
                <w:sz w:val="22"/>
                <w:szCs w:val="22"/>
              </w:rPr>
            </w:pPr>
            <w:bookmarkStart w:id="0" w:name="Addressee_S"/>
            <w:bookmarkEnd w:id="0"/>
            <w:r w:rsidRPr="00F20797">
              <w:rPr>
                <w:sz w:val="22"/>
                <w:szCs w:val="22"/>
              </w:rPr>
              <w:t>-</w:t>
            </w:r>
            <w:r w:rsidRPr="00F20797">
              <w:rPr>
                <w:sz w:val="22"/>
                <w:szCs w:val="22"/>
              </w:rPr>
              <w:tab/>
              <w:t>A las Administraciones de los Estados Miembros de la Unión</w:t>
            </w:r>
            <w:r w:rsidR="00B12FF0" w:rsidRPr="00F20797">
              <w:rPr>
                <w:sz w:val="22"/>
                <w:szCs w:val="22"/>
              </w:rPr>
              <w:t>;</w:t>
            </w:r>
          </w:p>
          <w:p w14:paraId="4656472C" w14:textId="72C5EF48" w:rsidR="00B12FF0" w:rsidRPr="00F20797" w:rsidRDefault="00B12FF0" w:rsidP="005D2FC8">
            <w:pPr>
              <w:tabs>
                <w:tab w:val="clear" w:pos="794"/>
                <w:tab w:val="clear" w:pos="1191"/>
                <w:tab w:val="clear" w:pos="1588"/>
                <w:tab w:val="clear" w:pos="1985"/>
                <w:tab w:val="left" w:pos="284"/>
              </w:tabs>
              <w:spacing w:before="0" w:after="40"/>
              <w:ind w:left="288" w:hanging="230"/>
              <w:rPr>
                <w:sz w:val="22"/>
                <w:szCs w:val="22"/>
              </w:rPr>
            </w:pPr>
            <w:r w:rsidRPr="00F20797">
              <w:rPr>
                <w:sz w:val="22"/>
                <w:szCs w:val="22"/>
              </w:rPr>
              <w:t>-</w:t>
            </w:r>
            <w:r w:rsidRPr="00F20797">
              <w:rPr>
                <w:sz w:val="22"/>
                <w:szCs w:val="22"/>
              </w:rPr>
              <w:tab/>
              <w:t>Al Estado de Palestina (Resolución 99 (Rev. Dubái, 2018)</w:t>
            </w:r>
          </w:p>
          <w:p w14:paraId="79D4D345" w14:textId="5908690C" w:rsidR="00B12FF0" w:rsidRPr="00F20797" w:rsidRDefault="001350B9" w:rsidP="005D2FC8">
            <w:pPr>
              <w:tabs>
                <w:tab w:val="clear" w:pos="794"/>
                <w:tab w:val="clear" w:pos="1191"/>
                <w:tab w:val="clear" w:pos="1588"/>
                <w:tab w:val="clear" w:pos="1985"/>
                <w:tab w:val="left" w:pos="284"/>
              </w:tabs>
              <w:spacing w:before="0" w:after="40"/>
              <w:ind w:left="288" w:hanging="230"/>
              <w:rPr>
                <w:sz w:val="22"/>
                <w:szCs w:val="22"/>
              </w:rPr>
            </w:pPr>
            <w:r w:rsidRPr="00F20797">
              <w:rPr>
                <w:sz w:val="22"/>
                <w:szCs w:val="22"/>
              </w:rPr>
              <w:t>-</w:t>
            </w:r>
            <w:r w:rsidRPr="00F20797">
              <w:rPr>
                <w:sz w:val="22"/>
                <w:szCs w:val="22"/>
              </w:rPr>
              <w:tab/>
              <w:t xml:space="preserve">A los Miembros de Sector </w:t>
            </w:r>
            <w:r w:rsidR="00B12FF0" w:rsidRPr="00F20797">
              <w:rPr>
                <w:sz w:val="22"/>
                <w:szCs w:val="22"/>
              </w:rPr>
              <w:t xml:space="preserve">del </w:t>
            </w:r>
            <w:r w:rsidRPr="00F20797">
              <w:rPr>
                <w:sz w:val="22"/>
                <w:szCs w:val="22"/>
              </w:rPr>
              <w:t>UIT</w:t>
            </w:r>
            <w:r w:rsidRPr="00F20797">
              <w:rPr>
                <w:sz w:val="22"/>
                <w:szCs w:val="22"/>
              </w:rPr>
              <w:noBreakHyphen/>
              <w:t>T;</w:t>
            </w:r>
          </w:p>
          <w:p w14:paraId="4DA1C892" w14:textId="77777777" w:rsidR="00B12FF0" w:rsidRPr="00F20797" w:rsidRDefault="001350B9" w:rsidP="005D2FC8">
            <w:pPr>
              <w:tabs>
                <w:tab w:val="clear" w:pos="794"/>
                <w:tab w:val="clear" w:pos="1191"/>
                <w:tab w:val="clear" w:pos="1588"/>
                <w:tab w:val="clear" w:pos="1985"/>
                <w:tab w:val="left" w:pos="284"/>
              </w:tabs>
              <w:spacing w:before="0" w:after="40"/>
              <w:ind w:left="288" w:hanging="230"/>
              <w:rPr>
                <w:sz w:val="22"/>
                <w:szCs w:val="22"/>
              </w:rPr>
            </w:pPr>
            <w:r w:rsidRPr="00F20797">
              <w:rPr>
                <w:sz w:val="22"/>
                <w:szCs w:val="22"/>
              </w:rPr>
              <w:t>-</w:t>
            </w:r>
            <w:r w:rsidRPr="00F20797">
              <w:rPr>
                <w:sz w:val="22"/>
                <w:szCs w:val="22"/>
              </w:rPr>
              <w:tab/>
              <w:t>A los Asociados del UIT</w:t>
            </w:r>
            <w:r w:rsidRPr="00F20797">
              <w:rPr>
                <w:sz w:val="22"/>
                <w:szCs w:val="22"/>
              </w:rPr>
              <w:noBreakHyphen/>
              <w:t>T;</w:t>
            </w:r>
          </w:p>
          <w:p w14:paraId="7CC67794" w14:textId="5826EFDA" w:rsidR="00B12FF0" w:rsidRPr="00F20797" w:rsidRDefault="001350B9" w:rsidP="005D2FC8">
            <w:pPr>
              <w:tabs>
                <w:tab w:val="clear" w:pos="794"/>
                <w:tab w:val="clear" w:pos="1191"/>
                <w:tab w:val="clear" w:pos="1588"/>
                <w:tab w:val="clear" w:pos="1985"/>
                <w:tab w:val="left" w:pos="284"/>
              </w:tabs>
              <w:spacing w:before="0" w:after="40"/>
              <w:ind w:left="288" w:hanging="230"/>
              <w:rPr>
                <w:sz w:val="22"/>
                <w:szCs w:val="22"/>
              </w:rPr>
            </w:pPr>
            <w:r w:rsidRPr="00F20797">
              <w:rPr>
                <w:sz w:val="22"/>
                <w:szCs w:val="22"/>
              </w:rPr>
              <w:t>-</w:t>
            </w:r>
            <w:r w:rsidRPr="00F20797">
              <w:rPr>
                <w:sz w:val="22"/>
                <w:szCs w:val="22"/>
              </w:rPr>
              <w:tab/>
              <w:t>A las Instituciones Académicas de</w:t>
            </w:r>
            <w:r w:rsidR="00B12FF0" w:rsidRPr="00F20797">
              <w:rPr>
                <w:sz w:val="22"/>
                <w:szCs w:val="22"/>
              </w:rPr>
              <w:t xml:space="preserve"> </w:t>
            </w:r>
            <w:r w:rsidRPr="00F20797">
              <w:rPr>
                <w:sz w:val="22"/>
                <w:szCs w:val="22"/>
              </w:rPr>
              <w:t>l</w:t>
            </w:r>
            <w:r w:rsidR="00B12FF0" w:rsidRPr="00F20797">
              <w:rPr>
                <w:sz w:val="22"/>
                <w:szCs w:val="22"/>
              </w:rPr>
              <w:t>a</w:t>
            </w:r>
            <w:r w:rsidRPr="00F20797">
              <w:rPr>
                <w:sz w:val="22"/>
                <w:szCs w:val="22"/>
              </w:rPr>
              <w:t xml:space="preserve"> UIT</w:t>
            </w:r>
          </w:p>
          <w:p w14:paraId="68CC55C9" w14:textId="29FE6900" w:rsidR="00B12FF0" w:rsidRPr="00F20797" w:rsidRDefault="00B12FF0" w:rsidP="005D2FC8">
            <w:pPr>
              <w:tabs>
                <w:tab w:val="clear" w:pos="794"/>
                <w:tab w:val="clear" w:pos="1191"/>
                <w:tab w:val="clear" w:pos="1588"/>
                <w:tab w:val="clear" w:pos="1985"/>
                <w:tab w:val="left" w:pos="284"/>
              </w:tabs>
              <w:spacing w:before="0" w:after="40"/>
              <w:ind w:left="288" w:hanging="230"/>
              <w:rPr>
                <w:b/>
                <w:bCs/>
                <w:sz w:val="22"/>
                <w:szCs w:val="22"/>
              </w:rPr>
            </w:pPr>
            <w:r w:rsidRPr="00F20797">
              <w:rPr>
                <w:b/>
                <w:bCs/>
                <w:sz w:val="22"/>
                <w:szCs w:val="22"/>
              </w:rPr>
              <w:t>Copia:</w:t>
            </w:r>
          </w:p>
          <w:p w14:paraId="35C6A9A7" w14:textId="46AE8858" w:rsidR="00B12FF0" w:rsidRPr="00F20797" w:rsidRDefault="001350B9" w:rsidP="005D2FC8">
            <w:pPr>
              <w:tabs>
                <w:tab w:val="clear" w:pos="794"/>
                <w:tab w:val="clear" w:pos="1191"/>
                <w:tab w:val="clear" w:pos="1588"/>
                <w:tab w:val="clear" w:pos="1985"/>
                <w:tab w:val="left" w:pos="284"/>
              </w:tabs>
              <w:spacing w:before="0" w:after="40"/>
              <w:ind w:left="288" w:hanging="230"/>
              <w:rPr>
                <w:sz w:val="22"/>
                <w:szCs w:val="22"/>
              </w:rPr>
            </w:pPr>
            <w:r w:rsidRPr="00F20797">
              <w:rPr>
                <w:sz w:val="22"/>
                <w:szCs w:val="22"/>
              </w:rPr>
              <w:t>-</w:t>
            </w:r>
            <w:r w:rsidRPr="00F20797">
              <w:rPr>
                <w:sz w:val="22"/>
                <w:szCs w:val="22"/>
              </w:rPr>
              <w:tab/>
              <w:t>A</w:t>
            </w:r>
            <w:r w:rsidR="00B12FF0" w:rsidRPr="00F20797">
              <w:rPr>
                <w:sz w:val="22"/>
                <w:szCs w:val="22"/>
              </w:rPr>
              <w:t xml:space="preserve"> </w:t>
            </w:r>
            <w:r w:rsidRPr="00F20797">
              <w:rPr>
                <w:sz w:val="22"/>
                <w:szCs w:val="22"/>
              </w:rPr>
              <w:t>l</w:t>
            </w:r>
            <w:r w:rsidR="00B12FF0" w:rsidRPr="00F20797">
              <w:rPr>
                <w:sz w:val="22"/>
                <w:szCs w:val="22"/>
              </w:rPr>
              <w:t>os</w:t>
            </w:r>
            <w:r w:rsidRPr="00F20797">
              <w:rPr>
                <w:sz w:val="22"/>
                <w:szCs w:val="22"/>
              </w:rPr>
              <w:t xml:space="preserve"> </w:t>
            </w:r>
            <w:proofErr w:type="gramStart"/>
            <w:r w:rsidRPr="00F20797">
              <w:rPr>
                <w:sz w:val="22"/>
                <w:szCs w:val="22"/>
              </w:rPr>
              <w:t>Presidente</w:t>
            </w:r>
            <w:r w:rsidR="00B12FF0" w:rsidRPr="00F20797">
              <w:rPr>
                <w:sz w:val="22"/>
                <w:szCs w:val="22"/>
              </w:rPr>
              <w:t>s</w:t>
            </w:r>
            <w:proofErr w:type="gramEnd"/>
            <w:r w:rsidRPr="00F20797">
              <w:rPr>
                <w:sz w:val="22"/>
                <w:szCs w:val="22"/>
              </w:rPr>
              <w:t xml:space="preserve"> y a los </w:t>
            </w:r>
            <w:proofErr w:type="gramStart"/>
            <w:r w:rsidRPr="00F20797">
              <w:rPr>
                <w:sz w:val="22"/>
                <w:szCs w:val="22"/>
              </w:rPr>
              <w:t>Vicepresidentes</w:t>
            </w:r>
            <w:proofErr w:type="gramEnd"/>
            <w:r w:rsidRPr="00F20797">
              <w:rPr>
                <w:sz w:val="22"/>
                <w:szCs w:val="22"/>
              </w:rPr>
              <w:t xml:space="preserve"> de la</w:t>
            </w:r>
            <w:r w:rsidR="00B12FF0" w:rsidRPr="00F20797">
              <w:rPr>
                <w:sz w:val="22"/>
                <w:szCs w:val="22"/>
              </w:rPr>
              <w:t xml:space="preserve">s </w:t>
            </w:r>
            <w:r w:rsidRPr="00F20797">
              <w:rPr>
                <w:sz w:val="22"/>
                <w:szCs w:val="22"/>
              </w:rPr>
              <w:t>Comisi</w:t>
            </w:r>
            <w:r w:rsidR="00B12FF0" w:rsidRPr="00F20797">
              <w:rPr>
                <w:sz w:val="22"/>
                <w:szCs w:val="22"/>
              </w:rPr>
              <w:t xml:space="preserve">ones </w:t>
            </w:r>
            <w:r w:rsidRPr="00F20797">
              <w:rPr>
                <w:sz w:val="22"/>
                <w:szCs w:val="22"/>
              </w:rPr>
              <w:t xml:space="preserve">de Estudio </w:t>
            </w:r>
            <w:r w:rsidR="00B12FF0" w:rsidRPr="00F20797">
              <w:rPr>
                <w:sz w:val="22"/>
                <w:szCs w:val="22"/>
              </w:rPr>
              <w:t>del UIT-T</w:t>
            </w:r>
            <w:r w:rsidRPr="00F20797">
              <w:rPr>
                <w:sz w:val="22"/>
                <w:szCs w:val="22"/>
              </w:rPr>
              <w:t>;</w:t>
            </w:r>
          </w:p>
          <w:p w14:paraId="0781B3A0" w14:textId="33743ED5" w:rsidR="00B12FF0" w:rsidRPr="00F20797" w:rsidRDefault="001350B9" w:rsidP="005D2FC8">
            <w:pPr>
              <w:tabs>
                <w:tab w:val="clear" w:pos="794"/>
                <w:tab w:val="clear" w:pos="1191"/>
                <w:tab w:val="clear" w:pos="1588"/>
                <w:tab w:val="clear" w:pos="1985"/>
                <w:tab w:val="left" w:pos="284"/>
              </w:tabs>
              <w:spacing w:before="0" w:after="40"/>
              <w:ind w:left="288" w:hanging="230"/>
              <w:rPr>
                <w:sz w:val="22"/>
                <w:szCs w:val="22"/>
              </w:rPr>
            </w:pPr>
            <w:r w:rsidRPr="00F20797">
              <w:rPr>
                <w:sz w:val="22"/>
                <w:szCs w:val="22"/>
              </w:rPr>
              <w:t>-</w:t>
            </w:r>
            <w:r w:rsidRPr="00F20797">
              <w:rPr>
                <w:sz w:val="22"/>
                <w:szCs w:val="22"/>
              </w:rPr>
              <w:tab/>
              <w:t xml:space="preserve">Al </w:t>
            </w:r>
            <w:proofErr w:type="gramStart"/>
            <w:r w:rsidRPr="00F20797">
              <w:rPr>
                <w:sz w:val="22"/>
                <w:szCs w:val="22"/>
              </w:rPr>
              <w:t>Director</w:t>
            </w:r>
            <w:proofErr w:type="gramEnd"/>
            <w:r w:rsidRPr="00F20797">
              <w:rPr>
                <w:sz w:val="22"/>
                <w:szCs w:val="22"/>
              </w:rPr>
              <w:t xml:space="preserve"> de la Oficina de Desarrollo de las Telecomunicaciones;</w:t>
            </w:r>
          </w:p>
          <w:p w14:paraId="6AEE7015" w14:textId="74A2A48A" w:rsidR="00F20797" w:rsidRPr="00F20797" w:rsidRDefault="001350B9" w:rsidP="005D2FC8">
            <w:pPr>
              <w:tabs>
                <w:tab w:val="clear" w:pos="794"/>
                <w:tab w:val="clear" w:pos="1191"/>
                <w:tab w:val="clear" w:pos="1588"/>
                <w:tab w:val="clear" w:pos="1985"/>
                <w:tab w:val="left" w:pos="284"/>
              </w:tabs>
              <w:spacing w:before="0"/>
              <w:ind w:left="284" w:hanging="227"/>
              <w:rPr>
                <w:sz w:val="22"/>
                <w:szCs w:val="22"/>
              </w:rPr>
            </w:pPr>
            <w:r w:rsidRPr="00F20797">
              <w:rPr>
                <w:sz w:val="22"/>
                <w:szCs w:val="22"/>
              </w:rPr>
              <w:t>-</w:t>
            </w:r>
            <w:r w:rsidRPr="00F20797">
              <w:rPr>
                <w:sz w:val="22"/>
                <w:szCs w:val="22"/>
              </w:rPr>
              <w:tab/>
              <w:t xml:space="preserve">Al </w:t>
            </w:r>
            <w:proofErr w:type="gramStart"/>
            <w:r w:rsidRPr="00F20797">
              <w:rPr>
                <w:sz w:val="22"/>
                <w:szCs w:val="22"/>
              </w:rPr>
              <w:t>Director</w:t>
            </w:r>
            <w:proofErr w:type="gramEnd"/>
            <w:r w:rsidRPr="00F20797">
              <w:rPr>
                <w:sz w:val="22"/>
                <w:szCs w:val="22"/>
              </w:rPr>
              <w:t xml:space="preserve"> de la Oficina de Radiocomunicaciones</w:t>
            </w:r>
          </w:p>
        </w:tc>
      </w:tr>
      <w:tr w:rsidR="00B12FF0" w:rsidRPr="00F20797" w14:paraId="5FBF6816" w14:textId="77777777" w:rsidTr="005D2FC8">
        <w:trPr>
          <w:cantSplit/>
          <w:trHeight w:val="340"/>
        </w:trPr>
        <w:tc>
          <w:tcPr>
            <w:tcW w:w="1314" w:type="dxa"/>
          </w:tcPr>
          <w:p w14:paraId="2E8C1750" w14:textId="3CEE616B" w:rsidR="00B12FF0" w:rsidRPr="00F20797" w:rsidRDefault="00B12FF0" w:rsidP="005D2FC8">
            <w:pPr>
              <w:tabs>
                <w:tab w:val="left" w:pos="4111"/>
              </w:tabs>
              <w:spacing w:before="10"/>
              <w:ind w:left="57"/>
              <w:rPr>
                <w:sz w:val="22"/>
                <w:szCs w:val="22"/>
              </w:rPr>
            </w:pPr>
            <w:r w:rsidRPr="00F20797">
              <w:rPr>
                <w:sz w:val="22"/>
                <w:szCs w:val="22"/>
              </w:rPr>
              <w:t>Contacto:</w:t>
            </w:r>
          </w:p>
        </w:tc>
        <w:tc>
          <w:tcPr>
            <w:tcW w:w="3751" w:type="dxa"/>
            <w:gridSpan w:val="2"/>
          </w:tcPr>
          <w:p w14:paraId="4F6713DB" w14:textId="104AC06B" w:rsidR="00B12FF0" w:rsidRPr="00F20797" w:rsidRDefault="00B12FF0" w:rsidP="005D2FC8">
            <w:pPr>
              <w:tabs>
                <w:tab w:val="left" w:pos="4111"/>
              </w:tabs>
              <w:spacing w:before="0"/>
              <w:ind w:left="57"/>
              <w:rPr>
                <w:b/>
                <w:sz w:val="22"/>
                <w:szCs w:val="22"/>
              </w:rPr>
            </w:pPr>
            <w:r w:rsidRPr="00F20797">
              <w:rPr>
                <w:b/>
                <w:sz w:val="22"/>
                <w:szCs w:val="22"/>
              </w:rPr>
              <w:t>Hiroshi Ota</w:t>
            </w:r>
          </w:p>
        </w:tc>
        <w:tc>
          <w:tcPr>
            <w:tcW w:w="4745" w:type="dxa"/>
            <w:vMerge/>
          </w:tcPr>
          <w:p w14:paraId="40719073" w14:textId="77777777" w:rsidR="00B12FF0" w:rsidRPr="00F20797" w:rsidRDefault="00B12FF0" w:rsidP="005D2FC8">
            <w:pPr>
              <w:tabs>
                <w:tab w:val="clear" w:pos="794"/>
                <w:tab w:val="clear" w:pos="1191"/>
                <w:tab w:val="clear" w:pos="1588"/>
                <w:tab w:val="clear" w:pos="1985"/>
                <w:tab w:val="left" w:pos="284"/>
              </w:tabs>
              <w:spacing w:before="0"/>
              <w:ind w:left="284" w:hanging="227"/>
              <w:rPr>
                <w:sz w:val="22"/>
                <w:szCs w:val="22"/>
              </w:rPr>
            </w:pPr>
          </w:p>
        </w:tc>
      </w:tr>
      <w:tr w:rsidR="001350B9" w:rsidRPr="00F20797" w14:paraId="1CA46601" w14:textId="77777777" w:rsidTr="005D2FC8">
        <w:trPr>
          <w:cantSplit/>
        </w:trPr>
        <w:tc>
          <w:tcPr>
            <w:tcW w:w="1314" w:type="dxa"/>
          </w:tcPr>
          <w:p w14:paraId="60D8FBDE" w14:textId="77777777" w:rsidR="001350B9" w:rsidRPr="00F20797" w:rsidRDefault="001350B9" w:rsidP="005D2FC8">
            <w:pPr>
              <w:tabs>
                <w:tab w:val="left" w:pos="4111"/>
              </w:tabs>
              <w:spacing w:before="10"/>
              <w:ind w:left="57"/>
              <w:rPr>
                <w:sz w:val="22"/>
                <w:szCs w:val="22"/>
              </w:rPr>
            </w:pPr>
            <w:r w:rsidRPr="00F20797">
              <w:rPr>
                <w:sz w:val="22"/>
                <w:szCs w:val="22"/>
              </w:rPr>
              <w:t>Tel.:</w:t>
            </w:r>
          </w:p>
        </w:tc>
        <w:tc>
          <w:tcPr>
            <w:tcW w:w="3751" w:type="dxa"/>
            <w:gridSpan w:val="2"/>
          </w:tcPr>
          <w:p w14:paraId="7F436F20" w14:textId="0E30CC02" w:rsidR="001350B9" w:rsidRPr="00F20797" w:rsidRDefault="001350B9" w:rsidP="005D2FC8">
            <w:pPr>
              <w:tabs>
                <w:tab w:val="left" w:pos="4111"/>
              </w:tabs>
              <w:spacing w:before="0"/>
              <w:ind w:left="57"/>
              <w:rPr>
                <w:rStyle w:val="Hyperlink"/>
                <w:sz w:val="22"/>
                <w:szCs w:val="22"/>
              </w:rPr>
            </w:pPr>
            <w:r w:rsidRPr="00F20797">
              <w:rPr>
                <w:sz w:val="22"/>
                <w:szCs w:val="22"/>
              </w:rPr>
              <w:t>+41 22 730</w:t>
            </w:r>
            <w:r w:rsidR="00B12FF0" w:rsidRPr="00F20797">
              <w:rPr>
                <w:sz w:val="22"/>
                <w:szCs w:val="22"/>
              </w:rPr>
              <w:t xml:space="preserve"> 6356</w:t>
            </w:r>
          </w:p>
        </w:tc>
        <w:tc>
          <w:tcPr>
            <w:tcW w:w="4745" w:type="dxa"/>
            <w:vMerge/>
          </w:tcPr>
          <w:p w14:paraId="590B2C03" w14:textId="77777777" w:rsidR="001350B9" w:rsidRPr="00F20797" w:rsidRDefault="001350B9" w:rsidP="005D2FC8">
            <w:pPr>
              <w:tabs>
                <w:tab w:val="left" w:pos="226"/>
                <w:tab w:val="left" w:pos="510"/>
              </w:tabs>
              <w:spacing w:before="0"/>
              <w:ind w:left="226" w:hanging="169"/>
              <w:rPr>
                <w:b/>
                <w:sz w:val="22"/>
                <w:szCs w:val="22"/>
              </w:rPr>
            </w:pPr>
          </w:p>
        </w:tc>
      </w:tr>
      <w:tr w:rsidR="001350B9" w:rsidRPr="00F20797" w14:paraId="0C52062D" w14:textId="77777777" w:rsidTr="005D2FC8">
        <w:trPr>
          <w:cantSplit/>
        </w:trPr>
        <w:tc>
          <w:tcPr>
            <w:tcW w:w="1314" w:type="dxa"/>
          </w:tcPr>
          <w:p w14:paraId="69E9F1F4" w14:textId="77777777" w:rsidR="001350B9" w:rsidRPr="00F20797" w:rsidRDefault="001350B9" w:rsidP="005D2FC8">
            <w:pPr>
              <w:tabs>
                <w:tab w:val="left" w:pos="4111"/>
              </w:tabs>
              <w:spacing w:before="10"/>
              <w:ind w:left="57"/>
              <w:rPr>
                <w:sz w:val="22"/>
                <w:szCs w:val="22"/>
              </w:rPr>
            </w:pPr>
            <w:r w:rsidRPr="00F20797">
              <w:rPr>
                <w:sz w:val="22"/>
                <w:szCs w:val="22"/>
              </w:rPr>
              <w:t>Fax:</w:t>
            </w:r>
          </w:p>
        </w:tc>
        <w:tc>
          <w:tcPr>
            <w:tcW w:w="3751" w:type="dxa"/>
            <w:gridSpan w:val="2"/>
          </w:tcPr>
          <w:p w14:paraId="4EF40351" w14:textId="77777777" w:rsidR="001350B9" w:rsidRPr="00F20797" w:rsidRDefault="001350B9" w:rsidP="005D2FC8">
            <w:pPr>
              <w:tabs>
                <w:tab w:val="left" w:pos="4111"/>
              </w:tabs>
              <w:spacing w:before="0"/>
              <w:ind w:left="57"/>
              <w:rPr>
                <w:rStyle w:val="Hyperlink"/>
                <w:sz w:val="22"/>
                <w:szCs w:val="22"/>
              </w:rPr>
            </w:pPr>
            <w:r w:rsidRPr="00F20797">
              <w:rPr>
                <w:sz w:val="22"/>
                <w:szCs w:val="22"/>
              </w:rPr>
              <w:t>+41 22 730 5853</w:t>
            </w:r>
          </w:p>
        </w:tc>
        <w:tc>
          <w:tcPr>
            <w:tcW w:w="4745" w:type="dxa"/>
            <w:vMerge/>
          </w:tcPr>
          <w:p w14:paraId="023026ED" w14:textId="77777777" w:rsidR="001350B9" w:rsidRPr="00F20797" w:rsidRDefault="001350B9" w:rsidP="005D2FC8">
            <w:pPr>
              <w:tabs>
                <w:tab w:val="left" w:pos="226"/>
                <w:tab w:val="left" w:pos="510"/>
              </w:tabs>
              <w:spacing w:before="0"/>
              <w:ind w:left="226" w:hanging="169"/>
              <w:rPr>
                <w:b/>
                <w:sz w:val="22"/>
                <w:szCs w:val="22"/>
              </w:rPr>
            </w:pPr>
          </w:p>
        </w:tc>
      </w:tr>
      <w:tr w:rsidR="001350B9" w:rsidRPr="00F20797" w14:paraId="5916D6E8" w14:textId="77777777" w:rsidTr="005D2FC8">
        <w:trPr>
          <w:cantSplit/>
          <w:trHeight w:val="2598"/>
        </w:trPr>
        <w:tc>
          <w:tcPr>
            <w:tcW w:w="1314" w:type="dxa"/>
          </w:tcPr>
          <w:p w14:paraId="41C3A90B" w14:textId="77777777" w:rsidR="001350B9" w:rsidRPr="00F20797" w:rsidRDefault="001350B9" w:rsidP="005D2FC8">
            <w:pPr>
              <w:tabs>
                <w:tab w:val="left" w:pos="4111"/>
              </w:tabs>
              <w:spacing w:before="10"/>
              <w:ind w:left="57"/>
              <w:rPr>
                <w:sz w:val="22"/>
                <w:szCs w:val="22"/>
              </w:rPr>
            </w:pPr>
            <w:r w:rsidRPr="00F20797">
              <w:rPr>
                <w:sz w:val="22"/>
                <w:szCs w:val="22"/>
              </w:rPr>
              <w:t>Correo-e:</w:t>
            </w:r>
          </w:p>
        </w:tc>
        <w:tc>
          <w:tcPr>
            <w:tcW w:w="3751" w:type="dxa"/>
            <w:gridSpan w:val="2"/>
          </w:tcPr>
          <w:p w14:paraId="0A38DA6A" w14:textId="757060A7" w:rsidR="001350B9" w:rsidRPr="00F20797" w:rsidRDefault="00B12FF0" w:rsidP="005D2FC8">
            <w:pPr>
              <w:tabs>
                <w:tab w:val="left" w:pos="4111"/>
              </w:tabs>
              <w:spacing w:before="0"/>
              <w:ind w:left="57"/>
              <w:rPr>
                <w:sz w:val="22"/>
                <w:szCs w:val="22"/>
              </w:rPr>
            </w:pPr>
            <w:hyperlink r:id="rId9" w:history="1">
              <w:r w:rsidRPr="00F20797">
                <w:rPr>
                  <w:rStyle w:val="Hyperlink"/>
                  <w:sz w:val="22"/>
                  <w:szCs w:val="22"/>
                </w:rPr>
                <w:t>tsbeventes@itu.int</w:t>
              </w:r>
            </w:hyperlink>
          </w:p>
        </w:tc>
        <w:tc>
          <w:tcPr>
            <w:tcW w:w="4745" w:type="dxa"/>
            <w:vMerge/>
          </w:tcPr>
          <w:p w14:paraId="421FCD61" w14:textId="77777777" w:rsidR="001350B9" w:rsidRPr="00F20797" w:rsidRDefault="001350B9" w:rsidP="005D2FC8">
            <w:pPr>
              <w:tabs>
                <w:tab w:val="clear" w:pos="794"/>
                <w:tab w:val="clear" w:pos="1191"/>
                <w:tab w:val="clear" w:pos="1588"/>
                <w:tab w:val="clear" w:pos="1985"/>
                <w:tab w:val="left" w:pos="226"/>
                <w:tab w:val="left" w:pos="510"/>
              </w:tabs>
              <w:spacing w:before="0"/>
              <w:ind w:left="226" w:hanging="169"/>
              <w:rPr>
                <w:sz w:val="22"/>
                <w:szCs w:val="22"/>
              </w:rPr>
            </w:pPr>
          </w:p>
        </w:tc>
      </w:tr>
      <w:tr w:rsidR="007B6316" w:rsidRPr="00F20797" w14:paraId="0BAAFB8B" w14:textId="77777777" w:rsidTr="005D2FC8">
        <w:trPr>
          <w:cantSplit/>
        </w:trPr>
        <w:tc>
          <w:tcPr>
            <w:tcW w:w="1314" w:type="dxa"/>
          </w:tcPr>
          <w:p w14:paraId="31AFFA91" w14:textId="77777777" w:rsidR="007B6316" w:rsidRPr="00F20797" w:rsidRDefault="007B6316" w:rsidP="005D2FC8">
            <w:pPr>
              <w:tabs>
                <w:tab w:val="left" w:pos="4111"/>
              </w:tabs>
              <w:spacing w:before="10"/>
              <w:ind w:left="57"/>
              <w:rPr>
                <w:sz w:val="22"/>
                <w:szCs w:val="22"/>
              </w:rPr>
            </w:pPr>
            <w:r w:rsidRPr="005D2FC8">
              <w:rPr>
                <w:b/>
                <w:bCs/>
                <w:sz w:val="22"/>
                <w:szCs w:val="22"/>
              </w:rPr>
              <w:t>Asunto</w:t>
            </w:r>
            <w:r w:rsidRPr="00F20797">
              <w:rPr>
                <w:sz w:val="22"/>
                <w:szCs w:val="22"/>
              </w:rPr>
              <w:t>:</w:t>
            </w:r>
          </w:p>
        </w:tc>
        <w:tc>
          <w:tcPr>
            <w:tcW w:w="8496" w:type="dxa"/>
            <w:gridSpan w:val="3"/>
          </w:tcPr>
          <w:p w14:paraId="472C5AFA" w14:textId="2CABFE22" w:rsidR="007B6316" w:rsidRPr="00F20797" w:rsidRDefault="00B12FF0" w:rsidP="005D2FC8">
            <w:pPr>
              <w:tabs>
                <w:tab w:val="left" w:pos="4111"/>
              </w:tabs>
              <w:spacing w:before="0"/>
              <w:rPr>
                <w:b/>
                <w:sz w:val="22"/>
                <w:szCs w:val="22"/>
              </w:rPr>
            </w:pPr>
            <w:r w:rsidRPr="00F20797">
              <w:rPr>
                <w:b/>
                <w:bCs/>
                <w:sz w:val="22"/>
                <w:szCs w:val="22"/>
              </w:rPr>
              <w:t>Taller conjunto IEC-UIT-T sobre la «Hoja de ruta para la normalización de las tecnologías de detección de redes ópticas y de fibra multinúcleo cableadas» (Ginebra, Suiza, 17 de octubre de 2025)</w:t>
            </w:r>
          </w:p>
        </w:tc>
      </w:tr>
    </w:tbl>
    <w:p w14:paraId="3980CB5A" w14:textId="43A2DEF5" w:rsidR="00C34772" w:rsidRPr="00F20797" w:rsidRDefault="00C34772" w:rsidP="005D2FC8">
      <w:pPr>
        <w:rPr>
          <w:sz w:val="22"/>
          <w:szCs w:val="22"/>
        </w:rPr>
      </w:pPr>
      <w:bookmarkStart w:id="1" w:name="StartTyping_S"/>
      <w:bookmarkStart w:id="2" w:name="suitetext"/>
      <w:bookmarkStart w:id="3" w:name="text"/>
      <w:bookmarkEnd w:id="1"/>
      <w:bookmarkEnd w:id="2"/>
      <w:bookmarkEnd w:id="3"/>
      <w:r w:rsidRPr="00F20797">
        <w:rPr>
          <w:sz w:val="22"/>
          <w:szCs w:val="22"/>
        </w:rPr>
        <w:t>Muy Señora mía/Muy Señor mío</w:t>
      </w:r>
      <w:r w:rsidR="005D2FC8">
        <w:rPr>
          <w:sz w:val="22"/>
          <w:szCs w:val="22"/>
        </w:rPr>
        <w:t>,</w:t>
      </w:r>
    </w:p>
    <w:p w14:paraId="1D061CF4" w14:textId="02411F48" w:rsidR="007B6316" w:rsidRPr="00F20797" w:rsidRDefault="00B12FF0" w:rsidP="007B6316">
      <w:pPr>
        <w:rPr>
          <w:sz w:val="22"/>
          <w:szCs w:val="22"/>
        </w:rPr>
      </w:pPr>
      <w:r w:rsidRPr="00F20797">
        <w:rPr>
          <w:sz w:val="22"/>
          <w:szCs w:val="22"/>
        </w:rPr>
        <w:t>1</w:t>
      </w:r>
      <w:r w:rsidRPr="00F20797">
        <w:rPr>
          <w:sz w:val="22"/>
          <w:szCs w:val="22"/>
        </w:rPr>
        <w:tab/>
      </w:r>
      <w:proofErr w:type="gramStart"/>
      <w:r w:rsidRPr="00F20797">
        <w:rPr>
          <w:rStyle w:val="normaltextrun"/>
          <w:rFonts w:ascii="Calibri" w:eastAsiaTheme="majorEastAsia" w:hAnsi="Calibri" w:cs="Calibri"/>
          <w:color w:val="000000"/>
          <w:sz w:val="22"/>
          <w:szCs w:val="22"/>
          <w:bdr w:val="none" w:sz="0" w:space="0" w:color="auto" w:frame="1"/>
        </w:rPr>
        <w:t>Me</w:t>
      </w:r>
      <w:proofErr w:type="gramEnd"/>
      <w:r w:rsidRPr="00F20797">
        <w:rPr>
          <w:rStyle w:val="normaltextrun"/>
          <w:rFonts w:ascii="Calibri" w:eastAsiaTheme="majorEastAsia" w:hAnsi="Calibri" w:cs="Calibri"/>
          <w:color w:val="000000"/>
          <w:sz w:val="22"/>
          <w:szCs w:val="22"/>
          <w:bdr w:val="none" w:sz="0" w:space="0" w:color="auto" w:frame="1"/>
        </w:rPr>
        <w:t xml:space="preserve"> complace informarle de que </w:t>
      </w:r>
      <w:r w:rsidRPr="00F20797">
        <w:rPr>
          <w:rStyle w:val="normaltextrun"/>
          <w:rFonts w:ascii="Calibri" w:eastAsiaTheme="majorEastAsia" w:hAnsi="Calibri" w:cs="Calibri"/>
          <w:color w:val="000000"/>
          <w:sz w:val="22"/>
          <w:szCs w:val="22"/>
          <w:shd w:val="clear" w:color="auto" w:fill="FFFFFF"/>
        </w:rPr>
        <w:t xml:space="preserve">la </w:t>
      </w:r>
      <w:hyperlink r:id="rId10" w:history="1">
        <w:r w:rsidRPr="00F20797">
          <w:rPr>
            <w:rStyle w:val="Hyperlink"/>
            <w:rFonts w:ascii="Calibri" w:eastAsiaTheme="majorEastAsia" w:hAnsi="Calibri" w:cs="Calibri"/>
            <w:b/>
            <w:bCs/>
            <w:sz w:val="22"/>
            <w:szCs w:val="22"/>
            <w:shd w:val="clear" w:color="auto" w:fill="FFFFFF"/>
          </w:rPr>
          <w:t>Unión Internacional de Telecomunicaciones (UIT)</w:t>
        </w:r>
      </w:hyperlink>
      <w:r w:rsidRPr="00F20797">
        <w:rPr>
          <w:rFonts w:ascii="Calibri" w:eastAsiaTheme="majorEastAsia" w:hAnsi="Calibri" w:cs="Calibri"/>
          <w:color w:val="000000"/>
          <w:sz w:val="22"/>
          <w:szCs w:val="22"/>
          <w:shd w:val="clear" w:color="auto" w:fill="FFFFFF"/>
        </w:rPr>
        <w:t xml:space="preserve"> está organizando un </w:t>
      </w:r>
      <w:r w:rsidRPr="00F20797">
        <w:rPr>
          <w:rFonts w:ascii="Calibri" w:eastAsiaTheme="majorEastAsia" w:hAnsi="Calibri" w:cs="Calibri"/>
          <w:b/>
          <w:bCs/>
          <w:color w:val="000000"/>
          <w:sz w:val="22"/>
          <w:szCs w:val="22"/>
          <w:shd w:val="clear" w:color="auto" w:fill="FFFFFF"/>
        </w:rPr>
        <w:t>taller conjunto del</w:t>
      </w:r>
      <w:r w:rsidRPr="00F20797">
        <w:rPr>
          <w:sz w:val="22"/>
          <w:szCs w:val="22"/>
        </w:rPr>
        <w:t xml:space="preserve"> </w:t>
      </w:r>
      <w:r w:rsidRPr="00F20797">
        <w:rPr>
          <w:rFonts w:ascii="Calibri" w:eastAsiaTheme="majorEastAsia" w:hAnsi="Calibri" w:cs="Calibri"/>
          <w:b/>
          <w:bCs/>
          <w:color w:val="000000"/>
          <w:sz w:val="22"/>
          <w:szCs w:val="22"/>
          <w:shd w:val="clear" w:color="auto" w:fill="FFFFFF"/>
        </w:rPr>
        <w:t>IEC TC86 y la CE 15 del UIT-T dedicado a la «</w:t>
      </w:r>
      <w:r w:rsidRPr="00F20797">
        <w:rPr>
          <w:b/>
          <w:bCs/>
          <w:sz w:val="22"/>
          <w:szCs w:val="22"/>
        </w:rPr>
        <w:t>Hoja de ruta para la normalización de las tecnologías de detección de redes ópticas y de fibra multinúcleo cableadas</w:t>
      </w:r>
      <w:r w:rsidRPr="00F20797">
        <w:rPr>
          <w:rFonts w:ascii="Calibri" w:eastAsiaTheme="majorEastAsia" w:hAnsi="Calibri" w:cs="Calibri"/>
          <w:b/>
          <w:bCs/>
          <w:color w:val="000000"/>
          <w:sz w:val="22"/>
          <w:szCs w:val="22"/>
          <w:shd w:val="clear" w:color="auto" w:fill="FFFFFF"/>
        </w:rPr>
        <w:t>»</w:t>
      </w:r>
      <w:r w:rsidRPr="00F20797">
        <w:rPr>
          <w:rFonts w:ascii="Calibri" w:eastAsiaTheme="majorEastAsia" w:hAnsi="Calibri" w:cs="Calibri"/>
          <w:color w:val="000000"/>
          <w:sz w:val="22"/>
          <w:szCs w:val="22"/>
          <w:shd w:val="clear" w:color="auto" w:fill="FFFFFF"/>
        </w:rPr>
        <w:t>, que tendrá lugar la tarde del</w:t>
      </w:r>
      <w:r w:rsidRPr="00F20797">
        <w:rPr>
          <w:rFonts w:ascii="Calibri" w:eastAsiaTheme="majorEastAsia" w:hAnsi="Calibri" w:cs="Calibri"/>
          <w:b/>
          <w:bCs/>
          <w:color w:val="000000"/>
          <w:sz w:val="22"/>
          <w:szCs w:val="22"/>
          <w:shd w:val="clear" w:color="auto" w:fill="FFFFFF"/>
        </w:rPr>
        <w:t xml:space="preserve"> 17 de octubre de 2025, de las 14.00 a las 17.30 horas CEST</w:t>
      </w:r>
      <w:r w:rsidRPr="00F20797">
        <w:rPr>
          <w:rFonts w:ascii="Calibri" w:eastAsiaTheme="majorEastAsia" w:hAnsi="Calibri" w:cs="Calibri"/>
          <w:color w:val="000000"/>
          <w:sz w:val="22"/>
          <w:szCs w:val="22"/>
          <w:shd w:val="clear" w:color="auto" w:fill="FFFFFF"/>
        </w:rPr>
        <w:t xml:space="preserve">, en </w:t>
      </w:r>
      <w:r w:rsidRPr="00F20797">
        <w:rPr>
          <w:rFonts w:ascii="Calibri" w:eastAsiaTheme="majorEastAsia" w:hAnsi="Calibri" w:cs="Calibri"/>
          <w:b/>
          <w:bCs/>
          <w:color w:val="000000"/>
          <w:sz w:val="22"/>
          <w:szCs w:val="22"/>
          <w:shd w:val="clear" w:color="auto" w:fill="FFFFFF"/>
        </w:rPr>
        <w:t>la sede de la UIT en Ginebra (Suiza)</w:t>
      </w:r>
      <w:r w:rsidRPr="00F20797">
        <w:rPr>
          <w:rFonts w:ascii="Calibri" w:eastAsiaTheme="majorEastAsia" w:hAnsi="Calibri" w:cs="Calibri"/>
          <w:color w:val="000000"/>
          <w:sz w:val="22"/>
          <w:szCs w:val="22"/>
          <w:shd w:val="clear" w:color="auto" w:fill="FFFFFF"/>
        </w:rPr>
        <w:t>. Dicho taller se celebrará en paralelo a la reunión de la CE</w:t>
      </w:r>
      <w:r w:rsidR="00751B84" w:rsidRPr="00F20797">
        <w:rPr>
          <w:rFonts w:ascii="Calibri" w:eastAsiaTheme="majorEastAsia" w:hAnsi="Calibri" w:cs="Calibri"/>
          <w:color w:val="000000"/>
          <w:sz w:val="22"/>
          <w:szCs w:val="22"/>
          <w:shd w:val="clear" w:color="auto" w:fill="FFFFFF"/>
        </w:rPr>
        <w:t> </w:t>
      </w:r>
      <w:r w:rsidRPr="00F20797">
        <w:rPr>
          <w:rFonts w:ascii="Calibri" w:eastAsiaTheme="majorEastAsia" w:hAnsi="Calibri" w:cs="Calibri"/>
          <w:color w:val="000000"/>
          <w:sz w:val="22"/>
          <w:szCs w:val="22"/>
          <w:shd w:val="clear" w:color="auto" w:fill="FFFFFF"/>
        </w:rPr>
        <w:t>15 del UIT-T, prevista del 13 al 24 de octubre de 2025. Se ofrecerá la posibilidad de participar a distancia.</w:t>
      </w:r>
    </w:p>
    <w:p w14:paraId="6836D890" w14:textId="61CDD1D6" w:rsidR="00B12FF0" w:rsidRPr="00F20797" w:rsidRDefault="00B12FF0" w:rsidP="007B6316">
      <w:pPr>
        <w:rPr>
          <w:sz w:val="22"/>
          <w:szCs w:val="22"/>
        </w:rPr>
      </w:pPr>
      <w:r w:rsidRPr="00F20797">
        <w:rPr>
          <w:rStyle w:val="normaltextrun"/>
          <w:rFonts w:ascii="Calibri" w:eastAsiaTheme="majorEastAsia" w:hAnsi="Calibri" w:cs="Calibri"/>
          <w:color w:val="000000"/>
          <w:sz w:val="22"/>
          <w:szCs w:val="22"/>
          <w:shd w:val="clear" w:color="auto" w:fill="FFFFFF"/>
        </w:rPr>
        <w:t>2</w:t>
      </w:r>
      <w:r w:rsidRPr="00F20797">
        <w:rPr>
          <w:rStyle w:val="normaltextrun"/>
          <w:rFonts w:ascii="Calibri" w:hAnsi="Calibri" w:cs="Calibri"/>
          <w:color w:val="000000"/>
          <w:sz w:val="22"/>
          <w:szCs w:val="22"/>
          <w:shd w:val="clear" w:color="auto" w:fill="FFFFFF"/>
          <w:lang w:eastAsia="ja-JP"/>
        </w:rPr>
        <w:tab/>
      </w:r>
      <w:proofErr w:type="gramStart"/>
      <w:r w:rsidRPr="00F20797">
        <w:rPr>
          <w:rFonts w:ascii="Calibri" w:hAnsi="Calibri"/>
          <w:sz w:val="22"/>
          <w:szCs w:val="22"/>
        </w:rPr>
        <w:t>Cabe</w:t>
      </w:r>
      <w:proofErr w:type="gramEnd"/>
      <w:r w:rsidRPr="00F20797">
        <w:rPr>
          <w:rFonts w:ascii="Calibri" w:hAnsi="Calibri"/>
          <w:sz w:val="22"/>
          <w:szCs w:val="22"/>
        </w:rPr>
        <w:t xml:space="preserve"> prever que, en la próxima década, los sistemas ópticos submarinos requieran capacidades de transmisión de datos superiores a un petabit por cable. Este aumento se debe a la introducción de una amplia gama de tecnologías y aplicaciones que utilizan grandes volúmenes de datos, véanse desde la inteligencia artificial (IA) y el aprendizaje automático hasta soluciones de seguridad, innovaciones en el campo de la conducción autónoma y avances en materia de telemedicina, todo lo cual enfatiza el papel fundamental de las redes de centros de datos distribuidos. Para satisfacer estas demandas en constante evolución, se necesitan cada vez más tecnologías de red óptica innovadoras, como pueden ser la multiplexación por división en el espacio (SDM), las arquitecturas de</w:t>
      </w:r>
      <w:r w:rsidRPr="00F20797">
        <w:rPr>
          <w:sz w:val="22"/>
          <w:szCs w:val="22"/>
        </w:rPr>
        <w:t xml:space="preserve"> </w:t>
      </w:r>
      <w:r w:rsidRPr="00F20797">
        <w:rPr>
          <w:rFonts w:ascii="Calibri" w:hAnsi="Calibri"/>
          <w:sz w:val="22"/>
          <w:szCs w:val="22"/>
        </w:rPr>
        <w:t>computación paralela masiva, los protocolos de latencia reducida y otros enfoques de vanguardia.</w:t>
      </w:r>
    </w:p>
    <w:p w14:paraId="0E9233C3" w14:textId="6B34F06C" w:rsidR="00B12FF0" w:rsidRPr="00F20797" w:rsidRDefault="00B12FF0" w:rsidP="007B6316">
      <w:pPr>
        <w:rPr>
          <w:sz w:val="22"/>
          <w:szCs w:val="22"/>
        </w:rPr>
      </w:pPr>
      <w:r w:rsidRPr="00F20797">
        <w:rPr>
          <w:rFonts w:ascii="Calibri" w:eastAsiaTheme="majorEastAsia" w:hAnsi="Calibri" w:cs="Calibri"/>
          <w:color w:val="000000"/>
          <w:sz w:val="22"/>
          <w:szCs w:val="22"/>
          <w:shd w:val="clear" w:color="auto" w:fill="FFFFFF"/>
        </w:rPr>
        <w:t>3</w:t>
      </w:r>
      <w:r w:rsidRPr="00F20797">
        <w:rPr>
          <w:rFonts w:ascii="Calibri" w:eastAsiaTheme="majorEastAsia" w:hAnsi="Calibri" w:cs="Calibri"/>
          <w:color w:val="000000"/>
          <w:sz w:val="22"/>
          <w:szCs w:val="22"/>
          <w:shd w:val="clear" w:color="auto" w:fill="FFFFFF"/>
        </w:rPr>
        <w:tab/>
      </w:r>
      <w:proofErr w:type="gramStart"/>
      <w:r w:rsidRPr="00F20797">
        <w:rPr>
          <w:rFonts w:ascii="Calibri" w:eastAsiaTheme="majorEastAsia" w:hAnsi="Calibri" w:cs="Calibri"/>
          <w:color w:val="000000"/>
          <w:sz w:val="22"/>
          <w:szCs w:val="22"/>
          <w:shd w:val="clear" w:color="auto" w:fill="FFFFFF"/>
        </w:rPr>
        <w:t>Ante</w:t>
      </w:r>
      <w:proofErr w:type="gramEnd"/>
      <w:r w:rsidRPr="00F20797">
        <w:rPr>
          <w:rFonts w:ascii="Calibri" w:eastAsiaTheme="majorEastAsia" w:hAnsi="Calibri" w:cs="Calibri"/>
          <w:color w:val="000000"/>
          <w:sz w:val="22"/>
          <w:szCs w:val="22"/>
          <w:shd w:val="clear" w:color="auto" w:fill="FFFFFF"/>
        </w:rPr>
        <w:t xml:space="preserve"> esta evolución de los requisitos tecnológicos, se han emprendido nuevas iniciativas en el ámbito de la normalización. En particular, el inicio oficial de los trabajos de la CE</w:t>
      </w:r>
      <w:r w:rsidR="00751B84" w:rsidRPr="00F20797">
        <w:rPr>
          <w:rFonts w:ascii="Calibri" w:eastAsiaTheme="majorEastAsia" w:hAnsi="Calibri" w:cs="Calibri"/>
          <w:color w:val="000000"/>
          <w:sz w:val="22"/>
          <w:szCs w:val="22"/>
          <w:shd w:val="clear" w:color="auto" w:fill="FFFFFF"/>
        </w:rPr>
        <w:t> </w:t>
      </w:r>
      <w:r w:rsidRPr="00F20797">
        <w:rPr>
          <w:rFonts w:ascii="Calibri" w:eastAsiaTheme="majorEastAsia" w:hAnsi="Calibri" w:cs="Calibri"/>
          <w:color w:val="000000"/>
          <w:sz w:val="22"/>
          <w:szCs w:val="22"/>
          <w:shd w:val="clear" w:color="auto" w:fill="FFFFFF"/>
        </w:rPr>
        <w:t>15 del UIT</w:t>
      </w:r>
      <w:r w:rsidR="00751B84" w:rsidRPr="00F20797">
        <w:rPr>
          <w:rFonts w:ascii="Calibri" w:eastAsiaTheme="majorEastAsia" w:hAnsi="Calibri" w:cs="Calibri"/>
          <w:color w:val="000000"/>
          <w:sz w:val="22"/>
          <w:szCs w:val="22"/>
          <w:shd w:val="clear" w:color="auto" w:fill="FFFFFF"/>
        </w:rPr>
        <w:noBreakHyphen/>
      </w:r>
      <w:r w:rsidRPr="00F20797">
        <w:rPr>
          <w:rFonts w:ascii="Calibri" w:eastAsiaTheme="majorEastAsia" w:hAnsi="Calibri" w:cs="Calibri"/>
          <w:color w:val="000000"/>
          <w:sz w:val="22"/>
          <w:szCs w:val="22"/>
          <w:shd w:val="clear" w:color="auto" w:fill="FFFFFF"/>
        </w:rPr>
        <w:t>T sobre fibra multinúcleo con diámetros de revestimiento normalizados marcó un hito fundamental en marzo de 2025. Al mismo tiempo, se están estudiando normas internacionales para la detección de redes ópticas en enlaces tanto submarinos como terrenales, un campo prometedor que alberga un potencial transformador.</w:t>
      </w:r>
    </w:p>
    <w:p w14:paraId="1FE69AF0" w14:textId="4969FAA7" w:rsidR="00B12FF0" w:rsidRPr="00F20797" w:rsidRDefault="00B12FF0" w:rsidP="007B6316">
      <w:pPr>
        <w:rPr>
          <w:sz w:val="22"/>
          <w:szCs w:val="22"/>
        </w:rPr>
      </w:pPr>
      <w:r w:rsidRPr="00F20797">
        <w:rPr>
          <w:rFonts w:ascii="Calibri" w:hAnsi="Calibri"/>
          <w:sz w:val="22"/>
          <w:szCs w:val="22"/>
        </w:rPr>
        <w:t>4</w:t>
      </w:r>
      <w:r w:rsidRPr="00F20797">
        <w:rPr>
          <w:sz w:val="22"/>
          <w:szCs w:val="22"/>
        </w:rPr>
        <w:tab/>
      </w:r>
      <w:proofErr w:type="gramStart"/>
      <w:r w:rsidRPr="00F20797">
        <w:rPr>
          <w:rStyle w:val="normaltextrun"/>
          <w:rFonts w:ascii="Calibri" w:eastAsiaTheme="majorEastAsia" w:hAnsi="Calibri" w:cs="Calibri"/>
          <w:color w:val="000000"/>
          <w:sz w:val="22"/>
          <w:szCs w:val="22"/>
          <w:shd w:val="clear" w:color="auto" w:fill="FFFFFF"/>
        </w:rPr>
        <w:t>Este</w:t>
      </w:r>
      <w:proofErr w:type="gramEnd"/>
      <w:r w:rsidRPr="00F20797">
        <w:rPr>
          <w:rStyle w:val="normaltextrun"/>
          <w:rFonts w:ascii="Calibri" w:eastAsiaTheme="majorEastAsia" w:hAnsi="Calibri" w:cs="Calibri"/>
          <w:color w:val="000000"/>
          <w:sz w:val="22"/>
          <w:szCs w:val="22"/>
          <w:shd w:val="clear" w:color="auto" w:fill="FFFFFF"/>
        </w:rPr>
        <w:t xml:space="preserve"> taller brindará una plataforma para analizar la futura trayectoria de estas iniciativas de normalización y abordar al mismo tiempo las nuevas tendencias comerciales que están configurando las tecnologías de fibra óptica y de detección de redes de próxima generación. Al promover la colaboración entre múltiples organismos de normalización de todo el mundo, este evento aspira no solo a acelerar el progreso, sino también a sentar las bases necesarias para crear un ecosistema global eficaz, capaz de afrontar los retos de conectividad del futuro.</w:t>
      </w:r>
    </w:p>
    <w:p w14:paraId="66F09601" w14:textId="4B2554E4" w:rsidR="00B12FF0" w:rsidRPr="00F20797" w:rsidRDefault="00B12FF0" w:rsidP="007B6316">
      <w:pPr>
        <w:rPr>
          <w:sz w:val="22"/>
          <w:szCs w:val="22"/>
        </w:rPr>
      </w:pPr>
      <w:r w:rsidRPr="00F20797">
        <w:rPr>
          <w:rFonts w:ascii="Calibri" w:hAnsi="Calibri"/>
          <w:sz w:val="22"/>
          <w:szCs w:val="22"/>
        </w:rPr>
        <w:lastRenderedPageBreak/>
        <w:t>5</w:t>
      </w:r>
      <w:r w:rsidRPr="00F20797">
        <w:rPr>
          <w:sz w:val="22"/>
          <w:szCs w:val="22"/>
        </w:rPr>
        <w:tab/>
      </w:r>
      <w:proofErr w:type="gramStart"/>
      <w:r w:rsidRPr="00F20797">
        <w:rPr>
          <w:rFonts w:eastAsia="Batang" w:cs="Calibri"/>
          <w:sz w:val="22"/>
          <w:szCs w:val="22"/>
          <w:lang w:eastAsia="ko-KR"/>
        </w:rPr>
        <w:t>La</w:t>
      </w:r>
      <w:proofErr w:type="gramEnd"/>
      <w:r w:rsidRPr="00F20797">
        <w:rPr>
          <w:rFonts w:eastAsia="Batang" w:cs="Calibri"/>
          <w:sz w:val="22"/>
          <w:szCs w:val="22"/>
          <w:lang w:eastAsia="ko-KR"/>
        </w:rPr>
        <w:t xml:space="preserve"> participación en el taller es gratuita y está abierta a los Estados Miembros, Miembros de Sector, Asociados e Instituciones Académicas de la UIT, a todos los participantes habituales de las reuniones </w:t>
      </w:r>
      <w:r w:rsidRPr="00F20797">
        <w:rPr>
          <w:sz w:val="22"/>
          <w:szCs w:val="22"/>
        </w:rPr>
        <w:t>del IEC y la CE 15 del UIT-T, y a cualquier persona interesada en el tema que desee contribuir a los trabajos. Esto incluye a las personas que también sean miembros de organizaciones nacionales, regionales e internacionales.</w:t>
      </w:r>
    </w:p>
    <w:p w14:paraId="3D176D06" w14:textId="53D926D8" w:rsidR="00B12FF0" w:rsidRPr="00F20797" w:rsidRDefault="00B12FF0" w:rsidP="007B6316">
      <w:pPr>
        <w:rPr>
          <w:sz w:val="22"/>
          <w:szCs w:val="22"/>
        </w:rPr>
      </w:pPr>
      <w:r w:rsidRPr="00F20797">
        <w:rPr>
          <w:sz w:val="22"/>
          <w:szCs w:val="22"/>
        </w:rPr>
        <w:t>6</w:t>
      </w:r>
      <w:r w:rsidRPr="00F20797">
        <w:rPr>
          <w:sz w:val="22"/>
          <w:szCs w:val="22"/>
        </w:rPr>
        <w:tab/>
      </w:r>
      <w:proofErr w:type="gramStart"/>
      <w:r w:rsidRPr="00F20797">
        <w:rPr>
          <w:rStyle w:val="normaltextrun"/>
          <w:rFonts w:ascii="Calibri" w:eastAsiaTheme="majorEastAsia" w:hAnsi="Calibri" w:cs="Calibri"/>
          <w:color w:val="000000"/>
          <w:sz w:val="22"/>
          <w:szCs w:val="22"/>
          <w:shd w:val="clear" w:color="auto" w:fill="FFFFFF"/>
        </w:rPr>
        <w:t>Toda</w:t>
      </w:r>
      <w:proofErr w:type="gramEnd"/>
      <w:r w:rsidRPr="00F20797">
        <w:rPr>
          <w:rStyle w:val="normaltextrun"/>
          <w:rFonts w:ascii="Calibri" w:eastAsiaTheme="majorEastAsia" w:hAnsi="Calibri" w:cs="Calibri"/>
          <w:color w:val="000000"/>
          <w:sz w:val="22"/>
          <w:szCs w:val="22"/>
          <w:shd w:val="clear" w:color="auto" w:fill="FFFFFF"/>
        </w:rPr>
        <w:t xml:space="preserve"> la información pertinente relativa al evento (por ejemplo, el proyecto de programa, la lista de ponentes y el enlace de inscripción) estará disponible en el sitio web del evento, en la siguiente dirección: </w:t>
      </w:r>
      <w:hyperlink r:id="rId11" w:history="1">
        <w:r w:rsidRPr="00F20797">
          <w:rPr>
            <w:rStyle w:val="Hyperlink"/>
            <w:sz w:val="22"/>
            <w:szCs w:val="22"/>
          </w:rPr>
          <w:t>https://www.itu.int/en/ITU-T/Workshops-and-Seminars/2025/1017/Pages/default.aspx</w:t>
        </w:r>
      </w:hyperlink>
      <w:r w:rsidRPr="00F20797">
        <w:rPr>
          <w:sz w:val="22"/>
          <w:szCs w:val="22"/>
        </w:rPr>
        <w:t xml:space="preserve">. </w:t>
      </w:r>
      <w:r w:rsidRPr="00F20797">
        <w:rPr>
          <w:rStyle w:val="normaltextrun"/>
          <w:rFonts w:ascii="Calibri" w:eastAsiaTheme="majorEastAsia" w:hAnsi="Calibri" w:cs="Calibri"/>
          <w:color w:val="000000"/>
          <w:sz w:val="22"/>
          <w:szCs w:val="22"/>
          <w:shd w:val="clear" w:color="auto" w:fill="FFFFFF"/>
        </w:rPr>
        <w:t>El sitio web</w:t>
      </w:r>
      <w:r w:rsidRPr="00F20797">
        <w:rPr>
          <w:sz w:val="22"/>
          <w:szCs w:val="22"/>
        </w:rPr>
        <w:t xml:space="preserve"> se irá actualizando a medida que se disponga de información nueva o modificada. Se recomienda a los participantes consultar periódicamente el sitio para mantenerse al día de las novedades.</w:t>
      </w:r>
    </w:p>
    <w:p w14:paraId="0CA10691" w14:textId="5AB9F66F" w:rsidR="00B12FF0" w:rsidRPr="00F20797" w:rsidRDefault="00B12FF0" w:rsidP="007B6316">
      <w:pPr>
        <w:rPr>
          <w:sz w:val="22"/>
          <w:szCs w:val="22"/>
        </w:rPr>
      </w:pPr>
      <w:r w:rsidRPr="00F20797">
        <w:rPr>
          <w:sz w:val="22"/>
          <w:szCs w:val="22"/>
        </w:rPr>
        <w:t>7</w:t>
      </w:r>
      <w:r w:rsidRPr="00F20797">
        <w:rPr>
          <w:sz w:val="22"/>
          <w:szCs w:val="22"/>
        </w:rPr>
        <w:tab/>
      </w:r>
      <w:proofErr w:type="gramStart"/>
      <w:r w:rsidRPr="00F20797">
        <w:rPr>
          <w:rFonts w:cs="Calibri"/>
          <w:sz w:val="22"/>
          <w:szCs w:val="22"/>
        </w:rPr>
        <w:t>A</w:t>
      </w:r>
      <w:proofErr w:type="gramEnd"/>
      <w:r w:rsidRPr="00F20797">
        <w:rPr>
          <w:sz w:val="22"/>
          <w:szCs w:val="22"/>
        </w:rPr>
        <w:t xml:space="preserve"> </w:t>
      </w:r>
      <w:r w:rsidRPr="00F20797">
        <w:rPr>
          <w:rFonts w:cs="Calibri"/>
          <w:sz w:val="22"/>
          <w:szCs w:val="22"/>
        </w:rPr>
        <w:t xml:space="preserve">fin de que la TSB pueda tomar las disposiciones necesarias para la organización del taller, le agradeceríamos que se inscribiese a la mayor brevedad en la dirección </w:t>
      </w:r>
      <w:hyperlink r:id="rId12" w:history="1">
        <w:r w:rsidRPr="00F20797">
          <w:rPr>
            <w:rStyle w:val="Hyperlink"/>
            <w:rFonts w:cs="Calibri"/>
            <w:sz w:val="22"/>
            <w:szCs w:val="22"/>
          </w:rPr>
          <w:t>https://www.itu.int/net4/CRM/xreg/web/Registration.aspx?Event=C-00015837</w:t>
        </w:r>
      </w:hyperlink>
      <w:r w:rsidRPr="00F20797">
        <w:rPr>
          <w:rFonts w:cs="Calibri"/>
          <w:sz w:val="22"/>
          <w:szCs w:val="22"/>
        </w:rPr>
        <w:t xml:space="preserve">. </w:t>
      </w:r>
      <w:r w:rsidRPr="00F20797">
        <w:rPr>
          <w:rFonts w:cs="Calibri"/>
          <w:b/>
          <w:bCs/>
          <w:sz w:val="22"/>
          <w:szCs w:val="22"/>
        </w:rPr>
        <w:t>Le rogamos tenga presente que la preinscripción de los participantes en el taller es obligatoria y se lleva a cabo exclusivamente en línea.</w:t>
      </w:r>
    </w:p>
    <w:p w14:paraId="56A22E69" w14:textId="19A6C817" w:rsidR="00B12FF0" w:rsidRPr="00F20797" w:rsidRDefault="00B12FF0" w:rsidP="007B6316">
      <w:pPr>
        <w:rPr>
          <w:sz w:val="22"/>
          <w:szCs w:val="22"/>
        </w:rPr>
      </w:pPr>
      <w:r w:rsidRPr="00F20797">
        <w:rPr>
          <w:sz w:val="22"/>
          <w:szCs w:val="22"/>
        </w:rPr>
        <w:t>8</w:t>
      </w:r>
      <w:r w:rsidRPr="00F20797">
        <w:rPr>
          <w:sz w:val="22"/>
          <w:szCs w:val="22"/>
        </w:rPr>
        <w:tab/>
      </w:r>
      <w:proofErr w:type="gramStart"/>
      <w:r w:rsidRPr="00F20797">
        <w:rPr>
          <w:rStyle w:val="normaltextrun"/>
          <w:rFonts w:ascii="Calibri" w:eastAsiaTheme="majorEastAsia" w:hAnsi="Calibri" w:cs="Calibri"/>
          <w:color w:val="000000"/>
          <w:sz w:val="22"/>
          <w:szCs w:val="22"/>
          <w:shd w:val="clear" w:color="auto" w:fill="FFFFFF"/>
        </w:rPr>
        <w:t>Le</w:t>
      </w:r>
      <w:proofErr w:type="gramEnd"/>
      <w:r w:rsidRPr="00F20797">
        <w:rPr>
          <w:rStyle w:val="normaltextrun"/>
          <w:rFonts w:ascii="Calibri" w:eastAsiaTheme="majorEastAsia" w:hAnsi="Calibri" w:cs="Calibri"/>
          <w:color w:val="000000"/>
          <w:sz w:val="22"/>
          <w:szCs w:val="22"/>
          <w:shd w:val="clear" w:color="auto" w:fill="FFFFFF"/>
        </w:rPr>
        <w:t xml:space="preserve"> recordamos que los ciudadanos de algunos países necesitan obtener un visado para entrar y efectuar una estadía en Suiza. El visado debe solicitarse y obtenerse en la oficina (embajada o consulado) que representa a Suiza en su país, o, si no existiera dicha oficina en su país, en la que esté más cerca del país de salida.</w:t>
      </w:r>
    </w:p>
    <w:p w14:paraId="00F38D9F" w14:textId="77777777" w:rsidR="007B6316" w:rsidRPr="00F20797" w:rsidRDefault="007B6316" w:rsidP="007B6316">
      <w:pPr>
        <w:rPr>
          <w:sz w:val="22"/>
          <w:szCs w:val="22"/>
        </w:rPr>
      </w:pPr>
      <w:r w:rsidRPr="00F20797">
        <w:rPr>
          <w:sz w:val="22"/>
          <w:szCs w:val="22"/>
        </w:rPr>
        <w:t>Atentamente,</w:t>
      </w:r>
    </w:p>
    <w:p w14:paraId="22C94C14" w14:textId="7E54C570" w:rsidR="007B6316" w:rsidRPr="00F20797" w:rsidRDefault="003B11CD" w:rsidP="005D2FC8">
      <w:pPr>
        <w:spacing w:before="720"/>
        <w:rPr>
          <w:sz w:val="22"/>
          <w:szCs w:val="22"/>
        </w:rPr>
      </w:pPr>
      <w:r>
        <w:rPr>
          <w:rFonts w:cstheme="minorHAnsi"/>
          <w:noProof/>
          <w:sz w:val="22"/>
          <w:szCs w:val="22"/>
          <w:lang w:val="es-ES"/>
        </w:rPr>
        <w:drawing>
          <wp:anchor distT="0" distB="0" distL="114300" distR="114300" simplePos="0" relativeHeight="251658240" behindDoc="1" locked="0" layoutInCell="1" allowOverlap="1" wp14:anchorId="15275D6A" wp14:editId="6A55EC94">
            <wp:simplePos x="0" y="0"/>
            <wp:positionH relativeFrom="margin">
              <wp:align>left</wp:align>
            </wp:positionH>
            <wp:positionV relativeFrom="paragraph">
              <wp:posOffset>60325</wp:posOffset>
            </wp:positionV>
            <wp:extent cx="825542" cy="330217"/>
            <wp:effectExtent l="0" t="0" r="0" b="0"/>
            <wp:wrapNone/>
            <wp:docPr id="83082254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822546" name="Picture 1" descr="A black text on a white background&#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825542" cy="330217"/>
                    </a:xfrm>
                    <a:prstGeom prst="rect">
                      <a:avLst/>
                    </a:prstGeom>
                  </pic:spPr>
                </pic:pic>
              </a:graphicData>
            </a:graphic>
          </wp:anchor>
        </w:drawing>
      </w:r>
      <w:r w:rsidR="001350B9" w:rsidRPr="00F20797">
        <w:rPr>
          <w:rFonts w:cstheme="minorHAnsi"/>
          <w:sz w:val="22"/>
          <w:szCs w:val="22"/>
          <w:lang w:val="es-ES"/>
        </w:rPr>
        <w:t>Seizo Onoe</w:t>
      </w:r>
      <w:r w:rsidR="007B6316" w:rsidRPr="00F20797">
        <w:rPr>
          <w:sz w:val="22"/>
          <w:szCs w:val="22"/>
        </w:rPr>
        <w:br/>
      </w:r>
      <w:proofErr w:type="gramStart"/>
      <w:r w:rsidR="007B6316" w:rsidRPr="00F20797">
        <w:rPr>
          <w:sz w:val="22"/>
          <w:szCs w:val="22"/>
        </w:rPr>
        <w:t>Director</w:t>
      </w:r>
      <w:proofErr w:type="gramEnd"/>
      <w:r w:rsidR="007B6316" w:rsidRPr="00F20797">
        <w:rPr>
          <w:sz w:val="22"/>
          <w:szCs w:val="22"/>
        </w:rPr>
        <w:t xml:space="preserve"> de la Oficina de </w:t>
      </w:r>
      <w:r w:rsidR="007B6316" w:rsidRPr="00F20797">
        <w:rPr>
          <w:sz w:val="22"/>
          <w:szCs w:val="22"/>
        </w:rPr>
        <w:br/>
        <w:t>Normalización de las Telecomunicaciones</w:t>
      </w:r>
    </w:p>
    <w:p w14:paraId="1F786C14" w14:textId="77777777" w:rsidR="00401C20" w:rsidRPr="00F20797" w:rsidRDefault="00401C20" w:rsidP="007B6316">
      <w:pPr>
        <w:ind w:right="92"/>
        <w:rPr>
          <w:sz w:val="22"/>
          <w:szCs w:val="22"/>
          <w:lang w:val="es-ES"/>
        </w:rPr>
      </w:pPr>
    </w:p>
    <w:sectPr w:rsidR="00401C20" w:rsidRPr="00F20797" w:rsidSect="00B87E9E">
      <w:headerReference w:type="default" r:id="rId14"/>
      <w:footerReference w:type="first" r:id="rId15"/>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3006C" w14:textId="77777777" w:rsidR="00D46225" w:rsidRDefault="00D46225">
      <w:r>
        <w:separator/>
      </w:r>
    </w:p>
  </w:endnote>
  <w:endnote w:type="continuationSeparator" w:id="0">
    <w:p w14:paraId="2B16E51E" w14:textId="77777777" w:rsidR="00D46225" w:rsidRDefault="00D4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800008E7" w:usb1="00000000" w:usb2="00000000" w:usb3="00000000" w:csb0="000001F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9B52"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 xml:space="preserve">Unión Internacional de Telecomunicaciones • Place des </w:t>
    </w:r>
    <w:proofErr w:type="spellStart"/>
    <w:r w:rsidRPr="00D834E7">
      <w:rPr>
        <w:color w:val="0070C0"/>
        <w:szCs w:val="18"/>
        <w:lang w:val="es-ES"/>
      </w:rPr>
      <w:t>Nations</w:t>
    </w:r>
    <w:proofErr w:type="spellEnd"/>
    <w:r w:rsidRPr="00D834E7">
      <w:rPr>
        <w:color w:val="0070C0"/>
        <w:szCs w:val="18"/>
        <w:lang w:val="es-ES"/>
      </w:rPr>
      <w:t>,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51333" w14:textId="77777777" w:rsidR="00D46225" w:rsidRDefault="00D46225">
      <w:r>
        <w:t>____________________</w:t>
      </w:r>
    </w:p>
  </w:footnote>
  <w:footnote w:type="continuationSeparator" w:id="0">
    <w:p w14:paraId="3D698E8D" w14:textId="77777777" w:rsidR="00D46225" w:rsidRDefault="00D46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88F0" w14:textId="54E46D5E" w:rsidR="006969B4" w:rsidRPr="00F20797" w:rsidRDefault="006969B4">
    <w:pPr>
      <w:pStyle w:val="Header"/>
      <w:rPr>
        <w:rStyle w:val="PageNumber"/>
        <w:szCs w:val="22"/>
      </w:rPr>
    </w:pPr>
    <w:r w:rsidRPr="00F20797">
      <w:rPr>
        <w:szCs w:val="22"/>
      </w:rPr>
      <w:t xml:space="preserve">- </w:t>
    </w:r>
    <w:r w:rsidR="00B87E9E" w:rsidRPr="00F20797">
      <w:rPr>
        <w:rStyle w:val="PageNumber"/>
        <w:szCs w:val="22"/>
      </w:rPr>
      <w:fldChar w:fldCharType="begin"/>
    </w:r>
    <w:r w:rsidRPr="00F20797">
      <w:rPr>
        <w:rStyle w:val="PageNumber"/>
        <w:szCs w:val="22"/>
      </w:rPr>
      <w:instrText xml:space="preserve"> PAGE </w:instrText>
    </w:r>
    <w:r w:rsidR="00B87E9E" w:rsidRPr="00F20797">
      <w:rPr>
        <w:rStyle w:val="PageNumber"/>
        <w:szCs w:val="22"/>
      </w:rPr>
      <w:fldChar w:fldCharType="separate"/>
    </w:r>
    <w:r w:rsidR="007B6316" w:rsidRPr="00F20797">
      <w:rPr>
        <w:rStyle w:val="PageNumber"/>
        <w:noProof/>
        <w:szCs w:val="22"/>
      </w:rPr>
      <w:t>2</w:t>
    </w:r>
    <w:r w:rsidR="00B87E9E" w:rsidRPr="00F20797">
      <w:rPr>
        <w:rStyle w:val="PageNumber"/>
        <w:szCs w:val="22"/>
      </w:rPr>
      <w:fldChar w:fldCharType="end"/>
    </w:r>
    <w:r w:rsidRPr="00F20797">
      <w:rPr>
        <w:rStyle w:val="PageNumber"/>
        <w:szCs w:val="22"/>
      </w:rPr>
      <w:t xml:space="preserve"> </w:t>
    </w:r>
    <w:r w:rsidR="00F20797" w:rsidRPr="00F20797">
      <w:rPr>
        <w:rStyle w:val="PageNumber"/>
        <w:szCs w:val="22"/>
      </w:rPr>
      <w:t>–</w:t>
    </w:r>
  </w:p>
  <w:p w14:paraId="3C956739" w14:textId="0F66C037" w:rsidR="00F20797" w:rsidRPr="00F20797" w:rsidRDefault="00F20797">
    <w:pPr>
      <w:pStyle w:val="Header"/>
      <w:rPr>
        <w:szCs w:val="22"/>
      </w:rPr>
    </w:pPr>
    <w:r w:rsidRPr="00F20797">
      <w:rPr>
        <w:rStyle w:val="PageNumber"/>
        <w:szCs w:val="22"/>
      </w:rPr>
      <w:t>TSB Circular 074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0"/>
  </w:num>
  <w:num w:numId="2" w16cid:durableId="1345282128">
    <w:abstractNumId w:val="3"/>
  </w:num>
  <w:num w:numId="3" w16cid:durableId="1069613404">
    <w:abstractNumId w:val="2"/>
  </w:num>
  <w:num w:numId="4" w16cid:durableId="37493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F0"/>
    <w:rsid w:val="00002529"/>
    <w:rsid w:val="00085662"/>
    <w:rsid w:val="000C382F"/>
    <w:rsid w:val="001173CC"/>
    <w:rsid w:val="001350B9"/>
    <w:rsid w:val="0014464D"/>
    <w:rsid w:val="001A54CC"/>
    <w:rsid w:val="00257FB4"/>
    <w:rsid w:val="002E496E"/>
    <w:rsid w:val="00303D62"/>
    <w:rsid w:val="00335367"/>
    <w:rsid w:val="00370C2D"/>
    <w:rsid w:val="003B11CD"/>
    <w:rsid w:val="003D1E8D"/>
    <w:rsid w:val="003D673B"/>
    <w:rsid w:val="003F2855"/>
    <w:rsid w:val="00401C20"/>
    <w:rsid w:val="004A7957"/>
    <w:rsid w:val="004C4144"/>
    <w:rsid w:val="0055719E"/>
    <w:rsid w:val="005D2FC8"/>
    <w:rsid w:val="006969B4"/>
    <w:rsid w:val="006E4F7B"/>
    <w:rsid w:val="00722EEB"/>
    <w:rsid w:val="00751B84"/>
    <w:rsid w:val="00781E2A"/>
    <w:rsid w:val="007933A2"/>
    <w:rsid w:val="007B6316"/>
    <w:rsid w:val="00814503"/>
    <w:rsid w:val="008258C2"/>
    <w:rsid w:val="008505BD"/>
    <w:rsid w:val="00850C78"/>
    <w:rsid w:val="00876165"/>
    <w:rsid w:val="00884D12"/>
    <w:rsid w:val="008C17AD"/>
    <w:rsid w:val="008D02CD"/>
    <w:rsid w:val="0091370C"/>
    <w:rsid w:val="0095172A"/>
    <w:rsid w:val="009A0BA0"/>
    <w:rsid w:val="00A54E47"/>
    <w:rsid w:val="00AB5C80"/>
    <w:rsid w:val="00AB6E3A"/>
    <w:rsid w:val="00AE7093"/>
    <w:rsid w:val="00B12FF0"/>
    <w:rsid w:val="00B422BC"/>
    <w:rsid w:val="00B43F77"/>
    <w:rsid w:val="00B55A3E"/>
    <w:rsid w:val="00B87E9E"/>
    <w:rsid w:val="00B95F0A"/>
    <w:rsid w:val="00B96180"/>
    <w:rsid w:val="00C116FE"/>
    <w:rsid w:val="00C17AC0"/>
    <w:rsid w:val="00C34772"/>
    <w:rsid w:val="00C5465A"/>
    <w:rsid w:val="00D46225"/>
    <w:rsid w:val="00D54642"/>
    <w:rsid w:val="00D834E7"/>
    <w:rsid w:val="00DD77C9"/>
    <w:rsid w:val="00DF3538"/>
    <w:rsid w:val="00E839B0"/>
    <w:rsid w:val="00E92C09"/>
    <w:rsid w:val="00F14380"/>
    <w:rsid w:val="00F20797"/>
    <w:rsid w:val="00F6461F"/>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B85A1"/>
  <w15:docId w15:val="{8F0BD3B6-14A3-4B32-8B76-67374EE2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B12FF0"/>
    <w:rPr>
      <w:color w:val="605E5C"/>
      <w:shd w:val="clear" w:color="auto" w:fill="E1DFDD"/>
    </w:rPr>
  </w:style>
  <w:style w:type="character" w:customStyle="1" w:styleId="normaltextrun">
    <w:name w:val="normaltextrun"/>
    <w:basedOn w:val="DefaultParagraphFont"/>
    <w:rsid w:val="00B12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net4/CRM/xreg/web/Registration.aspx?Event=C-0001583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Workshops-and-Seminars/2025/1017/Pages/default.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en/Pages/default.aspx" TargetMode="External"/><Relationship Id="rId4" Type="http://schemas.openxmlformats.org/officeDocument/2006/relationships/settings" Target="settings.xml"/><Relationship Id="rId9" Type="http://schemas.openxmlformats.org/officeDocument/2006/relationships/hyperlink" Target="mailto:tsbeventes@itu.in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4</TotalTime>
  <Pages>2</Pages>
  <Words>816</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5476</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Braud, Olivia</cp:lastModifiedBy>
  <cp:revision>4</cp:revision>
  <cp:lastPrinted>2025-12-17T15:44:00Z</cp:lastPrinted>
  <dcterms:created xsi:type="dcterms:W3CDTF">2025-12-17T15:34:00Z</dcterms:created>
  <dcterms:modified xsi:type="dcterms:W3CDTF">2025-12-17T15:44:00Z</dcterms:modified>
</cp:coreProperties>
</file>