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4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284"/>
        <w:gridCol w:w="3467"/>
        <w:gridCol w:w="5329"/>
      </w:tblGrid>
      <w:tr w:rsidR="007B6316" w14:paraId="0227A0F4" w14:textId="77777777" w:rsidTr="0037443C">
        <w:trPr>
          <w:cantSplit/>
          <w:trHeight w:val="340"/>
        </w:trPr>
        <w:tc>
          <w:tcPr>
            <w:tcW w:w="1508" w:type="dxa"/>
            <w:gridSpan w:val="2"/>
          </w:tcPr>
          <w:p w14:paraId="5776FAA7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40DF4644" wp14:editId="509769C8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0A7ABC1A" w14:textId="77777777" w:rsidR="007B6316" w:rsidRPr="0037443C" w:rsidRDefault="007B6316" w:rsidP="7259F3DB">
            <w:pPr>
              <w:spacing w:before="0"/>
              <w:rPr>
                <w:rFonts w:cs="Times New Roman Bold"/>
                <w:b/>
                <w:bCs/>
                <w:smallCaps/>
                <w:sz w:val="32"/>
                <w:szCs w:val="28"/>
              </w:rPr>
            </w:pPr>
            <w:r w:rsidRPr="0037443C">
              <w:rPr>
                <w:rFonts w:cs="Times New Roman Bold"/>
                <w:b/>
                <w:bCs/>
                <w:smallCaps/>
                <w:sz w:val="32"/>
                <w:szCs w:val="28"/>
              </w:rPr>
              <w:t>Unión Internacional de Telecomunicaciones</w:t>
            </w:r>
          </w:p>
          <w:p w14:paraId="218EE659" w14:textId="77777777" w:rsidR="007B6316" w:rsidRDefault="007B6316" w:rsidP="7259F3DB">
            <w:pPr>
              <w:spacing w:before="0"/>
              <w:rPr>
                <w:rFonts w:cs="Times New Roman Bold"/>
                <w:b/>
                <w:bCs/>
                <w:smallCaps/>
                <w:sz w:val="22"/>
                <w:szCs w:val="22"/>
              </w:rPr>
            </w:pPr>
            <w:r w:rsidRPr="0037443C">
              <w:rPr>
                <w:rFonts w:cs="Times New Roman Bold"/>
                <w:b/>
                <w:bCs/>
                <w:smallCaps/>
                <w:sz w:val="28"/>
                <w:szCs w:val="26"/>
              </w:rPr>
              <w:t>Oficina de Normalización de las Telecomunicaciones</w:t>
            </w:r>
          </w:p>
        </w:tc>
      </w:tr>
      <w:tr w:rsidR="007B6316" w14:paraId="4634A302" w14:textId="77777777" w:rsidTr="0037443C">
        <w:trPr>
          <w:cantSplit/>
          <w:trHeight w:val="340"/>
        </w:trPr>
        <w:tc>
          <w:tcPr>
            <w:tcW w:w="1224" w:type="dxa"/>
          </w:tcPr>
          <w:p w14:paraId="45566218" w14:textId="77777777" w:rsidR="007B6316" w:rsidRPr="007B6316" w:rsidRDefault="007B6316" w:rsidP="7259F3DB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1DFE0811" w14:textId="77777777" w:rsidR="007B6316" w:rsidRDefault="007B6316" w:rsidP="7259F3DB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9" w:type="dxa"/>
          </w:tcPr>
          <w:p w14:paraId="35883A62" w14:textId="4F31AA1B" w:rsidR="007B6316" w:rsidRDefault="007B6316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Ginebra,</w:t>
            </w:r>
            <w:r w:rsidR="00B26B61" w:rsidRPr="7259F3DB">
              <w:rPr>
                <w:sz w:val="22"/>
                <w:szCs w:val="22"/>
              </w:rPr>
              <w:t xml:space="preserve"> 22 de septiembre de 2025</w:t>
            </w:r>
          </w:p>
        </w:tc>
      </w:tr>
      <w:tr w:rsidR="001350B9" w:rsidRPr="00A41470" w14:paraId="74474CF1" w14:textId="77777777" w:rsidTr="0037443C">
        <w:trPr>
          <w:cantSplit/>
          <w:trHeight w:val="340"/>
        </w:trPr>
        <w:tc>
          <w:tcPr>
            <w:tcW w:w="1224" w:type="dxa"/>
          </w:tcPr>
          <w:p w14:paraId="6C5E62A9" w14:textId="77777777" w:rsidR="001350B9" w:rsidRPr="00A41470" w:rsidRDefault="001350B9" w:rsidP="7259F3D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7443C">
              <w:rPr>
                <w:b/>
                <w:bCs/>
                <w:sz w:val="22"/>
                <w:szCs w:val="22"/>
              </w:rPr>
              <w:t>Ref</w:t>
            </w:r>
            <w:r w:rsidRPr="7259F3DB">
              <w:rPr>
                <w:sz w:val="22"/>
                <w:szCs w:val="22"/>
              </w:rPr>
              <w:t>.:</w:t>
            </w:r>
          </w:p>
          <w:p w14:paraId="7BFBCC8D" w14:textId="77777777" w:rsidR="001350B9" w:rsidRPr="00A41470" w:rsidRDefault="001350B9" w:rsidP="7259F3D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05E33171" w14:textId="62B77DA2" w:rsidR="001350B9" w:rsidRPr="00A41470" w:rsidRDefault="001350B9" w:rsidP="7259F3DB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</w:rPr>
            </w:pPr>
            <w:r w:rsidRPr="7259F3DB">
              <w:rPr>
                <w:b/>
                <w:bCs/>
                <w:sz w:val="22"/>
                <w:szCs w:val="22"/>
              </w:rPr>
              <w:t xml:space="preserve">Circular TSB </w:t>
            </w:r>
            <w:r w:rsidR="00B26B61" w:rsidRPr="7259F3DB">
              <w:rPr>
                <w:b/>
                <w:bCs/>
                <w:sz w:val="22"/>
                <w:szCs w:val="22"/>
              </w:rPr>
              <w:t>073</w:t>
            </w:r>
          </w:p>
          <w:p w14:paraId="42ECF1D2" w14:textId="25B63EC4" w:rsidR="001350B9" w:rsidRPr="00A41470" w:rsidRDefault="00B26B61" w:rsidP="7259F3DB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  <w:lang w:val="es-ES"/>
              </w:rPr>
            </w:pPr>
            <w:r w:rsidRPr="7259F3DB">
              <w:rPr>
                <w:sz w:val="22"/>
                <w:szCs w:val="22"/>
                <w:lang w:val="es-ES"/>
              </w:rPr>
              <w:t>TSB Events</w:t>
            </w:r>
            <w:r w:rsidR="001350B9" w:rsidRPr="7259F3DB">
              <w:rPr>
                <w:sz w:val="22"/>
                <w:szCs w:val="22"/>
                <w:lang w:val="es-ES"/>
              </w:rPr>
              <w:t>/</w:t>
            </w:r>
            <w:r w:rsidRPr="7259F3DB">
              <w:rPr>
                <w:sz w:val="22"/>
                <w:szCs w:val="22"/>
                <w:lang w:val="es-ES"/>
              </w:rPr>
              <w:t>HO</w:t>
            </w:r>
          </w:p>
        </w:tc>
        <w:tc>
          <w:tcPr>
            <w:tcW w:w="5329" w:type="dxa"/>
            <w:vMerge w:val="restart"/>
          </w:tcPr>
          <w:p w14:paraId="7F7C3669" w14:textId="659015B1" w:rsidR="00B26B61" w:rsidRPr="00A41470" w:rsidRDefault="00B26B61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S"/>
            <w:bookmarkEnd w:id="0"/>
            <w:r w:rsidRPr="7259F3DB">
              <w:rPr>
                <w:sz w:val="22"/>
                <w:szCs w:val="22"/>
              </w:rPr>
              <w:t>–</w:t>
            </w:r>
            <w:r>
              <w:tab/>
            </w:r>
            <w:r w:rsidR="001350B9" w:rsidRPr="7259F3DB">
              <w:rPr>
                <w:sz w:val="22"/>
                <w:szCs w:val="22"/>
              </w:rPr>
              <w:t>A las Administraciones de los Estados Miembros de la Unión</w:t>
            </w:r>
            <w:r w:rsidRPr="7259F3DB">
              <w:rPr>
                <w:sz w:val="22"/>
                <w:szCs w:val="22"/>
              </w:rPr>
              <w:t>;</w:t>
            </w:r>
          </w:p>
          <w:p w14:paraId="7296CC2F" w14:textId="1D6923E7" w:rsidR="00B26B61" w:rsidRPr="00A41470" w:rsidRDefault="00B26B61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color w:val="000000" w:themeColor="text1"/>
                <w:sz w:val="22"/>
                <w:szCs w:val="22"/>
                <w:lang w:val="es-ES"/>
              </w:rPr>
            </w:pPr>
            <w:r w:rsidRPr="7259F3DB">
              <w:rPr>
                <w:sz w:val="22"/>
                <w:szCs w:val="22"/>
              </w:rPr>
              <w:t>–</w:t>
            </w:r>
            <w:r>
              <w:tab/>
            </w:r>
            <w:r w:rsidRPr="7259F3DB">
              <w:rPr>
                <w:color w:val="000000" w:themeColor="text1"/>
                <w:sz w:val="22"/>
                <w:szCs w:val="22"/>
                <w:lang w:val="es-ES"/>
              </w:rPr>
              <w:t>Al Estado de Palestina (Resolución 99 (Rev. Dubái, 2018)</w:t>
            </w:r>
          </w:p>
          <w:p w14:paraId="0A43085E" w14:textId="561A4C53" w:rsidR="00B26B61" w:rsidRPr="00A41470" w:rsidRDefault="00B26B61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–</w:t>
            </w:r>
            <w:r>
              <w:tab/>
            </w:r>
            <w:r w:rsidR="001350B9" w:rsidRPr="7259F3DB">
              <w:rPr>
                <w:sz w:val="22"/>
                <w:szCs w:val="22"/>
              </w:rPr>
              <w:t>A los Miembros de Sector</w:t>
            </w:r>
            <w:r w:rsidRPr="7259F3DB">
              <w:rPr>
                <w:sz w:val="22"/>
                <w:szCs w:val="22"/>
              </w:rPr>
              <w:t xml:space="preserve"> del</w:t>
            </w:r>
            <w:r w:rsidR="001350B9" w:rsidRPr="7259F3DB">
              <w:rPr>
                <w:sz w:val="22"/>
                <w:szCs w:val="22"/>
              </w:rPr>
              <w:t xml:space="preserve"> UITT;</w:t>
            </w:r>
          </w:p>
          <w:p w14:paraId="4F51703A" w14:textId="70D126B7" w:rsidR="00B26B61" w:rsidRPr="00A41470" w:rsidRDefault="00B26B61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–</w:t>
            </w:r>
            <w:r>
              <w:tab/>
            </w:r>
            <w:r w:rsidR="001350B9" w:rsidRPr="7259F3DB">
              <w:rPr>
                <w:sz w:val="22"/>
                <w:szCs w:val="22"/>
              </w:rPr>
              <w:t>A los Asociados del UITT;</w:t>
            </w:r>
          </w:p>
          <w:p w14:paraId="3B8B0F44" w14:textId="4BD34EFB" w:rsidR="00B26B61" w:rsidRPr="00A41470" w:rsidRDefault="00B26B61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–</w:t>
            </w:r>
            <w:r>
              <w:tab/>
            </w:r>
            <w:r w:rsidR="001350B9" w:rsidRPr="7259F3DB">
              <w:rPr>
                <w:sz w:val="22"/>
                <w:szCs w:val="22"/>
              </w:rPr>
              <w:t>A las Instituciones Académicas del UIT-T</w:t>
            </w:r>
          </w:p>
          <w:p w14:paraId="0A7C2EB5" w14:textId="2C789438" w:rsidR="00B26B61" w:rsidRPr="00A41470" w:rsidRDefault="00B26B61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b/>
                <w:bCs/>
                <w:sz w:val="22"/>
                <w:szCs w:val="22"/>
              </w:rPr>
            </w:pPr>
            <w:r w:rsidRPr="7259F3DB">
              <w:rPr>
                <w:b/>
                <w:bCs/>
                <w:sz w:val="22"/>
                <w:szCs w:val="22"/>
              </w:rPr>
              <w:t>Copia:</w:t>
            </w:r>
          </w:p>
          <w:p w14:paraId="72BD7391" w14:textId="37F5350C" w:rsidR="00B26B61" w:rsidRPr="00A41470" w:rsidRDefault="00B26B61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  <w:lang w:val="es-ES"/>
              </w:rPr>
            </w:pPr>
            <w:r w:rsidRPr="7259F3DB">
              <w:rPr>
                <w:sz w:val="22"/>
                <w:szCs w:val="22"/>
                <w:lang w:val="es-ES"/>
              </w:rPr>
              <w:t>–</w:t>
            </w:r>
            <w:r>
              <w:tab/>
            </w:r>
            <w:r w:rsidR="001350B9" w:rsidRPr="7259F3DB">
              <w:rPr>
                <w:sz w:val="22"/>
                <w:szCs w:val="22"/>
                <w:lang w:val="es-ES"/>
              </w:rPr>
              <w:t>A</w:t>
            </w:r>
            <w:r w:rsidRPr="7259F3DB">
              <w:rPr>
                <w:sz w:val="22"/>
                <w:szCs w:val="22"/>
                <w:lang w:val="es-ES"/>
              </w:rPr>
              <w:t xml:space="preserve"> </w:t>
            </w:r>
            <w:r w:rsidR="001350B9" w:rsidRPr="7259F3DB">
              <w:rPr>
                <w:sz w:val="22"/>
                <w:szCs w:val="22"/>
                <w:lang w:val="es-ES"/>
              </w:rPr>
              <w:t>l</w:t>
            </w:r>
            <w:r w:rsidRPr="7259F3DB">
              <w:rPr>
                <w:sz w:val="22"/>
                <w:szCs w:val="22"/>
                <w:lang w:val="es-ES"/>
              </w:rPr>
              <w:t>os</w:t>
            </w:r>
            <w:r w:rsidR="001350B9" w:rsidRPr="7259F3DB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1350B9" w:rsidRPr="7259F3DB">
              <w:rPr>
                <w:sz w:val="22"/>
                <w:szCs w:val="22"/>
                <w:lang w:val="es-ES"/>
              </w:rPr>
              <w:t>Presidente</w:t>
            </w:r>
            <w:r w:rsidRPr="7259F3DB">
              <w:rPr>
                <w:sz w:val="22"/>
                <w:szCs w:val="22"/>
                <w:lang w:val="es-ES"/>
              </w:rPr>
              <w:t>s</w:t>
            </w:r>
            <w:proofErr w:type="gramEnd"/>
            <w:r w:rsidR="001350B9" w:rsidRPr="7259F3DB">
              <w:rPr>
                <w:sz w:val="22"/>
                <w:szCs w:val="22"/>
                <w:lang w:val="es-ES"/>
              </w:rPr>
              <w:t xml:space="preserve"> y a los </w:t>
            </w:r>
            <w:proofErr w:type="gramStart"/>
            <w:r w:rsidR="001350B9" w:rsidRPr="7259F3DB">
              <w:rPr>
                <w:sz w:val="22"/>
                <w:szCs w:val="22"/>
                <w:lang w:val="es-ES"/>
              </w:rPr>
              <w:t>Vicepresidentes</w:t>
            </w:r>
            <w:proofErr w:type="gramEnd"/>
            <w:r w:rsidR="001350B9" w:rsidRPr="7259F3DB">
              <w:rPr>
                <w:sz w:val="22"/>
                <w:szCs w:val="22"/>
                <w:lang w:val="es-ES"/>
              </w:rPr>
              <w:t xml:space="preserve"> de la</w:t>
            </w:r>
            <w:r w:rsidRPr="7259F3DB">
              <w:rPr>
                <w:sz w:val="22"/>
                <w:szCs w:val="22"/>
                <w:lang w:val="es-ES"/>
              </w:rPr>
              <w:t xml:space="preserve">s </w:t>
            </w:r>
            <w:r w:rsidR="001350B9" w:rsidRPr="7259F3DB">
              <w:rPr>
                <w:sz w:val="22"/>
                <w:szCs w:val="22"/>
                <w:lang w:val="es-ES"/>
              </w:rPr>
              <w:t>Comisi</w:t>
            </w:r>
            <w:r w:rsidRPr="7259F3DB">
              <w:rPr>
                <w:sz w:val="22"/>
                <w:szCs w:val="22"/>
                <w:lang w:val="es-ES"/>
              </w:rPr>
              <w:t>ones</w:t>
            </w:r>
            <w:r w:rsidR="001350B9" w:rsidRPr="7259F3DB">
              <w:rPr>
                <w:sz w:val="22"/>
                <w:szCs w:val="22"/>
                <w:lang w:val="es-ES"/>
              </w:rPr>
              <w:t xml:space="preserve"> de Estudio </w:t>
            </w:r>
            <w:r w:rsidRPr="7259F3DB">
              <w:rPr>
                <w:sz w:val="22"/>
                <w:szCs w:val="22"/>
                <w:lang w:val="es-ES"/>
              </w:rPr>
              <w:t>del UIT-T</w:t>
            </w:r>
            <w:r w:rsidR="001350B9" w:rsidRPr="7259F3DB">
              <w:rPr>
                <w:sz w:val="22"/>
                <w:szCs w:val="22"/>
                <w:lang w:val="es-ES"/>
              </w:rPr>
              <w:t>;</w:t>
            </w:r>
          </w:p>
          <w:p w14:paraId="476E240D" w14:textId="1E144851" w:rsidR="00B26B61" w:rsidRPr="00A41470" w:rsidRDefault="00B26B61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  <w:lang w:val="es-ES"/>
              </w:rPr>
            </w:pPr>
            <w:r w:rsidRPr="7259F3DB">
              <w:rPr>
                <w:sz w:val="22"/>
                <w:szCs w:val="22"/>
                <w:lang w:val="es-ES"/>
              </w:rPr>
              <w:t>–</w:t>
            </w:r>
            <w:r>
              <w:tab/>
            </w:r>
            <w:r w:rsidR="001350B9" w:rsidRPr="7259F3DB">
              <w:rPr>
                <w:sz w:val="22"/>
                <w:szCs w:val="22"/>
                <w:lang w:val="es-ES"/>
              </w:rPr>
              <w:t xml:space="preserve">Al </w:t>
            </w:r>
            <w:proofErr w:type="gramStart"/>
            <w:r w:rsidR="001350B9" w:rsidRPr="7259F3DB">
              <w:rPr>
                <w:sz w:val="22"/>
                <w:szCs w:val="22"/>
                <w:lang w:val="es-ES"/>
              </w:rPr>
              <w:t>Director</w:t>
            </w:r>
            <w:proofErr w:type="gramEnd"/>
            <w:r w:rsidR="001350B9" w:rsidRPr="7259F3DB">
              <w:rPr>
                <w:sz w:val="22"/>
                <w:szCs w:val="22"/>
                <w:lang w:val="es-ES"/>
              </w:rPr>
              <w:t xml:space="preserve"> de la Oficina de Desarrollo de las Telecomunicaciones;</w:t>
            </w:r>
          </w:p>
          <w:p w14:paraId="17C178E3" w14:textId="3719B207" w:rsidR="001350B9" w:rsidRPr="00A41470" w:rsidRDefault="00B26B61" w:rsidP="7259F3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  <w:lang w:val="es-ES"/>
              </w:rPr>
            </w:pPr>
            <w:r w:rsidRPr="7259F3DB">
              <w:rPr>
                <w:sz w:val="22"/>
                <w:szCs w:val="22"/>
                <w:lang w:val="es-ES"/>
              </w:rPr>
              <w:t>–</w:t>
            </w:r>
            <w:r>
              <w:tab/>
            </w:r>
            <w:r w:rsidR="001350B9" w:rsidRPr="7259F3DB">
              <w:rPr>
                <w:sz w:val="22"/>
                <w:szCs w:val="22"/>
                <w:lang w:val="es-ES"/>
              </w:rPr>
              <w:t xml:space="preserve">Al </w:t>
            </w:r>
            <w:proofErr w:type="gramStart"/>
            <w:r w:rsidR="001350B9" w:rsidRPr="7259F3DB">
              <w:rPr>
                <w:sz w:val="22"/>
                <w:szCs w:val="22"/>
                <w:lang w:val="es-ES"/>
              </w:rPr>
              <w:t>Director</w:t>
            </w:r>
            <w:proofErr w:type="gramEnd"/>
            <w:r w:rsidR="001350B9" w:rsidRPr="7259F3DB">
              <w:rPr>
                <w:sz w:val="22"/>
                <w:szCs w:val="22"/>
                <w:lang w:val="es-ES"/>
              </w:rPr>
              <w:t xml:space="preserve"> de la Oficina de Radiocomunicaciones</w:t>
            </w:r>
          </w:p>
        </w:tc>
      </w:tr>
      <w:tr w:rsidR="00B26B61" w:rsidRPr="00A41470" w14:paraId="49C2C397" w14:textId="77777777" w:rsidTr="0037443C">
        <w:trPr>
          <w:cantSplit/>
          <w:trHeight w:val="340"/>
        </w:trPr>
        <w:tc>
          <w:tcPr>
            <w:tcW w:w="1224" w:type="dxa"/>
          </w:tcPr>
          <w:p w14:paraId="5930E7D1" w14:textId="0311DE5C" w:rsidR="00B26B61" w:rsidRPr="00A41470" w:rsidRDefault="00B26B61" w:rsidP="7259F3D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Contacto:</w:t>
            </w:r>
          </w:p>
        </w:tc>
        <w:tc>
          <w:tcPr>
            <w:tcW w:w="3751" w:type="dxa"/>
            <w:gridSpan w:val="2"/>
          </w:tcPr>
          <w:p w14:paraId="443A1A5D" w14:textId="69446CCB" w:rsidR="00B26B61" w:rsidRPr="00A41470" w:rsidRDefault="00B26B61" w:rsidP="7259F3DB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  <w:lang w:val="es-ES"/>
              </w:rPr>
            </w:pPr>
            <w:r w:rsidRPr="7259F3DB">
              <w:rPr>
                <w:b/>
                <w:bCs/>
                <w:sz w:val="22"/>
                <w:szCs w:val="22"/>
                <w:lang w:val="es-ES"/>
              </w:rPr>
              <w:t xml:space="preserve">Hiroshi </w:t>
            </w:r>
            <w:proofErr w:type="spellStart"/>
            <w:r w:rsidRPr="7259F3DB">
              <w:rPr>
                <w:b/>
                <w:bCs/>
                <w:sz w:val="22"/>
                <w:szCs w:val="22"/>
                <w:lang w:val="es-ES"/>
              </w:rPr>
              <w:t>Ota</w:t>
            </w:r>
            <w:proofErr w:type="spellEnd"/>
          </w:p>
        </w:tc>
        <w:tc>
          <w:tcPr>
            <w:tcW w:w="5329" w:type="dxa"/>
            <w:vMerge/>
          </w:tcPr>
          <w:p w14:paraId="04123688" w14:textId="77777777" w:rsidR="00B26B61" w:rsidRPr="00A41470" w:rsidRDefault="00B26B61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</w:p>
        </w:tc>
      </w:tr>
      <w:tr w:rsidR="001350B9" w:rsidRPr="00A41470" w14:paraId="21C49659" w14:textId="77777777" w:rsidTr="0037443C">
        <w:trPr>
          <w:cantSplit/>
        </w:trPr>
        <w:tc>
          <w:tcPr>
            <w:tcW w:w="1224" w:type="dxa"/>
          </w:tcPr>
          <w:p w14:paraId="6E5FA765" w14:textId="77777777" w:rsidR="001350B9" w:rsidRPr="00A41470" w:rsidRDefault="001350B9" w:rsidP="7259F3D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Tel.:</w:t>
            </w:r>
          </w:p>
        </w:tc>
        <w:tc>
          <w:tcPr>
            <w:tcW w:w="3751" w:type="dxa"/>
            <w:gridSpan w:val="2"/>
          </w:tcPr>
          <w:p w14:paraId="66A5B29E" w14:textId="28738031" w:rsidR="001350B9" w:rsidRPr="00A41470" w:rsidRDefault="001350B9" w:rsidP="7259F3DB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+41 22 730</w:t>
            </w:r>
            <w:r w:rsidR="00B26B61" w:rsidRPr="7259F3DB">
              <w:rPr>
                <w:sz w:val="22"/>
                <w:szCs w:val="22"/>
              </w:rPr>
              <w:t xml:space="preserve"> 6356</w:t>
            </w:r>
          </w:p>
        </w:tc>
        <w:tc>
          <w:tcPr>
            <w:tcW w:w="5329" w:type="dxa"/>
            <w:vMerge/>
          </w:tcPr>
          <w:p w14:paraId="7DC24B02" w14:textId="77777777" w:rsidR="001350B9" w:rsidRPr="00A41470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A41470" w14:paraId="2AC4DEB3" w14:textId="77777777" w:rsidTr="0037443C">
        <w:trPr>
          <w:cantSplit/>
        </w:trPr>
        <w:tc>
          <w:tcPr>
            <w:tcW w:w="1224" w:type="dxa"/>
          </w:tcPr>
          <w:p w14:paraId="0DC8894F" w14:textId="77777777" w:rsidR="001350B9" w:rsidRPr="00A41470" w:rsidRDefault="001350B9" w:rsidP="7259F3D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Fax:</w:t>
            </w:r>
          </w:p>
        </w:tc>
        <w:tc>
          <w:tcPr>
            <w:tcW w:w="3751" w:type="dxa"/>
            <w:gridSpan w:val="2"/>
          </w:tcPr>
          <w:p w14:paraId="61485F48" w14:textId="77777777" w:rsidR="001350B9" w:rsidRPr="00A41470" w:rsidRDefault="001350B9" w:rsidP="7259F3DB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307C4737" w14:textId="77777777" w:rsidR="001350B9" w:rsidRPr="00A41470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A41470" w14:paraId="4905B4D9" w14:textId="77777777" w:rsidTr="0037443C">
        <w:trPr>
          <w:cantSplit/>
          <w:trHeight w:val="2232"/>
        </w:trPr>
        <w:tc>
          <w:tcPr>
            <w:tcW w:w="1224" w:type="dxa"/>
          </w:tcPr>
          <w:p w14:paraId="5DA04B13" w14:textId="77777777" w:rsidR="001350B9" w:rsidRPr="00A41470" w:rsidRDefault="001350B9" w:rsidP="7259F3D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7259F3DB">
              <w:rPr>
                <w:sz w:val="22"/>
                <w:szCs w:val="22"/>
              </w:rPr>
              <w:t>Correo-e:</w:t>
            </w:r>
          </w:p>
        </w:tc>
        <w:tc>
          <w:tcPr>
            <w:tcW w:w="3751" w:type="dxa"/>
            <w:gridSpan w:val="2"/>
          </w:tcPr>
          <w:p w14:paraId="696CEDC5" w14:textId="7F901B7F" w:rsidR="001350B9" w:rsidRPr="00A41470" w:rsidRDefault="00B26B61" w:rsidP="7259F3DB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12">
              <w:r w:rsidRPr="7259F3DB">
                <w:rPr>
                  <w:rStyle w:val="Hyperlink"/>
                  <w:sz w:val="22"/>
                  <w:szCs w:val="22"/>
                </w:rPr>
                <w:t>tsbevents@itu.int</w:t>
              </w:r>
            </w:hyperlink>
            <w:r w:rsidR="001350B9" w:rsidRPr="7259F3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29" w:type="dxa"/>
            <w:vMerge/>
          </w:tcPr>
          <w:p w14:paraId="12EA7E8D" w14:textId="77777777" w:rsidR="001350B9" w:rsidRPr="00A41470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Cs w:val="24"/>
              </w:rPr>
            </w:pPr>
          </w:p>
        </w:tc>
      </w:tr>
      <w:tr w:rsidR="007B6316" w:rsidRPr="00A41470" w14:paraId="2FF22A0A" w14:textId="77777777" w:rsidTr="0037443C">
        <w:trPr>
          <w:cantSplit/>
        </w:trPr>
        <w:tc>
          <w:tcPr>
            <w:tcW w:w="1224" w:type="dxa"/>
          </w:tcPr>
          <w:p w14:paraId="0050FB5C" w14:textId="77777777" w:rsidR="007B6316" w:rsidRPr="00A41470" w:rsidRDefault="007B6316" w:rsidP="7259F3D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7443C">
              <w:rPr>
                <w:b/>
                <w:bCs/>
                <w:sz w:val="22"/>
                <w:szCs w:val="22"/>
              </w:rPr>
              <w:t>Asunto</w:t>
            </w:r>
            <w:r w:rsidRPr="7259F3DB">
              <w:rPr>
                <w:sz w:val="22"/>
                <w:szCs w:val="22"/>
              </w:rPr>
              <w:t>:</w:t>
            </w:r>
          </w:p>
        </w:tc>
        <w:tc>
          <w:tcPr>
            <w:tcW w:w="9080" w:type="dxa"/>
            <w:gridSpan w:val="3"/>
          </w:tcPr>
          <w:p w14:paraId="3DC7AAD9" w14:textId="7B9E9386" w:rsidR="007B6316" w:rsidRPr="00A41470" w:rsidRDefault="00B26B61" w:rsidP="7259F3DB">
            <w:pPr>
              <w:tabs>
                <w:tab w:val="left" w:pos="4111"/>
              </w:tabs>
              <w:spacing w:before="0"/>
              <w:rPr>
                <w:b/>
                <w:bCs/>
                <w:sz w:val="22"/>
                <w:szCs w:val="22"/>
              </w:rPr>
            </w:pPr>
            <w:r w:rsidRPr="7259F3DB">
              <w:rPr>
                <w:b/>
                <w:bCs/>
                <w:color w:val="000000" w:themeColor="text1"/>
                <w:sz w:val="22"/>
                <w:szCs w:val="22"/>
                <w:lang w:val="es-ES"/>
              </w:rPr>
              <w:t>Quinto taller conjunto de ETSI ISG F5G, BBF, CCSA TC6 y la CE 15 del UIT-T sobre "FTTR" (fibra hasta la habitación), (Ginebra, Suiza, 22 de octubre de 2025)</w:t>
            </w:r>
          </w:p>
        </w:tc>
      </w:tr>
    </w:tbl>
    <w:p w14:paraId="78439660" w14:textId="150F6BC7" w:rsidR="00C34772" w:rsidRPr="00A41470" w:rsidRDefault="00C34772" w:rsidP="7259F3DB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7259F3DB">
        <w:rPr>
          <w:sz w:val="22"/>
          <w:szCs w:val="22"/>
        </w:rPr>
        <w:t>Muy Señora mía/Muy Señor mío</w:t>
      </w:r>
      <w:r w:rsidR="0037443C">
        <w:rPr>
          <w:sz w:val="22"/>
          <w:szCs w:val="22"/>
        </w:rPr>
        <w:t>,</w:t>
      </w:r>
    </w:p>
    <w:p w14:paraId="53ECCB6C" w14:textId="5BAB4610" w:rsidR="007B6316" w:rsidRDefault="00B26B61" w:rsidP="7259F3DB">
      <w:pPr>
        <w:rPr>
          <w:sz w:val="22"/>
          <w:szCs w:val="22"/>
          <w:lang w:val="es-ES"/>
        </w:rPr>
      </w:pPr>
      <w:r w:rsidRPr="7259F3DB">
        <w:rPr>
          <w:sz w:val="22"/>
          <w:szCs w:val="22"/>
          <w:lang w:val="es-ES"/>
        </w:rPr>
        <w:t>1</w:t>
      </w:r>
      <w:r>
        <w:tab/>
      </w:r>
      <w:r w:rsidRPr="7259F3DB">
        <w:rPr>
          <w:sz w:val="22"/>
          <w:szCs w:val="22"/>
          <w:lang w:val="es-ES"/>
        </w:rPr>
        <w:t xml:space="preserve">Me complace informarle de que la </w:t>
      </w:r>
      <w:hyperlink r:id="rId13" w:history="1">
        <w:r w:rsidRPr="0037443C">
          <w:rPr>
            <w:rStyle w:val="Hyperlink"/>
            <w:sz w:val="22"/>
            <w:szCs w:val="22"/>
            <w:lang w:val="es-ES"/>
          </w:rPr>
          <w:t>Unión Internacional de Telecomunica</w:t>
        </w:r>
        <w:r w:rsidRPr="0037443C">
          <w:rPr>
            <w:rStyle w:val="Hyperlink"/>
            <w:sz w:val="22"/>
            <w:szCs w:val="22"/>
            <w:lang w:val="es-ES"/>
          </w:rPr>
          <w:t>c</w:t>
        </w:r>
        <w:r w:rsidRPr="0037443C">
          <w:rPr>
            <w:rStyle w:val="Hyperlink"/>
            <w:sz w:val="22"/>
            <w:szCs w:val="22"/>
            <w:lang w:val="es-ES"/>
          </w:rPr>
          <w:t>iones (UIT)</w:t>
        </w:r>
      </w:hyperlink>
      <w:r w:rsidRPr="7259F3DB">
        <w:rPr>
          <w:sz w:val="22"/>
          <w:szCs w:val="22"/>
          <w:lang w:val="es-ES"/>
        </w:rPr>
        <w:t xml:space="preserve">, en colaboración con el Instituto Europeo de Normas de Telecomunicaciones –Grupo de Especificación de la Industria– Red fija de quinta generación (ETSI ISG F5G), el Foro de la Banda Ancha (BBF) y el Comité Técnico 6 de la Asociación de Normalización de las Comunicaciones de China (CCSA TC6) organizan el </w:t>
      </w:r>
      <w:r w:rsidRPr="7259F3DB">
        <w:rPr>
          <w:b/>
          <w:bCs/>
          <w:sz w:val="22"/>
          <w:szCs w:val="22"/>
          <w:lang w:val="es-ES"/>
        </w:rPr>
        <w:t>Quinto Taller conjunto ETSI ISG F5G, BBF, CCSA TC6 y la CE 15 del UIT-T sobre la "FTTR" (fibra hasta la habitación)</w:t>
      </w:r>
      <w:r w:rsidRPr="7259F3DB">
        <w:rPr>
          <w:sz w:val="22"/>
          <w:szCs w:val="22"/>
          <w:lang w:val="es-ES"/>
        </w:rPr>
        <w:t xml:space="preserve">, que tendrá lugar el </w:t>
      </w:r>
      <w:r w:rsidRPr="7259F3DB">
        <w:rPr>
          <w:b/>
          <w:bCs/>
          <w:sz w:val="22"/>
          <w:szCs w:val="22"/>
          <w:lang w:val="es-ES"/>
        </w:rPr>
        <w:t xml:space="preserve">22 de octubre de 2025 </w:t>
      </w:r>
      <w:r w:rsidRPr="7259F3DB">
        <w:rPr>
          <w:sz w:val="22"/>
          <w:szCs w:val="22"/>
          <w:lang w:val="es-ES"/>
        </w:rPr>
        <w:t>en la Sede de la UIT en Ginebra, Suiza, de las 14.00 a las 18.00 horas CEST. Se ofrecerá la posibilidad de participar a distancia.</w:t>
      </w:r>
    </w:p>
    <w:p w14:paraId="42AD135E" w14:textId="76894D8F" w:rsidR="00B26B61" w:rsidRDefault="00B26B61" w:rsidP="7259F3DB">
      <w:pPr>
        <w:rPr>
          <w:sz w:val="22"/>
          <w:szCs w:val="22"/>
          <w:lang w:val="es-ES"/>
        </w:rPr>
      </w:pPr>
      <w:r w:rsidRPr="7259F3DB">
        <w:rPr>
          <w:sz w:val="22"/>
          <w:szCs w:val="22"/>
          <w:lang w:val="es-ES"/>
        </w:rPr>
        <w:t>2</w:t>
      </w:r>
      <w:r>
        <w:tab/>
      </w:r>
      <w:proofErr w:type="gramStart"/>
      <w:r w:rsidRPr="7259F3DB">
        <w:rPr>
          <w:sz w:val="22"/>
          <w:szCs w:val="22"/>
          <w:lang w:val="es-ES"/>
        </w:rPr>
        <w:t>Este</w:t>
      </w:r>
      <w:proofErr w:type="gramEnd"/>
      <w:r w:rsidRPr="7259F3DB">
        <w:rPr>
          <w:sz w:val="22"/>
          <w:szCs w:val="22"/>
          <w:lang w:val="es-ES"/>
        </w:rPr>
        <w:t xml:space="preserve"> taller se centrará en la evolución de las redes de fibra en los locales como factor clave para lograr una alta calidad percibida (</w:t>
      </w:r>
      <w:proofErr w:type="spellStart"/>
      <w:r w:rsidRPr="7259F3DB">
        <w:rPr>
          <w:sz w:val="22"/>
          <w:szCs w:val="22"/>
          <w:lang w:val="es-ES"/>
        </w:rPr>
        <w:t>QoE</w:t>
      </w:r>
      <w:proofErr w:type="spellEnd"/>
      <w:r w:rsidRPr="7259F3DB">
        <w:rPr>
          <w:sz w:val="22"/>
          <w:szCs w:val="22"/>
          <w:lang w:val="es-ES"/>
        </w:rPr>
        <w:t>) en los servicios digitales modernos, como las conferencias en tiempo real, la computación en la nube, el vídeo de ultra alta definición y las aplicaciones de realidad aumentada y realidad virtual inmersivas. Abarcará la transición de los sistemas de cobre tradicionales a la infraestructura de fibra, la integración de la fibra con tecnologías inalámbricas avanzadas y la aplicación de la IA en la gestión de redes y la prestación de servicios. El alcance también incluye el examen de los recientes esfuerzos de normalización llevados a cabo por el UIT-T, el ETSI, el CCSA y el BBF, destacando la importancia de la coordinación mundial para apoyar los despliegues interoperables a gran escala.</w:t>
      </w:r>
    </w:p>
    <w:p w14:paraId="350D926E" w14:textId="03E9C861" w:rsidR="00B26B61" w:rsidRDefault="00B26B61" w:rsidP="7259F3DB">
      <w:pPr>
        <w:rPr>
          <w:sz w:val="22"/>
          <w:szCs w:val="22"/>
          <w:lang w:val="es-ES"/>
        </w:rPr>
      </w:pPr>
      <w:r w:rsidRPr="7259F3DB">
        <w:rPr>
          <w:sz w:val="22"/>
          <w:szCs w:val="22"/>
          <w:lang w:val="es-ES"/>
        </w:rPr>
        <w:t>3</w:t>
      </w:r>
      <w:r>
        <w:tab/>
      </w:r>
      <w:proofErr w:type="gramStart"/>
      <w:r w:rsidRPr="7259F3DB">
        <w:rPr>
          <w:sz w:val="22"/>
          <w:szCs w:val="22"/>
          <w:lang w:val="es-ES"/>
        </w:rPr>
        <w:t>El</w:t>
      </w:r>
      <w:proofErr w:type="gramEnd"/>
      <w:r w:rsidRPr="7259F3DB">
        <w:rPr>
          <w:sz w:val="22"/>
          <w:szCs w:val="22"/>
          <w:lang w:val="es-ES"/>
        </w:rPr>
        <w:t xml:space="preserve"> objetivo principal del taller es fomentar la colaboración y la innovación en el desarrollo y la implantación de redes de fibra en los locales. Su objetivo es explorar nuevas aplicaciones y requisitos, compartir prácticas de despliegue exitosas y examinar la integración de tecnologías domésticas inteligentes. También trata de impulsar la convergencia de los sistemas de fibra e inalámbricos, incluida la coordinación con las tecnologías </w:t>
      </w:r>
      <w:proofErr w:type="spellStart"/>
      <w:r w:rsidRPr="7259F3DB">
        <w:rPr>
          <w:sz w:val="22"/>
          <w:szCs w:val="22"/>
          <w:lang w:val="es-ES"/>
        </w:rPr>
        <w:t>Wi</w:t>
      </w:r>
      <w:proofErr w:type="spellEnd"/>
      <w:r w:rsidRPr="7259F3DB">
        <w:rPr>
          <w:sz w:val="22"/>
          <w:szCs w:val="22"/>
          <w:lang w:val="es-ES"/>
        </w:rPr>
        <w:t>-Fi, de ondas milimétricas y Li-Fi. Además, se abordará el papel de la inteligencia artificial en la mejora del rendimiento de la red y la habilitación de nuevos servicios, al tiempo que se fomenta la armonización entre las organizaciones normativas mundiales para garantizar la funcionalidad unificada de los productos y las expectativas de rendimiento.</w:t>
      </w:r>
    </w:p>
    <w:p w14:paraId="6B307E24" w14:textId="06852006" w:rsidR="00B26B61" w:rsidRDefault="00B26B61" w:rsidP="7259F3DB">
      <w:pPr>
        <w:rPr>
          <w:sz w:val="22"/>
          <w:szCs w:val="22"/>
          <w:lang w:val="es-ES"/>
        </w:rPr>
      </w:pPr>
      <w:r w:rsidRPr="7259F3DB">
        <w:rPr>
          <w:sz w:val="22"/>
          <w:szCs w:val="22"/>
          <w:lang w:val="es-ES"/>
        </w:rPr>
        <w:t>4</w:t>
      </w:r>
      <w:r>
        <w:tab/>
      </w:r>
      <w:proofErr w:type="gramStart"/>
      <w:r w:rsidRPr="7259F3DB">
        <w:rPr>
          <w:sz w:val="22"/>
          <w:szCs w:val="22"/>
          <w:lang w:val="es-ES"/>
        </w:rPr>
        <w:t>La</w:t>
      </w:r>
      <w:proofErr w:type="gramEnd"/>
      <w:r w:rsidRPr="7259F3DB">
        <w:rPr>
          <w:sz w:val="22"/>
          <w:szCs w:val="22"/>
          <w:lang w:val="es-ES"/>
        </w:rPr>
        <w:t xml:space="preserve"> participación en el taller es gratuita y está abierta a los Estados Miembros, Miembros de Sector, Asociados e Instituciones Académicas de la UIT, a todos los participantes habituales de las reuniones del ETSI ISG F5G, el BBF, el CCSA TC6 y la CE 15 del UIT-T, y a cualquier persona interesada en el tema que </w:t>
      </w:r>
      <w:r w:rsidRPr="7259F3DB">
        <w:rPr>
          <w:sz w:val="22"/>
          <w:szCs w:val="22"/>
          <w:lang w:val="es-ES"/>
        </w:rPr>
        <w:lastRenderedPageBreak/>
        <w:t>desee contribuir a los trabajos. Esto incluye a las personas que también sean miembros de organizaciones nacionales, regionales e internacionales.</w:t>
      </w:r>
    </w:p>
    <w:p w14:paraId="5476202C" w14:textId="1FCF91BD" w:rsidR="00B26B61" w:rsidRDefault="00B26B61" w:rsidP="7259F3DB">
      <w:pPr>
        <w:rPr>
          <w:sz w:val="22"/>
          <w:szCs w:val="22"/>
          <w:lang w:val="es-ES"/>
        </w:rPr>
      </w:pPr>
      <w:r w:rsidRPr="7259F3DB">
        <w:rPr>
          <w:sz w:val="22"/>
          <w:szCs w:val="22"/>
          <w:lang w:val="es-ES"/>
        </w:rPr>
        <w:t>5</w:t>
      </w:r>
      <w:r>
        <w:tab/>
      </w:r>
      <w:proofErr w:type="gramStart"/>
      <w:r w:rsidRPr="7259F3DB">
        <w:rPr>
          <w:sz w:val="22"/>
          <w:szCs w:val="22"/>
          <w:lang w:val="es-ES"/>
        </w:rPr>
        <w:t>Toda</w:t>
      </w:r>
      <w:proofErr w:type="gramEnd"/>
      <w:r w:rsidRPr="7259F3DB">
        <w:rPr>
          <w:sz w:val="22"/>
          <w:szCs w:val="22"/>
          <w:lang w:val="es-ES"/>
        </w:rPr>
        <w:t xml:space="preserve"> la información pertinente relativa al evento (por ejemplo, el proyecto de programa, la lista de ponentes y el enlace de inscripción) estará disponible en el sitio web del evento, a saber: </w:t>
      </w:r>
      <w:hyperlink r:id="rId14">
        <w:r w:rsidRPr="7259F3DB">
          <w:rPr>
            <w:rStyle w:val="Hyperlink"/>
            <w:sz w:val="22"/>
            <w:szCs w:val="22"/>
          </w:rPr>
          <w:t>https://www.itu.in</w:t>
        </w:r>
        <w:r w:rsidRPr="7259F3DB">
          <w:rPr>
            <w:rStyle w:val="Hyperlink"/>
            <w:sz w:val="22"/>
            <w:szCs w:val="22"/>
          </w:rPr>
          <w:t>t</w:t>
        </w:r>
        <w:r w:rsidRPr="7259F3DB">
          <w:rPr>
            <w:rStyle w:val="Hyperlink"/>
            <w:sz w:val="22"/>
            <w:szCs w:val="22"/>
          </w:rPr>
          <w:t>/en/ITU-T/Workshops-and-Seminars/2025/1022/Pages/default.aspx</w:t>
        </w:r>
      </w:hyperlink>
      <w:r w:rsidRPr="7259F3DB">
        <w:rPr>
          <w:sz w:val="22"/>
          <w:szCs w:val="22"/>
          <w:lang w:val="es-ES"/>
        </w:rPr>
        <w:t>. La página web del evento se irá actualizando a medida que se disponga de más información. Se recomienda a los participantes consultar periódicamente la página web para mantenerse al día de las novedades.</w:t>
      </w:r>
    </w:p>
    <w:p w14:paraId="3D725A05" w14:textId="63F50934" w:rsidR="00B26B61" w:rsidRDefault="00B26B61" w:rsidP="7259F3DB">
      <w:pPr>
        <w:rPr>
          <w:b/>
          <w:bCs/>
          <w:sz w:val="22"/>
          <w:szCs w:val="22"/>
          <w:lang w:val="es-ES"/>
        </w:rPr>
      </w:pPr>
      <w:r w:rsidRPr="7259F3DB">
        <w:rPr>
          <w:sz w:val="22"/>
          <w:szCs w:val="22"/>
          <w:lang w:val="es-ES"/>
        </w:rPr>
        <w:t>6</w:t>
      </w:r>
      <w:r>
        <w:tab/>
      </w:r>
      <w:proofErr w:type="gramStart"/>
      <w:r w:rsidRPr="7259F3DB">
        <w:rPr>
          <w:sz w:val="22"/>
          <w:szCs w:val="22"/>
          <w:lang w:val="es-ES"/>
        </w:rPr>
        <w:t>A</w:t>
      </w:r>
      <w:proofErr w:type="gramEnd"/>
      <w:r w:rsidRPr="7259F3DB">
        <w:rPr>
          <w:sz w:val="22"/>
          <w:szCs w:val="22"/>
          <w:lang w:val="es-ES"/>
        </w:rPr>
        <w:t xml:space="preserve"> fin de que la TSB pueda tomar las disposiciones necesarias para la organización del taller, le agradeceríamos que se inscribiese a la mayor brevedad en la dirección </w:t>
      </w:r>
      <w:hyperlink r:id="rId15">
        <w:r w:rsidRPr="7259F3DB">
          <w:rPr>
            <w:rStyle w:val="Hyperlink"/>
            <w:sz w:val="22"/>
            <w:szCs w:val="22"/>
          </w:rPr>
          <w:t>https://www.itu.int/n</w:t>
        </w:r>
        <w:r w:rsidRPr="7259F3DB">
          <w:rPr>
            <w:rStyle w:val="Hyperlink"/>
            <w:sz w:val="22"/>
            <w:szCs w:val="22"/>
          </w:rPr>
          <w:t>e</w:t>
        </w:r>
        <w:r w:rsidRPr="7259F3DB">
          <w:rPr>
            <w:rStyle w:val="Hyperlink"/>
            <w:sz w:val="22"/>
            <w:szCs w:val="22"/>
          </w:rPr>
          <w:t>t4/CRM/xreg/web/Registration.aspx?Event=C-00015834</w:t>
        </w:r>
      </w:hyperlink>
      <w:r w:rsidRPr="7259F3DB">
        <w:rPr>
          <w:sz w:val="22"/>
          <w:szCs w:val="22"/>
          <w:lang w:val="es-ES"/>
        </w:rPr>
        <w:t xml:space="preserve">. </w:t>
      </w:r>
      <w:r w:rsidRPr="7259F3DB">
        <w:rPr>
          <w:b/>
          <w:bCs/>
          <w:sz w:val="22"/>
          <w:szCs w:val="22"/>
          <w:lang w:val="es-ES"/>
        </w:rPr>
        <w:t>Le rogamos tenga presente que la preinscripción de los participantes en el taller es obligatoria y se lleva a cabo exclusivamente en línea.</w:t>
      </w:r>
    </w:p>
    <w:p w14:paraId="4315F414" w14:textId="0A29710A" w:rsidR="00B26B61" w:rsidRDefault="00B26B61" w:rsidP="7259F3DB">
      <w:pPr>
        <w:rPr>
          <w:color w:val="000000" w:themeColor="text1"/>
          <w:sz w:val="22"/>
          <w:szCs w:val="22"/>
          <w:lang w:val="es-ES"/>
        </w:rPr>
      </w:pPr>
      <w:r w:rsidRPr="7259F3DB">
        <w:rPr>
          <w:color w:val="000000" w:themeColor="text1"/>
          <w:sz w:val="22"/>
          <w:szCs w:val="22"/>
          <w:lang w:val="es-ES"/>
        </w:rPr>
        <w:t>7</w:t>
      </w:r>
      <w:r>
        <w:tab/>
      </w:r>
      <w:proofErr w:type="gramStart"/>
      <w:r w:rsidRPr="7259F3DB">
        <w:rPr>
          <w:color w:val="000000" w:themeColor="text1"/>
          <w:sz w:val="22"/>
          <w:szCs w:val="22"/>
          <w:lang w:val="es-ES"/>
        </w:rPr>
        <w:t>Le</w:t>
      </w:r>
      <w:proofErr w:type="gramEnd"/>
      <w:r w:rsidRPr="7259F3DB">
        <w:rPr>
          <w:color w:val="000000" w:themeColor="text1"/>
          <w:sz w:val="22"/>
          <w:szCs w:val="22"/>
          <w:lang w:val="es-ES"/>
        </w:rPr>
        <w:t xml:space="preserve"> recordamos que los ciudadanos de algunos países necesitan obtener un visado para entrar y permanecer en Suiza. El visado debe solicitarse y obtenerse en la oficina (embajada o consulado) que representa a Suiza en su país, o, si no existiera dicha oficina en su país, en la que esté más cerca del país de salida.</w:t>
      </w:r>
    </w:p>
    <w:p w14:paraId="71713EEA" w14:textId="77777777" w:rsidR="007B6316" w:rsidRPr="00081FE5" w:rsidRDefault="007B6316" w:rsidP="7259F3DB">
      <w:pPr>
        <w:rPr>
          <w:sz w:val="22"/>
          <w:szCs w:val="22"/>
        </w:rPr>
      </w:pPr>
      <w:r w:rsidRPr="7259F3DB">
        <w:rPr>
          <w:sz w:val="22"/>
          <w:szCs w:val="22"/>
        </w:rPr>
        <w:t>Atentamente,</w:t>
      </w:r>
    </w:p>
    <w:p w14:paraId="0ACC9ADF" w14:textId="6455785A" w:rsidR="007B6316" w:rsidRPr="00081FE5" w:rsidRDefault="00AD14F1" w:rsidP="0037443C">
      <w:pPr>
        <w:spacing w:before="720"/>
        <w:rPr>
          <w:sz w:val="22"/>
          <w:szCs w:val="22"/>
        </w:rPr>
      </w:pPr>
      <w:r>
        <w:rPr>
          <w:rFonts w:cstheme="minorBid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7D2218E2" wp14:editId="3DF6FEB8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825500" cy="330200"/>
            <wp:effectExtent l="0" t="0" r="0" b="0"/>
            <wp:wrapNone/>
            <wp:docPr id="1468165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65429" name="Picture 146816542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7259F3DB">
        <w:rPr>
          <w:rFonts w:cstheme="minorBidi"/>
          <w:sz w:val="22"/>
          <w:szCs w:val="22"/>
          <w:lang w:val="es-ES"/>
        </w:rPr>
        <w:t>Seizo Onoe</w:t>
      </w:r>
      <w:r w:rsidR="001350B9">
        <w:br/>
      </w:r>
      <w:proofErr w:type="gramStart"/>
      <w:r w:rsidR="007B6316" w:rsidRPr="7259F3DB">
        <w:rPr>
          <w:sz w:val="22"/>
          <w:szCs w:val="22"/>
        </w:rPr>
        <w:t>Director</w:t>
      </w:r>
      <w:proofErr w:type="gramEnd"/>
      <w:r w:rsidR="007B6316" w:rsidRPr="7259F3DB">
        <w:rPr>
          <w:sz w:val="22"/>
          <w:szCs w:val="22"/>
        </w:rPr>
        <w:t xml:space="preserve"> de la Oficina de </w:t>
      </w:r>
      <w:r w:rsidR="001350B9">
        <w:br/>
      </w:r>
      <w:r w:rsidR="007B6316" w:rsidRPr="7259F3DB">
        <w:rPr>
          <w:sz w:val="22"/>
          <w:szCs w:val="22"/>
        </w:rPr>
        <w:t>Normalización de las Telecomunicaciones</w:t>
      </w:r>
    </w:p>
    <w:p w14:paraId="665E0B2A" w14:textId="77777777" w:rsidR="00401C20" w:rsidRPr="007B6316" w:rsidRDefault="00401C20" w:rsidP="7259F3DB">
      <w:pPr>
        <w:ind w:right="92"/>
        <w:rPr>
          <w:sz w:val="22"/>
          <w:szCs w:val="22"/>
          <w:lang w:val="es-ES"/>
        </w:rPr>
      </w:pPr>
    </w:p>
    <w:sectPr w:rsidR="00401C20" w:rsidRPr="007B6316" w:rsidSect="00B87E9E">
      <w:headerReference w:type="default" r:id="rId17"/>
      <w:footerReference w:type="default" r:id="rId18"/>
      <w:footerReference w:type="first" r:id="rId19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DF64" w14:textId="77777777" w:rsidR="00B26B61" w:rsidRDefault="00B26B61">
      <w:r>
        <w:separator/>
      </w:r>
    </w:p>
  </w:endnote>
  <w:endnote w:type="continuationSeparator" w:id="0">
    <w:p w14:paraId="68D905AB" w14:textId="77777777" w:rsidR="00B26B61" w:rsidRDefault="00B2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800008E7" w:usb1="00000000" w:usb2="00000000" w:usb3="00000000" w:csb0="000001F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259F3DB" w14:paraId="4C0A6DD5" w14:textId="77777777" w:rsidTr="7259F3DB">
      <w:trPr>
        <w:trHeight w:val="300"/>
      </w:trPr>
      <w:tc>
        <w:tcPr>
          <w:tcW w:w="3210" w:type="dxa"/>
        </w:tcPr>
        <w:p w14:paraId="069A08DB" w14:textId="2FDEA5CB" w:rsidR="7259F3DB" w:rsidRDefault="7259F3DB" w:rsidP="7259F3DB">
          <w:pPr>
            <w:ind w:left="-115"/>
          </w:pPr>
        </w:p>
      </w:tc>
      <w:tc>
        <w:tcPr>
          <w:tcW w:w="3210" w:type="dxa"/>
        </w:tcPr>
        <w:p w14:paraId="008FA8B6" w14:textId="4A60297E" w:rsidR="7259F3DB" w:rsidRDefault="7259F3DB" w:rsidP="7259F3DB">
          <w:pPr>
            <w:jc w:val="center"/>
          </w:pPr>
        </w:p>
      </w:tc>
      <w:tc>
        <w:tcPr>
          <w:tcW w:w="3210" w:type="dxa"/>
        </w:tcPr>
        <w:p w14:paraId="4F7DA493" w14:textId="65B10BCD" w:rsidR="7259F3DB" w:rsidRDefault="7259F3DB" w:rsidP="7259F3DB">
          <w:pPr>
            <w:ind w:right="-115"/>
            <w:jc w:val="right"/>
          </w:pPr>
        </w:p>
      </w:tc>
    </w:tr>
  </w:tbl>
  <w:p w14:paraId="48D43A4F" w14:textId="3D437AFE" w:rsidR="7259F3DB" w:rsidRDefault="7259F3DB" w:rsidP="7259F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9889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548D" w14:textId="77777777" w:rsidR="00B26B61" w:rsidRDefault="00B26B61">
      <w:r>
        <w:t>____________________</w:t>
      </w:r>
    </w:p>
  </w:footnote>
  <w:footnote w:type="continuationSeparator" w:id="0">
    <w:p w14:paraId="2297E97D" w14:textId="77777777" w:rsidR="00B26B61" w:rsidRDefault="00B2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D8D1" w14:textId="77777777" w:rsidR="006969B4" w:rsidRPr="00303D62" w:rsidRDefault="7259F3DB">
    <w:pPr>
      <w:pStyle w:val="Header"/>
      <w:rPr>
        <w:sz w:val="18"/>
        <w:szCs w:val="18"/>
      </w:rPr>
    </w:pPr>
    <w:r w:rsidRPr="7259F3DB">
      <w:rPr>
        <w:sz w:val="18"/>
        <w:szCs w:val="18"/>
      </w:rPr>
      <w:t xml:space="preserve">- </w:t>
    </w:r>
    <w:r w:rsidR="006969B4" w:rsidRPr="7259F3DB">
      <w:rPr>
        <w:rStyle w:val="PageNumber"/>
        <w:noProof/>
        <w:sz w:val="18"/>
        <w:szCs w:val="18"/>
      </w:rPr>
      <w:fldChar w:fldCharType="begin"/>
    </w:r>
    <w:r w:rsidR="006969B4" w:rsidRPr="7259F3DB">
      <w:rPr>
        <w:rStyle w:val="PageNumber"/>
        <w:sz w:val="18"/>
        <w:szCs w:val="18"/>
      </w:rPr>
      <w:instrText xml:space="preserve"> PAGE </w:instrText>
    </w:r>
    <w:r w:rsidR="006969B4" w:rsidRPr="7259F3DB">
      <w:rPr>
        <w:rStyle w:val="PageNumber"/>
        <w:sz w:val="18"/>
        <w:szCs w:val="18"/>
      </w:rPr>
      <w:fldChar w:fldCharType="separate"/>
    </w:r>
    <w:r w:rsidRPr="7259F3DB">
      <w:rPr>
        <w:rStyle w:val="PageNumber"/>
        <w:noProof/>
        <w:sz w:val="18"/>
        <w:szCs w:val="18"/>
      </w:rPr>
      <w:t>2</w:t>
    </w:r>
    <w:r w:rsidR="006969B4" w:rsidRPr="7259F3DB">
      <w:rPr>
        <w:rStyle w:val="PageNumber"/>
        <w:noProof/>
        <w:sz w:val="18"/>
        <w:szCs w:val="18"/>
      </w:rPr>
      <w:fldChar w:fldCharType="end"/>
    </w:r>
    <w:r w:rsidRPr="7259F3DB">
      <w:rPr>
        <w:rStyle w:val="PageNumber"/>
        <w:sz w:val="18"/>
        <w:szCs w:val="18"/>
      </w:rPr>
      <w:t xml:space="preserve"> -</w:t>
    </w:r>
  </w:p>
  <w:p w14:paraId="4D573CD4" w14:textId="35BAD0C0" w:rsidR="7259F3DB" w:rsidRDefault="0B13E278" w:rsidP="7259F3DB">
    <w:pPr>
      <w:pStyle w:val="Header"/>
      <w:rPr>
        <w:rStyle w:val="PageNumber"/>
        <w:sz w:val="18"/>
        <w:szCs w:val="18"/>
      </w:rPr>
    </w:pPr>
    <w:r w:rsidRPr="0B13E278">
      <w:rPr>
        <w:rStyle w:val="PageNumber"/>
        <w:sz w:val="18"/>
        <w:szCs w:val="18"/>
      </w:rPr>
      <w:t xml:space="preserve">TSB </w:t>
    </w:r>
    <w:r w:rsidRPr="0B13E278">
      <w:rPr>
        <w:rStyle w:val="PageNumber"/>
        <w:sz w:val="18"/>
        <w:szCs w:val="18"/>
        <w:lang w:val="es-ES"/>
      </w:rPr>
      <w:t>Circular 073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61"/>
    <w:rsid w:val="00002529"/>
    <w:rsid w:val="00085662"/>
    <w:rsid w:val="000C382F"/>
    <w:rsid w:val="001173CC"/>
    <w:rsid w:val="001225A2"/>
    <w:rsid w:val="001350B9"/>
    <w:rsid w:val="0014464D"/>
    <w:rsid w:val="001A54CC"/>
    <w:rsid w:val="00257FB4"/>
    <w:rsid w:val="002C29AF"/>
    <w:rsid w:val="002E496E"/>
    <w:rsid w:val="00303D62"/>
    <w:rsid w:val="00335367"/>
    <w:rsid w:val="00370C2D"/>
    <w:rsid w:val="0037443C"/>
    <w:rsid w:val="003D1E8D"/>
    <w:rsid w:val="003D673B"/>
    <w:rsid w:val="003F2855"/>
    <w:rsid w:val="00401C20"/>
    <w:rsid w:val="004A7957"/>
    <w:rsid w:val="004C4144"/>
    <w:rsid w:val="005070AE"/>
    <w:rsid w:val="0055719E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867BB"/>
    <w:rsid w:val="009A0BA0"/>
    <w:rsid w:val="00A41470"/>
    <w:rsid w:val="00A54E47"/>
    <w:rsid w:val="00AB6E3A"/>
    <w:rsid w:val="00AD14F1"/>
    <w:rsid w:val="00AE7093"/>
    <w:rsid w:val="00B26B61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839B0"/>
    <w:rsid w:val="00E92C09"/>
    <w:rsid w:val="00F14380"/>
    <w:rsid w:val="00F6461F"/>
    <w:rsid w:val="00FC416A"/>
    <w:rsid w:val="00FD2B2D"/>
    <w:rsid w:val="0B13E278"/>
    <w:rsid w:val="7259F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CE153"/>
  <w15:docId w15:val="{1B6FDD10-8003-4276-957C-DB8C3263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6B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Registration.aspx?Event=C-00015834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2025/1022/Pages/defaul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cfbc6-16ba-4348-96d4-7b09f2f75cd9" xsi:nil="true"/>
    <lcf76f155ced4ddcb4097134ff3c332f xmlns="8c683b18-f2fb-4b6f-9052-787ae4e7014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9" ma:contentTypeDescription="Create a new document." ma:contentTypeScope="" ma:versionID="490083ee0a4aa7a202f21754923275be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e578b2dbc78226ccd8e0f09135a5155d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0C63F-5403-47A9-A4B7-1D259F736F50}">
  <ds:schemaRefs>
    <ds:schemaRef ds:uri="http://schemas.microsoft.com/office/2006/metadata/properties"/>
    <ds:schemaRef ds:uri="http://schemas.microsoft.com/office/infopath/2007/PartnerControls"/>
    <ds:schemaRef ds:uri="b4ecfbc6-16ba-4348-96d4-7b09f2f75cd9"/>
    <ds:schemaRef ds:uri="8c683b18-f2fb-4b6f-9052-787ae4e70144"/>
  </ds:schemaRefs>
</ds:datastoreItem>
</file>

<file path=customXml/itemProps2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3E6035-9D70-4918-9218-8F5B5109B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2030B-21F2-4681-A8E3-A1B5EFC4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5</TotalTime>
  <Pages>2</Pages>
  <Words>783</Words>
  <Characters>4465</Characters>
  <Application>Microsoft Office Word</Application>
  <DocSecurity>0</DocSecurity>
  <Lines>37</Lines>
  <Paragraphs>10</Paragraphs>
  <ScaleCrop>false</ScaleCrop>
  <Company>ITU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8</cp:revision>
  <cp:lastPrinted>2025-12-16T14:25:00Z</cp:lastPrinted>
  <dcterms:created xsi:type="dcterms:W3CDTF">2025-09-25T13:44:00Z</dcterms:created>
  <dcterms:modified xsi:type="dcterms:W3CDTF">2025-12-16T14:26:00Z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0x01010016CECE09D1232E468002275F25FCAE42</vt:lpwstr>
  </property>
  <property fmtid="{D5CDD505-2E9C-101B-9397-08002B2CF9AE}" pid="3" name="MediaServiceImageTags">
    <vt:lpwstr/>
  </property>
</Properties>
</file>