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90" w:tblpY="-495"/>
        <w:tblW w:w="9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5"/>
        <w:gridCol w:w="3478"/>
        <w:gridCol w:w="5026"/>
      </w:tblGrid>
      <w:tr w:rsidR="00EF6A23" w:rsidRPr="00010351" w14:paraId="3FDAE1F3" w14:textId="77777777" w:rsidTr="0087034A">
        <w:trPr>
          <w:cantSplit/>
        </w:trPr>
        <w:tc>
          <w:tcPr>
            <w:tcW w:w="1369" w:type="dxa"/>
            <w:vAlign w:val="center"/>
          </w:tcPr>
          <w:p w14:paraId="3DE42CAA" w14:textId="77777777" w:rsidR="00EF6A23" w:rsidRPr="00010351" w:rsidRDefault="00EF6A23" w:rsidP="0087034A">
            <w:pPr>
              <w:tabs>
                <w:tab w:val="right" w:pos="8732"/>
              </w:tabs>
              <w:spacing w:before="0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764050" wp14:editId="0BEAFBAC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87034A" w:rsidRDefault="00EF6A23" w:rsidP="0087034A">
            <w:pPr>
              <w:spacing w:before="0"/>
              <w:ind w:left="79"/>
              <w:rPr>
                <w:rFonts w:cs="Times New Roman Bold"/>
                <w:b/>
                <w:bCs/>
                <w:smallCaps/>
                <w:sz w:val="32"/>
                <w:szCs w:val="28"/>
              </w:rPr>
            </w:pPr>
            <w:r w:rsidRPr="0087034A">
              <w:rPr>
                <w:rFonts w:cs="Times New Roman Bold"/>
                <w:b/>
                <w:bCs/>
                <w:smallCaps/>
                <w:sz w:val="32"/>
                <w:szCs w:val="28"/>
              </w:rPr>
              <w:t>Union internationale des télécommunications</w:t>
            </w:r>
          </w:p>
          <w:p w14:paraId="089E66D0" w14:textId="77777777" w:rsidR="00EF6A23" w:rsidRPr="00010351" w:rsidRDefault="00EF6A23" w:rsidP="0087034A">
            <w:pPr>
              <w:spacing w:before="0"/>
              <w:ind w:left="79"/>
              <w:rPr>
                <w:color w:val="FFFFFF"/>
                <w:sz w:val="22"/>
                <w:szCs w:val="22"/>
              </w:rPr>
            </w:pPr>
            <w:r w:rsidRPr="0087034A">
              <w:rPr>
                <w:rFonts w:cs="Times New Roman Bold"/>
                <w:b/>
                <w:bCs/>
                <w:smallCaps/>
                <w:sz w:val="28"/>
                <w:szCs w:val="26"/>
              </w:rPr>
              <w:t>B</w:t>
            </w:r>
            <w:r w:rsidRPr="0087034A">
              <w:rPr>
                <w:b/>
                <w:b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010351" w14:paraId="18B25741" w14:textId="77777777" w:rsidTr="0087034A">
        <w:trPr>
          <w:cantSplit/>
          <w:trHeight w:val="615"/>
        </w:trPr>
        <w:tc>
          <w:tcPr>
            <w:tcW w:w="1369" w:type="dxa"/>
          </w:tcPr>
          <w:p w14:paraId="4B1AFD72" w14:textId="77777777" w:rsidR="00036F4F" w:rsidRPr="00010351" w:rsidRDefault="00036F4F" w:rsidP="0087034A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22"/>
              </w:rPr>
            </w:pPr>
          </w:p>
        </w:tc>
        <w:tc>
          <w:tcPr>
            <w:tcW w:w="3448" w:type="dxa"/>
          </w:tcPr>
          <w:p w14:paraId="6579D3E8" w14:textId="77777777" w:rsidR="00036F4F" w:rsidRPr="00010351" w:rsidRDefault="00036F4F" w:rsidP="0087034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02" w:type="dxa"/>
          </w:tcPr>
          <w:p w14:paraId="0DC34ECA" w14:textId="0B5FCBCE" w:rsidR="00036F4F" w:rsidRPr="00010351" w:rsidRDefault="00036F4F" w:rsidP="008703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 xml:space="preserve">Genève, 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>le 22 septembre 2025</w:t>
            </w:r>
          </w:p>
        </w:tc>
      </w:tr>
      <w:tr w:rsidR="00445B68" w:rsidRPr="00010351" w14:paraId="16CDDFEF" w14:textId="77777777" w:rsidTr="0087034A">
        <w:trPr>
          <w:cantSplit/>
          <w:trHeight w:val="340"/>
        </w:trPr>
        <w:tc>
          <w:tcPr>
            <w:tcW w:w="1369" w:type="dxa"/>
          </w:tcPr>
          <w:p w14:paraId="3EFF375D" w14:textId="58556577" w:rsidR="00445B68" w:rsidRPr="00010351" w:rsidRDefault="00445B68" w:rsidP="0087034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2A76F1A5">
              <w:rPr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448" w:type="dxa"/>
          </w:tcPr>
          <w:p w14:paraId="5FFBBC9B" w14:textId="1062B2B2" w:rsidR="00445B68" w:rsidRPr="00010351" w:rsidRDefault="00886A92" w:rsidP="0087034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>Circulaire TSB 73</w:t>
            </w:r>
          </w:p>
          <w:p w14:paraId="577F6DA2" w14:textId="312FFE27" w:rsidR="00445B68" w:rsidRPr="00010351" w:rsidRDefault="00886A92" w:rsidP="0087034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2A76F1A5">
              <w:rPr>
                <w:color w:val="000000" w:themeColor="text1"/>
                <w:sz w:val="22"/>
                <w:szCs w:val="22"/>
              </w:rPr>
              <w:t>Manifestations du TSB/HO</w:t>
            </w:r>
          </w:p>
        </w:tc>
        <w:tc>
          <w:tcPr>
            <w:tcW w:w="5002" w:type="dxa"/>
            <w:vMerge w:val="restart"/>
          </w:tcPr>
          <w:p w14:paraId="35271D8E" w14:textId="3BF5BD38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sz w:val="22"/>
                <w:szCs w:val="22"/>
              </w:rPr>
            </w:pPr>
            <w:bookmarkStart w:id="0" w:name="Addressee_F"/>
            <w:bookmarkEnd w:id="0"/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886A92" w:rsidRPr="2A76F1A5">
              <w:rPr>
                <w:color w:val="000000" w:themeColor="text1"/>
                <w:sz w:val="22"/>
                <w:szCs w:val="22"/>
              </w:rPr>
              <w:t xml:space="preserve">Aux Administrations des États Membres de </w:t>
            </w:r>
            <w:proofErr w:type="gramStart"/>
            <w:r w:rsidR="001842AF" w:rsidRPr="2A76F1A5">
              <w:rPr>
                <w:color w:val="000000" w:themeColor="text1"/>
                <w:sz w:val="22"/>
                <w:szCs w:val="22"/>
              </w:rPr>
              <w:t>l'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>Union</w:t>
            </w:r>
            <w:r w:rsidRPr="2A76F1A5">
              <w:rPr>
                <w:sz w:val="22"/>
                <w:szCs w:val="22"/>
              </w:rPr>
              <w:t>;</w:t>
            </w:r>
            <w:proofErr w:type="gramEnd"/>
          </w:p>
          <w:p w14:paraId="38A5A6AE" w14:textId="27CE1C46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886A92" w:rsidRPr="2A76F1A5">
              <w:rPr>
                <w:color w:val="000000" w:themeColor="text1"/>
                <w:sz w:val="22"/>
                <w:szCs w:val="22"/>
              </w:rPr>
              <w:t xml:space="preserve">À </w:t>
            </w:r>
            <w:r w:rsidR="001842AF" w:rsidRPr="2A76F1A5">
              <w:rPr>
                <w:color w:val="000000" w:themeColor="text1"/>
                <w:sz w:val="22"/>
                <w:szCs w:val="22"/>
              </w:rPr>
              <w:t>l'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>État de Palestine (Résolution 99 (Rév.</w:t>
            </w:r>
            <w:r w:rsidR="001842AF" w:rsidRPr="2A76F1A5">
              <w:rPr>
                <w:color w:val="000000" w:themeColor="text1"/>
                <w:sz w:val="22"/>
                <w:szCs w:val="22"/>
              </w:rPr>
              <w:t> 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>Dubaï, 2018)</w:t>
            </w:r>
            <w:proofErr w:type="gramStart"/>
            <w:r w:rsidR="00886A92" w:rsidRPr="2A76F1A5">
              <w:rPr>
                <w:color w:val="000000" w:themeColor="text1"/>
                <w:sz w:val="22"/>
                <w:szCs w:val="22"/>
              </w:rPr>
              <w:t>)</w:t>
            </w:r>
            <w:r w:rsidR="009F4FD7" w:rsidRPr="2A76F1A5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45F82FBC" w14:textId="0206226A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color w:val="000000"/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886A92" w:rsidRPr="2A76F1A5">
              <w:rPr>
                <w:color w:val="000000" w:themeColor="text1"/>
                <w:sz w:val="22"/>
                <w:szCs w:val="22"/>
              </w:rPr>
              <w:t xml:space="preserve">Aux Membres du Secteur de </w:t>
            </w:r>
            <w:r w:rsidR="001842AF" w:rsidRPr="2A76F1A5">
              <w:rPr>
                <w:color w:val="000000" w:themeColor="text1"/>
                <w:sz w:val="22"/>
                <w:szCs w:val="22"/>
              </w:rPr>
              <w:t>l'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>UIT-</w:t>
            </w:r>
            <w:proofErr w:type="gramStart"/>
            <w:r w:rsidR="00886A92" w:rsidRPr="2A76F1A5">
              <w:rPr>
                <w:color w:val="000000" w:themeColor="text1"/>
                <w:sz w:val="22"/>
                <w:szCs w:val="22"/>
              </w:rPr>
              <w:t>T;</w:t>
            </w:r>
            <w:proofErr w:type="gramEnd"/>
          </w:p>
          <w:p w14:paraId="65E0D1B5" w14:textId="3118ABA4" w:rsidR="00886A92" w:rsidRPr="00010351" w:rsidRDefault="00886A92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Pr="2A76F1A5">
              <w:rPr>
                <w:color w:val="000000" w:themeColor="text1"/>
                <w:sz w:val="22"/>
                <w:szCs w:val="22"/>
              </w:rPr>
              <w:t xml:space="preserve">Aux Associés de </w:t>
            </w:r>
            <w:r w:rsidR="001842AF" w:rsidRPr="2A76F1A5">
              <w:rPr>
                <w:color w:val="000000" w:themeColor="text1"/>
                <w:sz w:val="22"/>
                <w:szCs w:val="22"/>
              </w:rPr>
              <w:t>l'</w:t>
            </w:r>
            <w:r w:rsidRPr="2A76F1A5">
              <w:rPr>
                <w:color w:val="000000" w:themeColor="text1"/>
                <w:sz w:val="22"/>
                <w:szCs w:val="22"/>
              </w:rPr>
              <w:t>UIT-</w:t>
            </w:r>
            <w:proofErr w:type="gramStart"/>
            <w:r w:rsidRPr="2A76F1A5">
              <w:rPr>
                <w:color w:val="000000" w:themeColor="text1"/>
                <w:sz w:val="22"/>
                <w:szCs w:val="22"/>
              </w:rPr>
              <w:t>T;</w:t>
            </w:r>
            <w:proofErr w:type="gramEnd"/>
          </w:p>
          <w:p w14:paraId="461460AE" w14:textId="32FC195E" w:rsidR="00445B68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886A92" w:rsidRPr="2A76F1A5">
              <w:rPr>
                <w:color w:val="000000" w:themeColor="text1"/>
                <w:sz w:val="22"/>
                <w:szCs w:val="22"/>
              </w:rPr>
              <w:t xml:space="preserve">Aux établissements universitaires participant aux travaux de </w:t>
            </w:r>
            <w:r w:rsidR="001842AF" w:rsidRPr="2A76F1A5">
              <w:rPr>
                <w:color w:val="000000" w:themeColor="text1"/>
                <w:sz w:val="22"/>
                <w:szCs w:val="22"/>
              </w:rPr>
              <w:t>l'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>UIT</w:t>
            </w:r>
          </w:p>
        </w:tc>
      </w:tr>
      <w:tr w:rsidR="00307FB4" w:rsidRPr="00010351" w14:paraId="06A3F0E7" w14:textId="77777777" w:rsidTr="0087034A">
        <w:trPr>
          <w:cantSplit/>
          <w:trHeight w:val="340"/>
        </w:trPr>
        <w:tc>
          <w:tcPr>
            <w:tcW w:w="1369" w:type="dxa"/>
          </w:tcPr>
          <w:p w14:paraId="5CF43A7B" w14:textId="3933CF6D" w:rsidR="00307FB4" w:rsidRPr="0087034A" w:rsidRDefault="00307FB4" w:rsidP="0087034A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proofErr w:type="gramStart"/>
            <w:r w:rsidRPr="0087034A">
              <w:rPr>
                <w:sz w:val="22"/>
                <w:szCs w:val="18"/>
              </w:rPr>
              <w:t>Contact:</w:t>
            </w:r>
            <w:proofErr w:type="gramEnd"/>
          </w:p>
        </w:tc>
        <w:tc>
          <w:tcPr>
            <w:tcW w:w="3448" w:type="dxa"/>
          </w:tcPr>
          <w:p w14:paraId="2074781F" w14:textId="4D2699DC" w:rsidR="00307FB4" w:rsidRPr="00010351" w:rsidRDefault="00886A92" w:rsidP="0087034A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>Hiroshi Ota</w:t>
            </w:r>
          </w:p>
        </w:tc>
        <w:tc>
          <w:tcPr>
            <w:tcW w:w="5002" w:type="dxa"/>
            <w:vMerge/>
          </w:tcPr>
          <w:p w14:paraId="2F310545" w14:textId="77777777" w:rsidR="00307FB4" w:rsidRPr="00010351" w:rsidRDefault="00307FB4" w:rsidP="0087034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445B68" w:rsidRPr="00010351" w14:paraId="724FD23E" w14:textId="77777777" w:rsidTr="0087034A">
        <w:trPr>
          <w:cantSplit/>
        </w:trPr>
        <w:tc>
          <w:tcPr>
            <w:tcW w:w="1369" w:type="dxa"/>
          </w:tcPr>
          <w:p w14:paraId="73149CCD" w14:textId="77777777" w:rsidR="00445B68" w:rsidRPr="0087034A" w:rsidRDefault="00445B68" w:rsidP="0087034A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proofErr w:type="gramStart"/>
            <w:r w:rsidRPr="0087034A">
              <w:rPr>
                <w:sz w:val="22"/>
                <w:szCs w:val="18"/>
              </w:rPr>
              <w:t>Tél.:</w:t>
            </w:r>
            <w:proofErr w:type="gramEnd"/>
          </w:p>
        </w:tc>
        <w:tc>
          <w:tcPr>
            <w:tcW w:w="3448" w:type="dxa"/>
          </w:tcPr>
          <w:p w14:paraId="78D06186" w14:textId="17688FD2" w:rsidR="00445B68" w:rsidRPr="00010351" w:rsidRDefault="00886A92" w:rsidP="0087034A">
            <w:pPr>
              <w:tabs>
                <w:tab w:val="left" w:pos="4111"/>
              </w:tabs>
              <w:spacing w:before="0"/>
              <w:ind w:left="57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color w:val="000000" w:themeColor="text1"/>
                <w:sz w:val="22"/>
                <w:szCs w:val="22"/>
              </w:rPr>
              <w:t>+41 22 730 6356</w:t>
            </w:r>
          </w:p>
        </w:tc>
        <w:tc>
          <w:tcPr>
            <w:tcW w:w="5002" w:type="dxa"/>
            <w:vMerge/>
          </w:tcPr>
          <w:p w14:paraId="6D3A5806" w14:textId="77777777" w:rsidR="00445B68" w:rsidRPr="00010351" w:rsidRDefault="00445B68" w:rsidP="0087034A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307FB4" w:rsidRPr="00010351" w14:paraId="030F9AE5" w14:textId="77777777" w:rsidTr="0087034A">
        <w:trPr>
          <w:cantSplit/>
          <w:trHeight w:val="586"/>
        </w:trPr>
        <w:tc>
          <w:tcPr>
            <w:tcW w:w="1369" w:type="dxa"/>
          </w:tcPr>
          <w:p w14:paraId="7B417C4C" w14:textId="77777777" w:rsidR="00307FB4" w:rsidRPr="0087034A" w:rsidRDefault="00307FB4" w:rsidP="0087034A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proofErr w:type="gramStart"/>
            <w:r w:rsidRPr="0087034A">
              <w:rPr>
                <w:sz w:val="22"/>
                <w:szCs w:val="18"/>
              </w:rPr>
              <w:t>Télécopie:</w:t>
            </w:r>
            <w:proofErr w:type="gramEnd"/>
          </w:p>
        </w:tc>
        <w:tc>
          <w:tcPr>
            <w:tcW w:w="3448" w:type="dxa"/>
          </w:tcPr>
          <w:p w14:paraId="1A4A5F7B" w14:textId="51D045F5" w:rsidR="00307FB4" w:rsidRPr="00010351" w:rsidRDefault="00886A92" w:rsidP="0087034A">
            <w:pPr>
              <w:tabs>
                <w:tab w:val="left" w:pos="4111"/>
              </w:tabs>
              <w:spacing w:before="0"/>
              <w:ind w:left="57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color w:val="000000" w:themeColor="text1"/>
                <w:sz w:val="22"/>
                <w:szCs w:val="22"/>
              </w:rPr>
              <w:t>+41 22 730 5853</w:t>
            </w:r>
          </w:p>
        </w:tc>
        <w:tc>
          <w:tcPr>
            <w:tcW w:w="5002" w:type="dxa"/>
            <w:vMerge/>
          </w:tcPr>
          <w:p w14:paraId="323DAC81" w14:textId="77777777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307FB4" w:rsidRPr="00010351" w14:paraId="640FB6B9" w14:textId="77777777" w:rsidTr="0087034A">
        <w:trPr>
          <w:cantSplit/>
        </w:trPr>
        <w:tc>
          <w:tcPr>
            <w:tcW w:w="1369" w:type="dxa"/>
          </w:tcPr>
          <w:p w14:paraId="15527369" w14:textId="0865F49A" w:rsidR="00307FB4" w:rsidRPr="0087034A" w:rsidRDefault="00307FB4" w:rsidP="0087034A">
            <w:pPr>
              <w:tabs>
                <w:tab w:val="left" w:pos="4111"/>
              </w:tabs>
              <w:spacing w:before="10"/>
              <w:ind w:left="57"/>
              <w:rPr>
                <w:sz w:val="22"/>
                <w:szCs w:val="18"/>
              </w:rPr>
            </w:pPr>
            <w:proofErr w:type="gramStart"/>
            <w:r w:rsidRPr="0087034A">
              <w:rPr>
                <w:sz w:val="22"/>
                <w:szCs w:val="18"/>
              </w:rPr>
              <w:t>Courriel:</w:t>
            </w:r>
            <w:proofErr w:type="gramEnd"/>
          </w:p>
        </w:tc>
        <w:tc>
          <w:tcPr>
            <w:tcW w:w="3448" w:type="dxa"/>
          </w:tcPr>
          <w:p w14:paraId="172249CE" w14:textId="2C709C66" w:rsidR="00307FB4" w:rsidRPr="00010351" w:rsidRDefault="00886A92" w:rsidP="0087034A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hyperlink r:id="rId12">
              <w:r w:rsidRPr="2A76F1A5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002" w:type="dxa"/>
          </w:tcPr>
          <w:p w14:paraId="55E5D357" w14:textId="77777777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226" w:hanging="116"/>
              <w:rPr>
                <w:b/>
                <w:bCs/>
                <w:sz w:val="22"/>
                <w:szCs w:val="22"/>
              </w:rPr>
            </w:pPr>
            <w:proofErr w:type="gramStart"/>
            <w:r w:rsidRPr="2A76F1A5">
              <w:rPr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6CE98CB1" w14:textId="202202C2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886A92" w:rsidRPr="2A76F1A5">
              <w:rPr>
                <w:color w:val="000000" w:themeColor="text1"/>
                <w:sz w:val="22"/>
                <w:szCs w:val="22"/>
              </w:rPr>
              <w:t xml:space="preserve">Aux </w:t>
            </w:r>
            <w:r w:rsidR="00886A92" w:rsidRPr="2A76F1A5">
              <w:rPr>
                <w:sz w:val="22"/>
                <w:szCs w:val="22"/>
              </w:rPr>
              <w:t xml:space="preserve">Présidents et Vice-Présidents des Commissions </w:t>
            </w:r>
            <w:r w:rsidR="001842AF" w:rsidRPr="2A76F1A5">
              <w:rPr>
                <w:sz w:val="22"/>
                <w:szCs w:val="22"/>
              </w:rPr>
              <w:t>d'</w:t>
            </w:r>
            <w:r w:rsidR="00886A92" w:rsidRPr="2A76F1A5">
              <w:rPr>
                <w:sz w:val="22"/>
                <w:szCs w:val="22"/>
              </w:rPr>
              <w:t xml:space="preserve">études de </w:t>
            </w:r>
            <w:r w:rsidR="001842AF" w:rsidRPr="2A76F1A5">
              <w:rPr>
                <w:sz w:val="22"/>
                <w:szCs w:val="22"/>
              </w:rPr>
              <w:t>l'</w:t>
            </w:r>
            <w:r w:rsidR="00886A92" w:rsidRPr="2A76F1A5">
              <w:rPr>
                <w:sz w:val="22"/>
                <w:szCs w:val="22"/>
              </w:rPr>
              <w:t>UIT-</w:t>
            </w:r>
            <w:proofErr w:type="gramStart"/>
            <w:r w:rsidR="00886A92" w:rsidRPr="2A76F1A5">
              <w:rPr>
                <w:sz w:val="22"/>
                <w:szCs w:val="22"/>
              </w:rPr>
              <w:t>T;</w:t>
            </w:r>
            <w:proofErr w:type="gramEnd"/>
          </w:p>
          <w:p w14:paraId="56C75C35" w14:textId="3411CB51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886A92" w:rsidRPr="2A76F1A5">
              <w:rPr>
                <w:sz w:val="22"/>
                <w:szCs w:val="22"/>
              </w:rPr>
              <w:t xml:space="preserve">Au Directeur du Bureau de développement des </w:t>
            </w:r>
            <w:proofErr w:type="gramStart"/>
            <w:r w:rsidR="00886A92" w:rsidRPr="2A76F1A5">
              <w:rPr>
                <w:sz w:val="22"/>
                <w:szCs w:val="22"/>
              </w:rPr>
              <w:t>télécommunications;</w:t>
            </w:r>
            <w:proofErr w:type="gramEnd"/>
          </w:p>
          <w:p w14:paraId="19762254" w14:textId="7A2F9CFA" w:rsidR="00307FB4" w:rsidRPr="00010351" w:rsidRDefault="00307FB4" w:rsidP="0087034A">
            <w:pPr>
              <w:tabs>
                <w:tab w:val="left" w:pos="226"/>
                <w:tab w:val="left" w:pos="4111"/>
              </w:tabs>
              <w:spacing w:before="0"/>
              <w:ind w:left="426" w:hanging="316"/>
              <w:rPr>
                <w:color w:val="000000" w:themeColor="text1"/>
                <w:sz w:val="22"/>
                <w:szCs w:val="22"/>
              </w:rPr>
            </w:pPr>
            <w:r w:rsidRPr="2A76F1A5">
              <w:rPr>
                <w:sz w:val="22"/>
                <w:szCs w:val="22"/>
              </w:rPr>
              <w:t>–</w:t>
            </w:r>
            <w:r>
              <w:tab/>
            </w:r>
            <w:r w:rsidR="0021667F" w:rsidRPr="2A76F1A5">
              <w:rPr>
                <w:sz w:val="22"/>
                <w:szCs w:val="22"/>
              </w:rPr>
              <w:t xml:space="preserve">Au </w:t>
            </w:r>
            <w:r w:rsidR="00886A92" w:rsidRPr="2A76F1A5">
              <w:rPr>
                <w:sz w:val="22"/>
                <w:szCs w:val="22"/>
              </w:rPr>
              <w:t>Directeur</w:t>
            </w:r>
            <w:r w:rsidR="00886A92" w:rsidRPr="2A76F1A5">
              <w:rPr>
                <w:color w:val="000000" w:themeColor="text1"/>
                <w:sz w:val="22"/>
                <w:szCs w:val="22"/>
              </w:rPr>
              <w:t xml:space="preserve"> du Bureau des radiocommunications</w:t>
            </w:r>
          </w:p>
        </w:tc>
      </w:tr>
      <w:tr w:rsidR="00517A03" w:rsidRPr="00010351" w14:paraId="5435C04A" w14:textId="77777777" w:rsidTr="0087034A">
        <w:trPr>
          <w:cantSplit/>
          <w:trHeight w:val="397"/>
        </w:trPr>
        <w:tc>
          <w:tcPr>
            <w:tcW w:w="1369" w:type="dxa"/>
          </w:tcPr>
          <w:p w14:paraId="2A0B9B4F" w14:textId="77777777" w:rsidR="00517A03" w:rsidRPr="00010351" w:rsidRDefault="00517A03" w:rsidP="0087034A">
            <w:pPr>
              <w:tabs>
                <w:tab w:val="left" w:pos="4111"/>
              </w:tabs>
              <w:ind w:left="57"/>
              <w:rPr>
                <w:b/>
                <w:bCs/>
                <w:sz w:val="22"/>
                <w:szCs w:val="22"/>
              </w:rPr>
            </w:pPr>
            <w:proofErr w:type="gramStart"/>
            <w:r w:rsidRPr="2A76F1A5">
              <w:rPr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48D34BDA" w:rsidR="00517A03" w:rsidRPr="00010351" w:rsidRDefault="00886A92" w:rsidP="0087034A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  <w:szCs w:val="22"/>
              </w:rPr>
            </w:pP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 xml:space="preserve">Cinquième atelier commun du Groupe ISG F5G de </w:t>
            </w:r>
            <w:r w:rsidR="001842AF" w:rsidRPr="2A76F1A5">
              <w:rPr>
                <w:b/>
                <w:bCs/>
                <w:color w:val="000000" w:themeColor="text1"/>
                <w:sz w:val="22"/>
                <w:szCs w:val="22"/>
              </w:rPr>
              <w:t>l'</w:t>
            </w: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>ETSI, du BBF, du</w:t>
            </w:r>
            <w:r w:rsidR="00010351" w:rsidRPr="2A76F1A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>Comité</w:t>
            </w:r>
            <w:r w:rsidR="001842AF" w:rsidRPr="2A76F1A5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 xml:space="preserve">technique 6 de la CCSA et de la CE 15 de </w:t>
            </w:r>
            <w:r w:rsidR="001842AF" w:rsidRPr="2A76F1A5">
              <w:rPr>
                <w:b/>
                <w:bCs/>
                <w:color w:val="000000" w:themeColor="text1"/>
                <w:sz w:val="22"/>
                <w:szCs w:val="22"/>
              </w:rPr>
              <w:t>l'</w:t>
            </w: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>UIT-T sur la technologie FTTR (fibre jus</w:t>
            </w:r>
            <w:r w:rsidR="001842AF" w:rsidRPr="2A76F1A5">
              <w:rPr>
                <w:b/>
                <w:bCs/>
                <w:color w:val="000000" w:themeColor="text1"/>
                <w:sz w:val="22"/>
                <w:szCs w:val="22"/>
              </w:rPr>
              <w:t>qu'</w:t>
            </w: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 xml:space="preserve">à la pièce) </w:t>
            </w:r>
            <w:r w:rsidR="00D82ECD"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  <w:r w:rsidRPr="2A76F1A5">
              <w:rPr>
                <w:b/>
                <w:bCs/>
                <w:color w:val="000000" w:themeColor="text1"/>
                <w:sz w:val="22"/>
                <w:szCs w:val="22"/>
              </w:rPr>
              <w:t>(Genève (Suisse), 22 octobre 2025)</w:t>
            </w:r>
          </w:p>
        </w:tc>
      </w:tr>
    </w:tbl>
    <w:p w14:paraId="08D57AE3" w14:textId="77777777" w:rsidR="00886A92" w:rsidRPr="00010351" w:rsidRDefault="00886A92" w:rsidP="0087034A">
      <w:pPr>
        <w:pStyle w:val="Normalaftertitle"/>
        <w:spacing w:before="120"/>
        <w:rPr>
          <w:sz w:val="22"/>
          <w:szCs w:val="22"/>
        </w:rPr>
      </w:pPr>
      <w:bookmarkStart w:id="1" w:name="StartTyping_F"/>
      <w:bookmarkEnd w:id="1"/>
      <w:r w:rsidRPr="2A76F1A5">
        <w:rPr>
          <w:sz w:val="22"/>
          <w:szCs w:val="22"/>
        </w:rPr>
        <w:t>Madame, Monsieur,</w:t>
      </w:r>
    </w:p>
    <w:p w14:paraId="00D81A47" w14:textId="4D4F2240" w:rsidR="00886A92" w:rsidRPr="00010351" w:rsidRDefault="00886A92" w:rsidP="00886A92">
      <w:pP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2" w:name="suitetext"/>
      <w:bookmarkStart w:id="3" w:name="text"/>
      <w:bookmarkEnd w:id="2"/>
      <w:bookmarkEnd w:id="3"/>
      <w:r w:rsidRPr="2A76F1A5">
        <w:rPr>
          <w:sz w:val="22"/>
          <w:szCs w:val="22"/>
        </w:rPr>
        <w:t>1</w:t>
      </w:r>
      <w:r>
        <w:tab/>
      </w:r>
      <w:r w:rsidRPr="2A76F1A5">
        <w:rPr>
          <w:sz w:val="22"/>
          <w:szCs w:val="22"/>
        </w:rPr>
        <w:t xml:space="preserve">J'ai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honneur de vous informer que </w:t>
      </w:r>
      <w:r w:rsidR="001842AF" w:rsidRPr="2A76F1A5">
        <w:rPr>
          <w:sz w:val="22"/>
          <w:szCs w:val="22"/>
        </w:rPr>
        <w:t>l'</w:t>
      </w:r>
      <w:hyperlink r:id="rId13" w:anchor="/fr">
        <w:r w:rsidRPr="2A76F1A5">
          <w:rPr>
            <w:rStyle w:val="Hyperlink"/>
            <w:sz w:val="22"/>
            <w:szCs w:val="22"/>
          </w:rPr>
          <w:t>Union internationale des télécommunications (</w:t>
        </w:r>
        <w:r w:rsidRPr="2A76F1A5">
          <w:rPr>
            <w:rStyle w:val="Hyperlink"/>
            <w:b/>
            <w:bCs/>
            <w:sz w:val="22"/>
            <w:szCs w:val="22"/>
          </w:rPr>
          <w:t>UIT</w:t>
        </w:r>
        <w:r w:rsidRPr="2A76F1A5">
          <w:rPr>
            <w:rStyle w:val="Hyperlink"/>
            <w:sz w:val="22"/>
            <w:szCs w:val="22"/>
          </w:rPr>
          <w:t>)</w:t>
        </w:r>
      </w:hyperlink>
      <w:r w:rsidRPr="2A76F1A5">
        <w:rPr>
          <w:sz w:val="22"/>
          <w:szCs w:val="22"/>
        </w:rPr>
        <w:t>, conjointement avec le Groupe chargé des spécifications sur le réseau fixe de cinquième génération (</w:t>
      </w:r>
      <w:r w:rsidRPr="2A76F1A5">
        <w:rPr>
          <w:b/>
          <w:bCs/>
          <w:sz w:val="22"/>
          <w:szCs w:val="22"/>
        </w:rPr>
        <w:t xml:space="preserve">Groupe ISG F5G de </w:t>
      </w:r>
      <w:r w:rsidR="001842AF" w:rsidRPr="2A76F1A5">
        <w:rPr>
          <w:b/>
          <w:bCs/>
          <w:sz w:val="22"/>
          <w:szCs w:val="22"/>
        </w:rPr>
        <w:t>l'</w:t>
      </w:r>
      <w:r w:rsidRPr="2A76F1A5">
        <w:rPr>
          <w:b/>
          <w:bCs/>
          <w:sz w:val="22"/>
          <w:szCs w:val="22"/>
        </w:rPr>
        <w:t>ETSI</w:t>
      </w:r>
      <w:r w:rsidRPr="2A76F1A5">
        <w:rPr>
          <w:sz w:val="22"/>
          <w:szCs w:val="22"/>
        </w:rPr>
        <w:t xml:space="preserve">)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>Institut européen des normes de télécommunication, le Broadband Forum (</w:t>
      </w:r>
      <w:r w:rsidRPr="2A76F1A5">
        <w:rPr>
          <w:b/>
          <w:bCs/>
          <w:sz w:val="22"/>
          <w:szCs w:val="22"/>
        </w:rPr>
        <w:t>BBF</w:t>
      </w:r>
      <w:r w:rsidRPr="2A76F1A5">
        <w:rPr>
          <w:sz w:val="22"/>
          <w:szCs w:val="22"/>
        </w:rPr>
        <w:t xml:space="preserve">) et le Comité technique 6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>Association chinoise de normalisation des communications (</w:t>
      </w:r>
      <w:r w:rsidRPr="2A76F1A5">
        <w:rPr>
          <w:b/>
          <w:bCs/>
          <w:sz w:val="22"/>
          <w:szCs w:val="22"/>
        </w:rPr>
        <w:t>Comité technique 6 de la CCSA</w:t>
      </w:r>
      <w:r w:rsidRPr="2A76F1A5">
        <w:rPr>
          <w:sz w:val="22"/>
          <w:szCs w:val="22"/>
        </w:rPr>
        <w:t xml:space="preserve">), organisera le </w:t>
      </w:r>
      <w:r w:rsidRPr="2A76F1A5">
        <w:rPr>
          <w:b/>
          <w:bCs/>
          <w:sz w:val="22"/>
          <w:szCs w:val="22"/>
        </w:rPr>
        <w:t xml:space="preserve">cinquième atelier commun du Groupe ISG F5G de </w:t>
      </w:r>
      <w:r w:rsidR="001842AF" w:rsidRPr="2A76F1A5">
        <w:rPr>
          <w:b/>
          <w:bCs/>
          <w:sz w:val="22"/>
          <w:szCs w:val="22"/>
        </w:rPr>
        <w:t>l'</w:t>
      </w:r>
      <w:r w:rsidRPr="2A76F1A5">
        <w:rPr>
          <w:b/>
          <w:bCs/>
          <w:sz w:val="22"/>
          <w:szCs w:val="22"/>
        </w:rPr>
        <w:t xml:space="preserve">ETSI, du BBF, du Comité technique 6 de la CCSA et de la CE 15 de </w:t>
      </w:r>
      <w:r w:rsidR="001842AF" w:rsidRPr="2A76F1A5">
        <w:rPr>
          <w:b/>
          <w:bCs/>
          <w:sz w:val="22"/>
          <w:szCs w:val="22"/>
        </w:rPr>
        <w:t>l'</w:t>
      </w:r>
      <w:r w:rsidRPr="2A76F1A5">
        <w:rPr>
          <w:b/>
          <w:bCs/>
          <w:sz w:val="22"/>
          <w:szCs w:val="22"/>
        </w:rPr>
        <w:t>UIT-T sur la technologie FTTR (fibre jus</w:t>
      </w:r>
      <w:r w:rsidR="001842AF" w:rsidRPr="2A76F1A5">
        <w:rPr>
          <w:b/>
          <w:bCs/>
          <w:sz w:val="22"/>
          <w:szCs w:val="22"/>
        </w:rPr>
        <w:t>qu'</w:t>
      </w:r>
      <w:r w:rsidRPr="2A76F1A5">
        <w:rPr>
          <w:b/>
          <w:bCs/>
          <w:sz w:val="22"/>
          <w:szCs w:val="22"/>
        </w:rPr>
        <w:t>à la pièce)</w:t>
      </w:r>
      <w:r w:rsidRPr="2A76F1A5">
        <w:rPr>
          <w:sz w:val="22"/>
          <w:szCs w:val="22"/>
        </w:rPr>
        <w:t xml:space="preserve">, qui aura lieu le </w:t>
      </w:r>
      <w:r w:rsidRPr="2A76F1A5">
        <w:rPr>
          <w:b/>
          <w:bCs/>
          <w:sz w:val="22"/>
          <w:szCs w:val="22"/>
        </w:rPr>
        <w:t>22 octobre 2025</w:t>
      </w:r>
      <w:r w:rsidRPr="2A76F1A5">
        <w:rPr>
          <w:sz w:val="22"/>
          <w:szCs w:val="22"/>
        </w:rPr>
        <w:t xml:space="preserve"> de</w:t>
      </w:r>
      <w:r w:rsidR="003D7E88" w:rsidRPr="2A76F1A5">
        <w:rPr>
          <w:sz w:val="22"/>
          <w:szCs w:val="22"/>
        </w:rPr>
        <w:t> </w:t>
      </w:r>
      <w:r w:rsidRPr="2A76F1A5">
        <w:rPr>
          <w:sz w:val="22"/>
          <w:szCs w:val="22"/>
        </w:rPr>
        <w:t>14</w:t>
      </w:r>
      <w:r w:rsidR="003D7E88" w:rsidRPr="2A76F1A5">
        <w:rPr>
          <w:sz w:val="22"/>
          <w:szCs w:val="22"/>
        </w:rPr>
        <w:t> </w:t>
      </w:r>
      <w:r w:rsidRPr="2A76F1A5">
        <w:rPr>
          <w:sz w:val="22"/>
          <w:szCs w:val="22"/>
        </w:rPr>
        <w:t>h</w:t>
      </w:r>
      <w:r w:rsidR="003D7E88" w:rsidRPr="2A76F1A5">
        <w:rPr>
          <w:sz w:val="22"/>
          <w:szCs w:val="22"/>
        </w:rPr>
        <w:t> 00 </w:t>
      </w:r>
      <w:r w:rsidRPr="2A76F1A5">
        <w:rPr>
          <w:sz w:val="22"/>
          <w:szCs w:val="22"/>
        </w:rPr>
        <w:t>à</w:t>
      </w:r>
      <w:r w:rsidR="003D7E88" w:rsidRPr="2A76F1A5">
        <w:rPr>
          <w:sz w:val="22"/>
          <w:szCs w:val="22"/>
        </w:rPr>
        <w:t> </w:t>
      </w:r>
      <w:r w:rsidRPr="2A76F1A5">
        <w:rPr>
          <w:sz w:val="22"/>
          <w:szCs w:val="22"/>
        </w:rPr>
        <w:t>18</w:t>
      </w:r>
      <w:r w:rsidR="003D7E88" w:rsidRPr="2A76F1A5">
        <w:rPr>
          <w:sz w:val="22"/>
          <w:szCs w:val="22"/>
        </w:rPr>
        <w:t> </w:t>
      </w:r>
      <w:r w:rsidRPr="2A76F1A5">
        <w:rPr>
          <w:sz w:val="22"/>
          <w:szCs w:val="22"/>
        </w:rPr>
        <w:t>h</w:t>
      </w:r>
      <w:r w:rsidR="003D7E88" w:rsidRPr="2A76F1A5">
        <w:rPr>
          <w:sz w:val="22"/>
          <w:szCs w:val="22"/>
        </w:rPr>
        <w:t> 00 </w:t>
      </w:r>
      <w:r w:rsidRPr="2A76F1A5">
        <w:rPr>
          <w:sz w:val="22"/>
          <w:szCs w:val="22"/>
        </w:rPr>
        <w:t>CEST. Il sera possible de participer à la manifestation à distance.</w:t>
      </w:r>
      <w:r w:rsidR="00D82ECD">
        <w:rPr>
          <w:sz w:val="22"/>
          <w:szCs w:val="22"/>
        </w:rPr>
        <w:t xml:space="preserve"> </w:t>
      </w:r>
    </w:p>
    <w:p w14:paraId="7D74D807" w14:textId="6EF498CD" w:rsidR="00886A92" w:rsidRPr="00010351" w:rsidRDefault="00886A92" w:rsidP="2A76F1A5">
      <w:pPr>
        <w:rPr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2A76F1A5">
        <w:rPr>
          <w:sz w:val="22"/>
          <w:szCs w:val="22"/>
        </w:rPr>
        <w:t>2</w:t>
      </w:r>
      <w:r>
        <w:tab/>
      </w:r>
      <w:r w:rsidRPr="2A76F1A5">
        <w:rPr>
          <w:sz w:val="22"/>
          <w:szCs w:val="22"/>
        </w:rPr>
        <w:t xml:space="preserve">Cet atelier sera axé sur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évolution des réseaux à fibres optiques dans les locaux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abonné en tant que catalyseur essentiel </w:t>
      </w:r>
      <w:r w:rsidR="001842AF" w:rsidRPr="2A76F1A5">
        <w:rPr>
          <w:sz w:val="22"/>
          <w:szCs w:val="22"/>
        </w:rPr>
        <w:t>d'</w:t>
      </w:r>
      <w:r w:rsidRPr="2A76F1A5">
        <w:rPr>
          <w:sz w:val="22"/>
          <w:szCs w:val="22"/>
        </w:rPr>
        <w:t xml:space="preserve">une qualité </w:t>
      </w:r>
      <w:r w:rsidR="001842AF" w:rsidRPr="2A76F1A5">
        <w:rPr>
          <w:sz w:val="22"/>
          <w:szCs w:val="22"/>
        </w:rPr>
        <w:t>d'</w:t>
      </w:r>
      <w:r w:rsidRPr="2A76F1A5">
        <w:rPr>
          <w:sz w:val="22"/>
          <w:szCs w:val="22"/>
        </w:rPr>
        <w:t>expérience élevée pour les services</w:t>
      </w:r>
      <w:r w:rsidR="003D7E88" w:rsidRPr="2A76F1A5">
        <w:rPr>
          <w:sz w:val="22"/>
          <w:szCs w:val="22"/>
        </w:rPr>
        <w:t> </w:t>
      </w:r>
      <w:r w:rsidRPr="2A76F1A5">
        <w:rPr>
          <w:sz w:val="22"/>
          <w:szCs w:val="22"/>
        </w:rPr>
        <w:t xml:space="preserve">numériques modernes tels que la visioconférence en temps réel,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informatique en nuage, la vidéo ultra-haute définition et les applications AR/VR immersives. Il portera sur le passage des anciens systèmes à fils de cuivre aux infrastructures à fibres optiques,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intégration de la fibre dans les technologies hertziennes évoluées et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application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intelligence artificielle dans la gestion des réseaux et la fourniture de services.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atelier portera également sur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examen des efforts de normalisation récents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UIT-T,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ETSI, de la CCSA et du BBF, soulignant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importance </w:t>
      </w:r>
      <w:r w:rsidR="001842AF" w:rsidRPr="2A76F1A5">
        <w:rPr>
          <w:sz w:val="22"/>
          <w:szCs w:val="22"/>
        </w:rPr>
        <w:t>d'</w:t>
      </w:r>
      <w:r w:rsidRPr="2A76F1A5">
        <w:rPr>
          <w:sz w:val="22"/>
          <w:szCs w:val="22"/>
        </w:rPr>
        <w:t>une coordination mondiale pour soutenir des déploiements interopérables à grande échelle.</w:t>
      </w:r>
    </w:p>
    <w:p w14:paraId="06907444" w14:textId="1297ABD8" w:rsidR="00886A92" w:rsidRPr="00010351" w:rsidRDefault="00886A92" w:rsidP="2A76F1A5">
      <w:pPr>
        <w:rPr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2A76F1A5">
        <w:rPr>
          <w:sz w:val="22"/>
          <w:szCs w:val="22"/>
        </w:rPr>
        <w:t>3</w:t>
      </w:r>
      <w:r>
        <w:tab/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objectif principal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atelier est </w:t>
      </w:r>
      <w:r w:rsidR="001842AF" w:rsidRPr="2A76F1A5">
        <w:rPr>
          <w:sz w:val="22"/>
          <w:szCs w:val="22"/>
        </w:rPr>
        <w:t>d'</w:t>
      </w:r>
      <w:r w:rsidRPr="2A76F1A5">
        <w:rPr>
          <w:sz w:val="22"/>
          <w:szCs w:val="22"/>
        </w:rPr>
        <w:t xml:space="preserve">encourager la collaboration et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innovation dans le développement et le déploiement de réseaux à fibres optiques dans les locaux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abonné. Il vise à étudier de nouvelles applications et exigences, à partager des pratiques de déploiement couronnées de succès et à examiner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intégration des technologies dans la domotique intelligente. Il vise également à promouvoir la convergence des systèmes à fibres optiques et des systèmes hertziens, y compris la coordination avec les technologies </w:t>
      </w:r>
      <w:proofErr w:type="spellStart"/>
      <w:r w:rsidRPr="2A76F1A5">
        <w:rPr>
          <w:sz w:val="22"/>
          <w:szCs w:val="22"/>
        </w:rPr>
        <w:t>WiFi</w:t>
      </w:r>
      <w:proofErr w:type="spellEnd"/>
      <w:r w:rsidRPr="2A76F1A5">
        <w:rPr>
          <w:sz w:val="22"/>
          <w:szCs w:val="22"/>
        </w:rPr>
        <w:t xml:space="preserve">, des ondes millimétriques et </w:t>
      </w:r>
      <w:proofErr w:type="spellStart"/>
      <w:r w:rsidRPr="2A76F1A5">
        <w:rPr>
          <w:sz w:val="22"/>
          <w:szCs w:val="22"/>
        </w:rPr>
        <w:t>LiFi</w:t>
      </w:r>
      <w:proofErr w:type="spellEnd"/>
      <w:r w:rsidRPr="2A76F1A5">
        <w:rPr>
          <w:sz w:val="22"/>
          <w:szCs w:val="22"/>
        </w:rPr>
        <w:t xml:space="preserve">. En outre, il abordera le rôle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intelligence artificielle dans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amélioration de la performance du réseau et la mise en place de nouveaux services, tout en encourageant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>alignement entre les organisations de normalisation mondiales afin de garantir une fonctionnalité des produits unifiée et des attentes en matière de performance.</w:t>
      </w:r>
    </w:p>
    <w:p w14:paraId="6EC90D1F" w14:textId="3656CB26" w:rsidR="00886A92" w:rsidRPr="00010351" w:rsidRDefault="00886A92" w:rsidP="00886A92">
      <w:pPr>
        <w:rPr>
          <w:rFonts w:ascii="Calibri" w:hAnsi="Calibri" w:cs="Arial"/>
          <w:sz w:val="22"/>
          <w:szCs w:val="22"/>
        </w:rPr>
      </w:pPr>
      <w:r w:rsidRPr="2A76F1A5">
        <w:rPr>
          <w:sz w:val="22"/>
          <w:szCs w:val="22"/>
        </w:rPr>
        <w:t>4</w:t>
      </w:r>
      <w:r>
        <w:tab/>
      </w:r>
      <w:r w:rsidRPr="2A76F1A5">
        <w:rPr>
          <w:sz w:val="22"/>
          <w:szCs w:val="22"/>
        </w:rPr>
        <w:t xml:space="preserve">La participation aux deux ateliers est ouverte aux États Membres, aux Membres de Secteur, aux Associés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UIT et aux établissements universitaires participant aux travaux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UIT, à tous les participants réguliers des réunions du Groupe ISG F5G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ETSI, du BBF, du Comité technique 6 de la CCSA et de la CE 15 </w:t>
      </w:r>
      <w:r w:rsidRPr="2A76F1A5">
        <w:rPr>
          <w:sz w:val="22"/>
          <w:szCs w:val="22"/>
        </w:rPr>
        <w:lastRenderedPageBreak/>
        <w:t xml:space="preserve">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UIT-T et à toute personne intéressée qui souhaite contribuer aux travaux. Il peut </w:t>
      </w:r>
      <w:r w:rsidR="001842AF" w:rsidRPr="2A76F1A5">
        <w:rPr>
          <w:sz w:val="22"/>
          <w:szCs w:val="22"/>
        </w:rPr>
        <w:t>s'</w:t>
      </w:r>
      <w:r w:rsidRPr="2A76F1A5">
        <w:rPr>
          <w:sz w:val="22"/>
          <w:szCs w:val="22"/>
        </w:rPr>
        <w:t xml:space="preserve">agir de personnes qui sont aussi membres </w:t>
      </w:r>
      <w:r w:rsidR="001842AF" w:rsidRPr="2A76F1A5">
        <w:rPr>
          <w:sz w:val="22"/>
          <w:szCs w:val="22"/>
        </w:rPr>
        <w:t>d'</w:t>
      </w:r>
      <w:r w:rsidRPr="2A76F1A5">
        <w:rPr>
          <w:sz w:val="22"/>
          <w:szCs w:val="22"/>
        </w:rPr>
        <w:t>organisations internationales, régionales ou nationales.</w:t>
      </w:r>
    </w:p>
    <w:p w14:paraId="320955D9" w14:textId="1A731DE9" w:rsidR="00886A92" w:rsidRPr="00010351" w:rsidRDefault="00886A92" w:rsidP="2A76F1A5">
      <w:pPr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  <w:r w:rsidRPr="2A76F1A5">
        <w:rPr>
          <w:sz w:val="22"/>
          <w:szCs w:val="22"/>
        </w:rPr>
        <w:t>5</w:t>
      </w:r>
      <w:r>
        <w:tab/>
      </w:r>
      <w:r w:rsidRPr="2A76F1A5">
        <w:rPr>
          <w:sz w:val="22"/>
          <w:szCs w:val="22"/>
        </w:rPr>
        <w:t xml:space="preserve">Toutes les informations utiles concernant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atelier (projet de programme, liste des intervenants, lien pour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inscription) seront publiées sur le site web de la manifestation à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adresse </w:t>
      </w:r>
      <w:hyperlink r:id="rId14" w:anchor="/fr">
        <w:r w:rsidRPr="2A76F1A5">
          <w:rPr>
            <w:rStyle w:val="Hyperlink"/>
            <w:sz w:val="22"/>
            <w:szCs w:val="22"/>
          </w:rPr>
          <w:t>https://www.itu.int/en/ITU-T/Workshops-and-Seminars/2025/1022/Pages/default.aspx</w:t>
        </w:r>
      </w:hyperlink>
      <w:r w:rsidRPr="2A76F1A5">
        <w:rPr>
          <w:sz w:val="22"/>
          <w:szCs w:val="22"/>
        </w:rPr>
        <w:t>. Ce</w:t>
      </w:r>
      <w:r w:rsidR="00010351" w:rsidRPr="2A76F1A5">
        <w:rPr>
          <w:sz w:val="22"/>
          <w:szCs w:val="22"/>
        </w:rPr>
        <w:t xml:space="preserve"> </w:t>
      </w:r>
      <w:r w:rsidRPr="2A76F1A5">
        <w:rPr>
          <w:sz w:val="22"/>
          <w:szCs w:val="22"/>
        </w:rPr>
        <w:t>site</w:t>
      </w:r>
      <w:r w:rsidR="00010351" w:rsidRPr="2A76F1A5">
        <w:rPr>
          <w:sz w:val="22"/>
          <w:szCs w:val="22"/>
        </w:rPr>
        <w:t xml:space="preserve"> </w:t>
      </w:r>
      <w:r w:rsidRPr="2A76F1A5">
        <w:rPr>
          <w:sz w:val="22"/>
          <w:szCs w:val="22"/>
        </w:rPr>
        <w:t>web sera actualisé régulièrement à mesure que parviendront des informations nouvelles ou modifiées, et les participants sont invités à le consulter régulièrement pour prendre connaissance des dernières mises à jour.</w:t>
      </w:r>
      <w:r w:rsidR="0087034A" w:rsidRPr="00010351"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2B2F3BC7" w14:textId="7F4BB769" w:rsidR="00886A92" w:rsidRPr="00010351" w:rsidRDefault="00886A92" w:rsidP="00886A92">
      <w:pPr>
        <w:rPr>
          <w:rFonts w:cs="Calibri"/>
          <w:sz w:val="22"/>
          <w:szCs w:val="22"/>
        </w:rPr>
      </w:pPr>
      <w:r w:rsidRPr="2A76F1A5">
        <w:rPr>
          <w:sz w:val="22"/>
          <w:szCs w:val="22"/>
        </w:rPr>
        <w:t>6</w:t>
      </w:r>
      <w:r>
        <w:tab/>
      </w:r>
      <w:r w:rsidRPr="2A76F1A5">
        <w:rPr>
          <w:sz w:val="22"/>
          <w:szCs w:val="22"/>
        </w:rPr>
        <w:t xml:space="preserve">Afin de permettre au TSB de prendre les dispositions nécessaires concernant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organisation de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atelier, je vous saurais gré de bien vouloir vous inscrire dès que possible à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adresse </w:t>
      </w:r>
      <w:proofErr w:type="gramStart"/>
      <w:r w:rsidRPr="2A76F1A5">
        <w:rPr>
          <w:sz w:val="22"/>
          <w:szCs w:val="22"/>
        </w:rPr>
        <w:t>suivante:</w:t>
      </w:r>
      <w:proofErr w:type="gramEnd"/>
      <w:r w:rsidRPr="2A76F1A5">
        <w:rPr>
          <w:sz w:val="22"/>
          <w:szCs w:val="22"/>
        </w:rPr>
        <w:t xml:space="preserve"> </w:t>
      </w:r>
      <w:hyperlink r:id="rId15">
        <w:r w:rsidRPr="2A76F1A5">
          <w:rPr>
            <w:rStyle w:val="Hyperlink"/>
            <w:sz w:val="22"/>
            <w:szCs w:val="22"/>
          </w:rPr>
          <w:t>https://www.itu.int/net4/CRM/xreg/web/Registration.aspx?Event=C-00015834</w:t>
        </w:r>
      </w:hyperlink>
      <w:r w:rsidRPr="2A76F1A5">
        <w:rPr>
          <w:sz w:val="22"/>
          <w:szCs w:val="22"/>
        </w:rPr>
        <w:t xml:space="preserve">. </w:t>
      </w:r>
      <w:r w:rsidRPr="2A76F1A5">
        <w:rPr>
          <w:b/>
          <w:bCs/>
          <w:sz w:val="22"/>
          <w:szCs w:val="22"/>
        </w:rPr>
        <w:t xml:space="preserve">Veuillez noter que </w:t>
      </w:r>
      <w:r w:rsidR="001842AF" w:rsidRPr="2A76F1A5">
        <w:rPr>
          <w:b/>
          <w:bCs/>
          <w:sz w:val="22"/>
          <w:szCs w:val="22"/>
        </w:rPr>
        <w:t>l'</w:t>
      </w:r>
      <w:r w:rsidRPr="2A76F1A5">
        <w:rPr>
          <w:b/>
          <w:bCs/>
          <w:sz w:val="22"/>
          <w:szCs w:val="22"/>
        </w:rPr>
        <w:t xml:space="preserve">inscription préalable des participants à </w:t>
      </w:r>
      <w:r w:rsidR="001842AF" w:rsidRPr="2A76F1A5">
        <w:rPr>
          <w:b/>
          <w:bCs/>
          <w:sz w:val="22"/>
          <w:szCs w:val="22"/>
        </w:rPr>
        <w:t>l'</w:t>
      </w:r>
      <w:r w:rsidRPr="2A76F1A5">
        <w:rPr>
          <w:b/>
          <w:bCs/>
          <w:sz w:val="22"/>
          <w:szCs w:val="22"/>
        </w:rPr>
        <w:t xml:space="preserve">atelier est obligatoire et </w:t>
      </w:r>
      <w:r w:rsidR="001842AF" w:rsidRPr="2A76F1A5">
        <w:rPr>
          <w:b/>
          <w:bCs/>
          <w:sz w:val="22"/>
          <w:szCs w:val="22"/>
        </w:rPr>
        <w:t>s'</w:t>
      </w:r>
      <w:r w:rsidRPr="2A76F1A5">
        <w:rPr>
          <w:b/>
          <w:bCs/>
          <w:sz w:val="22"/>
          <w:szCs w:val="22"/>
        </w:rPr>
        <w:t>effectue exclusivement en ligne.</w:t>
      </w:r>
    </w:p>
    <w:p w14:paraId="4E1501E1" w14:textId="03D61C09" w:rsidR="00886A92" w:rsidRPr="00010351" w:rsidRDefault="00886A92" w:rsidP="00886A92">
      <w:pPr>
        <w:rPr>
          <w:sz w:val="22"/>
          <w:szCs w:val="22"/>
        </w:rPr>
      </w:pPr>
      <w:r w:rsidRPr="2A76F1A5">
        <w:rPr>
          <w:sz w:val="22"/>
          <w:szCs w:val="22"/>
        </w:rPr>
        <w:t>7</w:t>
      </w:r>
      <w:r>
        <w:tab/>
      </w:r>
      <w:r w:rsidRPr="2A76F1A5">
        <w:rPr>
          <w:sz w:val="22"/>
          <w:szCs w:val="22"/>
        </w:rPr>
        <w:t xml:space="preserve">Nous vous rappelons que, pour les ressortissants de certains pays,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entrée et le séjour, quelle </w:t>
      </w:r>
      <w:r w:rsidR="001842AF" w:rsidRPr="2A76F1A5">
        <w:rPr>
          <w:sz w:val="22"/>
          <w:szCs w:val="22"/>
        </w:rPr>
        <w:t>qu'</w:t>
      </w:r>
      <w:r w:rsidRPr="2A76F1A5">
        <w:rPr>
          <w:sz w:val="22"/>
          <w:szCs w:val="22"/>
        </w:rPr>
        <w:t xml:space="preserve">en soit la durée, sur le territoire de la Suisse sont soumis à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 xml:space="preserve">obtention </w:t>
      </w:r>
      <w:r w:rsidR="001842AF" w:rsidRPr="2A76F1A5">
        <w:rPr>
          <w:sz w:val="22"/>
          <w:szCs w:val="22"/>
        </w:rPr>
        <w:t>d'</w:t>
      </w:r>
      <w:r w:rsidRPr="2A76F1A5">
        <w:rPr>
          <w:sz w:val="22"/>
          <w:szCs w:val="22"/>
        </w:rPr>
        <w:t>un visa. Ce visa doit être demandé et obtenu auprès de la représentation de la Suisse (ambassade ou consulat) dans votre pays ou, à défaut, dans le pays le plus proche de votre pays de départ.</w:t>
      </w:r>
    </w:p>
    <w:p w14:paraId="16F6049C" w14:textId="044D80AA" w:rsidR="00886A92" w:rsidRPr="00010351" w:rsidRDefault="00886A92" w:rsidP="00886A92">
      <w:pPr>
        <w:rPr>
          <w:sz w:val="22"/>
          <w:szCs w:val="22"/>
        </w:rPr>
      </w:pPr>
      <w:r w:rsidRPr="2A76F1A5">
        <w:rPr>
          <w:sz w:val="22"/>
          <w:szCs w:val="22"/>
        </w:rPr>
        <w:t xml:space="preserve">Veuillez agréer, Madame, Monsieur, </w:t>
      </w:r>
      <w:r w:rsidR="001842AF" w:rsidRPr="2A76F1A5">
        <w:rPr>
          <w:sz w:val="22"/>
          <w:szCs w:val="22"/>
        </w:rPr>
        <w:t>l'</w:t>
      </w:r>
      <w:r w:rsidRPr="2A76F1A5">
        <w:rPr>
          <w:sz w:val="22"/>
          <w:szCs w:val="22"/>
        </w:rPr>
        <w:t>assurance de ma considération distinguée.</w:t>
      </w:r>
    </w:p>
    <w:p w14:paraId="558FB742" w14:textId="730C29F9" w:rsidR="002937DB" w:rsidRPr="00010351" w:rsidRDefault="00F13FC9" w:rsidP="0087034A">
      <w:pPr>
        <w:spacing w:befor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3F99A38" wp14:editId="34B32567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692150" cy="330200"/>
            <wp:effectExtent l="0" t="0" r="0" b="0"/>
            <wp:wrapNone/>
            <wp:docPr id="242671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71905" name="Picture 24267190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FB4" w:rsidRPr="2A76F1A5">
        <w:rPr>
          <w:sz w:val="22"/>
          <w:szCs w:val="22"/>
        </w:rPr>
        <w:t>Seizo Onoe</w:t>
      </w:r>
      <w:r w:rsidR="00307FB4">
        <w:br/>
      </w:r>
      <w:r w:rsidR="00307FB4" w:rsidRPr="2A76F1A5">
        <w:rPr>
          <w:sz w:val="22"/>
          <w:szCs w:val="22"/>
        </w:rPr>
        <w:t>Directeur du Bureau de la normalisation</w:t>
      </w:r>
      <w:r w:rsidR="00307FB4">
        <w:br/>
      </w:r>
      <w:r w:rsidR="00307FB4" w:rsidRPr="2A76F1A5">
        <w:rPr>
          <w:sz w:val="22"/>
          <w:szCs w:val="22"/>
        </w:rPr>
        <w:t>des télécommunications</w:t>
      </w:r>
    </w:p>
    <w:sectPr w:rsidR="002937DB" w:rsidRPr="00010351" w:rsidSect="00A15179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2A76F1A5" w14:paraId="525ECB01" w14:textId="77777777" w:rsidTr="2A76F1A5">
      <w:trPr>
        <w:trHeight w:val="300"/>
      </w:trPr>
      <w:tc>
        <w:tcPr>
          <w:tcW w:w="3240" w:type="dxa"/>
        </w:tcPr>
        <w:p w14:paraId="6FFF0C1A" w14:textId="4DBEFDE0" w:rsidR="2A76F1A5" w:rsidRDefault="2A76F1A5" w:rsidP="2A76F1A5">
          <w:pPr>
            <w:pStyle w:val="Header"/>
            <w:ind w:left="-115"/>
            <w:jc w:val="left"/>
          </w:pPr>
        </w:p>
      </w:tc>
      <w:tc>
        <w:tcPr>
          <w:tcW w:w="3240" w:type="dxa"/>
        </w:tcPr>
        <w:p w14:paraId="17A77870" w14:textId="255A29BF" w:rsidR="2A76F1A5" w:rsidRDefault="2A76F1A5" w:rsidP="2A76F1A5">
          <w:pPr>
            <w:pStyle w:val="Header"/>
          </w:pPr>
        </w:p>
      </w:tc>
      <w:tc>
        <w:tcPr>
          <w:tcW w:w="3240" w:type="dxa"/>
        </w:tcPr>
        <w:p w14:paraId="38D0B30D" w14:textId="7CFBC8BE" w:rsidR="2A76F1A5" w:rsidRDefault="2A76F1A5" w:rsidP="2A76F1A5">
          <w:pPr>
            <w:pStyle w:val="Header"/>
            <w:ind w:right="-115"/>
            <w:jc w:val="right"/>
          </w:pPr>
        </w:p>
      </w:tc>
    </w:tr>
  </w:tbl>
  <w:p w14:paraId="632634A1" w14:textId="6C9E6080" w:rsidR="2A76F1A5" w:rsidRDefault="2A76F1A5" w:rsidP="2A76F1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782C" w14:textId="0B787694" w:rsidR="00697BC1" w:rsidRPr="0087034A" w:rsidRDefault="0087034A" w:rsidP="0087034A">
    <w:pPr>
      <w:pStyle w:val="Header"/>
      <w:spacing w:line="259" w:lineRule="auto"/>
      <w:rPr>
        <w:sz w:val="18"/>
        <w:szCs w:val="18"/>
      </w:rPr>
    </w:pPr>
    <w:r w:rsidRPr="0087034A">
      <w:rPr>
        <w:sz w:val="18"/>
        <w:szCs w:val="18"/>
      </w:rPr>
      <w:t>-</w:t>
    </w:r>
    <w:r>
      <w:rPr>
        <w:sz w:val="18"/>
        <w:szCs w:val="18"/>
      </w:rPr>
      <w:t xml:space="preserve"> </w:t>
    </w:r>
    <w:r w:rsidR="626A5B8B" w:rsidRPr="0087034A">
      <w:rPr>
        <w:sz w:val="18"/>
        <w:szCs w:val="18"/>
      </w:rPr>
      <w:t>2 -</w:t>
    </w:r>
  </w:p>
  <w:p w14:paraId="1F6D5492" w14:textId="31409DA6" w:rsidR="00697BC1" w:rsidRPr="0087034A" w:rsidRDefault="0087034A" w:rsidP="0087034A">
    <w:pPr>
      <w:pStyle w:val="Header"/>
      <w:spacing w:line="259" w:lineRule="auto"/>
      <w:rPr>
        <w:sz w:val="18"/>
        <w:szCs w:val="18"/>
      </w:rPr>
    </w:pPr>
    <w:r>
      <w:rPr>
        <w:noProof/>
        <w:sz w:val="18"/>
        <w:szCs w:val="18"/>
      </w:rPr>
      <w:t xml:space="preserve">Circulaire </w:t>
    </w:r>
    <w:r w:rsidR="626A5B8B" w:rsidRPr="0087034A">
      <w:rPr>
        <w:noProof/>
        <w:sz w:val="18"/>
        <w:szCs w:val="18"/>
      </w:rPr>
      <w:t>TSB 073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030C" w14:textId="068B9043" w:rsidR="2A76F1A5" w:rsidRPr="0087034A" w:rsidRDefault="2A76F1A5" w:rsidP="0087034A">
    <w:pPr>
      <w:pStyle w:val="Header"/>
      <w:jc w:val="lef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3BC7667"/>
    <w:multiLevelType w:val="hybridMultilevel"/>
    <w:tmpl w:val="402AD568"/>
    <w:lvl w:ilvl="0" w:tplc="E23E277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0D25E83"/>
    <w:multiLevelType w:val="hybridMultilevel"/>
    <w:tmpl w:val="194E21D0"/>
    <w:lvl w:ilvl="0" w:tplc="A68E3798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2E2460E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AAA687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342BC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DD206B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64604D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D0EA3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C4803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824D9F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6EF55A"/>
    <w:multiLevelType w:val="hybridMultilevel"/>
    <w:tmpl w:val="0EA298EC"/>
    <w:lvl w:ilvl="0" w:tplc="012A21B2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1" w:tplc="15C6C98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710EC7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88FD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0AA0CE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DE69F5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BAEA27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150BEC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B78A986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9E3B73"/>
    <w:multiLevelType w:val="hybridMultilevel"/>
    <w:tmpl w:val="06901670"/>
    <w:lvl w:ilvl="0" w:tplc="3DFC7A9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C563C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B24EA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4E0C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AEE4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196FF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1D89DA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7E64F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C7A2D9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A53E46A"/>
    <w:multiLevelType w:val="hybridMultilevel"/>
    <w:tmpl w:val="ED3A8460"/>
    <w:lvl w:ilvl="0" w:tplc="D6309C4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374E6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881A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80EF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7035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2C1A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528C3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5601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7AA3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618851"/>
    <w:multiLevelType w:val="hybridMultilevel"/>
    <w:tmpl w:val="6FB60526"/>
    <w:lvl w:ilvl="0" w:tplc="EC9495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64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61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9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6F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C6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CC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2D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E1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75117">
    <w:abstractNumId w:val="4"/>
  </w:num>
  <w:num w:numId="2" w16cid:durableId="1174490104">
    <w:abstractNumId w:val="3"/>
  </w:num>
  <w:num w:numId="3" w16cid:durableId="1696540864">
    <w:abstractNumId w:val="5"/>
  </w:num>
  <w:num w:numId="4" w16cid:durableId="125659521">
    <w:abstractNumId w:val="7"/>
  </w:num>
  <w:num w:numId="5" w16cid:durableId="1544363978">
    <w:abstractNumId w:val="9"/>
  </w:num>
  <w:num w:numId="6" w16cid:durableId="465120867">
    <w:abstractNumId w:val="2"/>
  </w:num>
  <w:num w:numId="7" w16cid:durableId="2119984868">
    <w:abstractNumId w:val="8"/>
  </w:num>
  <w:num w:numId="8" w16cid:durableId="2075545744">
    <w:abstractNumId w:val="6"/>
  </w:num>
  <w:num w:numId="9" w16cid:durableId="1871449755">
    <w:abstractNumId w:val="0"/>
  </w:num>
  <w:num w:numId="10" w16cid:durableId="209901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10351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842AF"/>
    <w:rsid w:val="001B79A3"/>
    <w:rsid w:val="002152A3"/>
    <w:rsid w:val="0021667F"/>
    <w:rsid w:val="0023667A"/>
    <w:rsid w:val="002937DB"/>
    <w:rsid w:val="002E395D"/>
    <w:rsid w:val="002F2F41"/>
    <w:rsid w:val="00307FB4"/>
    <w:rsid w:val="003131F0"/>
    <w:rsid w:val="00333A80"/>
    <w:rsid w:val="00341117"/>
    <w:rsid w:val="00364E95"/>
    <w:rsid w:val="00371671"/>
    <w:rsid w:val="00372875"/>
    <w:rsid w:val="003742F8"/>
    <w:rsid w:val="003B1E80"/>
    <w:rsid w:val="003B66E8"/>
    <w:rsid w:val="003D7E8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5070AE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7034A"/>
    <w:rsid w:val="00886A92"/>
    <w:rsid w:val="00887FA6"/>
    <w:rsid w:val="008C4397"/>
    <w:rsid w:val="008C465A"/>
    <w:rsid w:val="008F2C9B"/>
    <w:rsid w:val="00923CD6"/>
    <w:rsid w:val="00935AA8"/>
    <w:rsid w:val="00971C9A"/>
    <w:rsid w:val="009867BB"/>
    <w:rsid w:val="009D51FA"/>
    <w:rsid w:val="009F1E23"/>
    <w:rsid w:val="009F4FD7"/>
    <w:rsid w:val="00A01491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A7A46"/>
    <w:rsid w:val="00CB1125"/>
    <w:rsid w:val="00CB4E80"/>
    <w:rsid w:val="00CC0479"/>
    <w:rsid w:val="00CD042E"/>
    <w:rsid w:val="00CF2560"/>
    <w:rsid w:val="00CF5B46"/>
    <w:rsid w:val="00D46B68"/>
    <w:rsid w:val="00D542A5"/>
    <w:rsid w:val="00D82ECD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13FC9"/>
    <w:rsid w:val="00F346CE"/>
    <w:rsid w:val="00F34F98"/>
    <w:rsid w:val="00F40540"/>
    <w:rsid w:val="00F67402"/>
    <w:rsid w:val="00F766A2"/>
    <w:rsid w:val="00F9451D"/>
    <w:rsid w:val="00FA6A7A"/>
    <w:rsid w:val="00FF619E"/>
    <w:rsid w:val="00FF7FE0"/>
    <w:rsid w:val="0EE5FC7C"/>
    <w:rsid w:val="2A76F1A5"/>
    <w:rsid w:val="33BDA0FC"/>
    <w:rsid w:val="3D006373"/>
    <w:rsid w:val="4C1A4A0F"/>
    <w:rsid w:val="5BD81411"/>
    <w:rsid w:val="626A5B8B"/>
    <w:rsid w:val="66CD660B"/>
    <w:rsid w:val="687BF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86A92"/>
  </w:style>
  <w:style w:type="character" w:customStyle="1" w:styleId="eop">
    <w:name w:val="eop"/>
    <w:basedOn w:val="DefaultParagraphFont"/>
    <w:rsid w:val="00886A9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fr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net4/CRM/xreg/web/Login.aspx?src=Registration&amp;Event=C-00015834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1022/Pages/default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ECE09D1232E468002275F25FCAE42" ma:contentTypeVersion="19" ma:contentTypeDescription="Create a new document." ma:contentTypeScope="" ma:versionID="490083ee0a4aa7a202f21754923275be">
  <xsd:schema xmlns:xsd="http://www.w3.org/2001/XMLSchema" xmlns:xs="http://www.w3.org/2001/XMLSchema" xmlns:p="http://schemas.microsoft.com/office/2006/metadata/properties" xmlns:ns2="8c683b18-f2fb-4b6f-9052-787ae4e70144" xmlns:ns3="b4ecfbc6-16ba-4348-96d4-7b09f2f75cd9" targetNamespace="http://schemas.microsoft.com/office/2006/metadata/properties" ma:root="true" ma:fieldsID="e578b2dbc78226ccd8e0f09135a5155d" ns2:_="" ns3:_="">
    <xsd:import namespace="8c683b18-f2fb-4b6f-9052-787ae4e70144"/>
    <xsd:import namespace="b4ecfbc6-16ba-4348-96d4-7b09f2f75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83b18-f2fb-4b6f-9052-787ae4e7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fbc6-16ba-4348-96d4-7b09f2f75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7ca53-b332-4738-a34d-8ba8fed11394}" ma:internalName="TaxCatchAll" ma:showField="CatchAllData" ma:web="b4ecfbc6-16ba-4348-96d4-7b09f2f75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cfbc6-16ba-4348-96d4-7b09f2f75cd9" xsi:nil="true"/>
    <lcf76f155ced4ddcb4097134ff3c332f xmlns="8c683b18-f2fb-4b6f-9052-787ae4e701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9B50F-2AF2-45EA-80E6-45C6AAEAD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1F5A3-691D-4288-91C3-CEF6F137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83b18-f2fb-4b6f-9052-787ae4e70144"/>
    <ds:schemaRef ds:uri="b4ecfbc6-16ba-4348-96d4-7b09f2f75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8748F-79F9-4AEF-AF98-52DBB2BE36D2}">
  <ds:schemaRefs>
    <ds:schemaRef ds:uri="http://schemas.microsoft.com/office/2006/metadata/properties"/>
    <ds:schemaRef ds:uri="http://schemas.microsoft.com/office/infopath/2007/PartnerControls"/>
    <ds:schemaRef ds:uri="b4ecfbc6-16ba-4348-96d4-7b09f2f75cd9"/>
    <ds:schemaRef ds:uri="8c683b18-f2fb-4b6f-9052-787ae4e701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4</TotalTime>
  <Pages>2</Pages>
  <Words>787</Words>
  <Characters>4904</Characters>
  <Application>Microsoft Office Word</Application>
  <DocSecurity>0</DocSecurity>
  <Lines>40</Lines>
  <Paragraphs>11</Paragraphs>
  <ScaleCrop>false</ScaleCrop>
  <Company>ITU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16</cp:revision>
  <cp:lastPrinted>2025-12-16T14:22:00Z</cp:lastPrinted>
  <dcterms:created xsi:type="dcterms:W3CDTF">2025-09-29T10:52:00Z</dcterms:created>
  <dcterms:modified xsi:type="dcterms:W3CDTF">2025-12-16T14:23:00Z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0x01010016CECE09D1232E468002275F25FCAE42</vt:lpwstr>
  </property>
  <property fmtid="{D5CDD505-2E9C-101B-9397-08002B2CF9AE}" pid="3" name="MediaServiceImageTags">
    <vt:lpwstr/>
  </property>
</Properties>
</file>