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599"/>
        <w:gridCol w:w="3064"/>
        <w:gridCol w:w="1985"/>
      </w:tblGrid>
      <w:tr w:rsidR="00B301D4" w:rsidRPr="003D69B8" w14:paraId="0E8C71DF" w14:textId="77777777" w:rsidTr="00B301D4">
        <w:trPr>
          <w:cantSplit/>
          <w:trHeight w:val="15"/>
        </w:trPr>
        <w:tc>
          <w:tcPr>
            <w:tcW w:w="1275" w:type="dxa"/>
            <w:vAlign w:val="center"/>
          </w:tcPr>
          <w:p w14:paraId="3A5475AA" w14:textId="77777777" w:rsidR="00B301D4" w:rsidRPr="003D69B8" w:rsidRDefault="00B301D4" w:rsidP="00B301D4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3CF941BE" wp14:editId="35CFBCBE">
                  <wp:extent cx="833965" cy="842003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75" cy="85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vAlign w:val="center"/>
          </w:tcPr>
          <w:p w14:paraId="5532D160" w14:textId="77777777" w:rsidR="00B301D4" w:rsidRPr="003D69B8" w:rsidRDefault="00B301D4" w:rsidP="00B301D4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199728D1" w14:textId="77777777" w:rsidR="00B301D4" w:rsidRPr="003D69B8" w:rsidRDefault="00B301D4" w:rsidP="00B301D4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985" w:type="dxa"/>
            <w:vAlign w:val="center"/>
          </w:tcPr>
          <w:p w14:paraId="5705A4B4" w14:textId="77777777" w:rsidR="00B301D4" w:rsidRPr="003D69B8" w:rsidRDefault="00B301D4" w:rsidP="00B301D4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AC3F9D" w:rsidRPr="00813DA0" w14:paraId="13DA6A5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874" w:type="dxa"/>
            <w:gridSpan w:val="2"/>
            <w:vAlign w:val="center"/>
          </w:tcPr>
          <w:p w14:paraId="5CF1F0E2" w14:textId="77777777" w:rsidR="00AC3F9D" w:rsidRPr="00B301D4" w:rsidRDefault="00AC3F9D" w:rsidP="00D735DD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049" w:type="dxa"/>
            <w:gridSpan w:val="2"/>
            <w:vAlign w:val="center"/>
          </w:tcPr>
          <w:p w14:paraId="48B2F128" w14:textId="29D2B816" w:rsidR="00AC3F9D" w:rsidRPr="00813DA0" w:rsidRDefault="00B301D4" w:rsidP="00D735DD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sz w:val="22"/>
                <w:szCs w:val="22"/>
                <w:lang w:val="zh-CN"/>
              </w:rPr>
              <w:t>2025</w:t>
            </w:r>
            <w:r w:rsidRPr="00B6399C">
              <w:rPr>
                <w:sz w:val="22"/>
                <w:szCs w:val="22"/>
                <w:lang w:val="zh-CN"/>
              </w:rPr>
              <w:t>年</w:t>
            </w:r>
            <w:r w:rsidR="00DE6B93">
              <w:rPr>
                <w:sz w:val="22"/>
                <w:szCs w:val="22"/>
              </w:rPr>
              <w:t>9</w:t>
            </w:r>
            <w:r w:rsidRPr="00B6399C">
              <w:rPr>
                <w:sz w:val="22"/>
                <w:szCs w:val="22"/>
                <w:lang w:val="zh-CN"/>
              </w:rPr>
              <w:t>月</w:t>
            </w:r>
            <w:r w:rsidR="00DE6B93">
              <w:rPr>
                <w:sz w:val="22"/>
                <w:szCs w:val="22"/>
              </w:rPr>
              <w:t>16</w:t>
            </w:r>
            <w:r w:rsidRPr="00B6399C">
              <w:rPr>
                <w:sz w:val="22"/>
                <w:szCs w:val="22"/>
                <w:lang w:val="zh-CN"/>
              </w:rPr>
              <w:t>日</w:t>
            </w:r>
            <w:r w:rsidRPr="00B6399C">
              <w:rPr>
                <w:rFonts w:hint="eastAsia"/>
                <w:sz w:val="22"/>
                <w:szCs w:val="22"/>
              </w:rPr>
              <w:t>，日内瓦</w:t>
            </w:r>
          </w:p>
        </w:tc>
      </w:tr>
      <w:tr w:rsidR="00B301D4" w:rsidRPr="00813DA0" w14:paraId="212478C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746"/>
        </w:trPr>
        <w:tc>
          <w:tcPr>
            <w:tcW w:w="1275" w:type="dxa"/>
          </w:tcPr>
          <w:p w14:paraId="3D2D76A6" w14:textId="072DE409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文号：</w:t>
            </w:r>
          </w:p>
        </w:tc>
        <w:tc>
          <w:tcPr>
            <w:tcW w:w="3599" w:type="dxa"/>
          </w:tcPr>
          <w:p w14:paraId="142D9440" w14:textId="05B20F76" w:rsidR="00B301D4" w:rsidRPr="00813DA0" w:rsidRDefault="001F25CE" w:rsidP="00B301D4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zh-CN"/>
              </w:rPr>
              <w:t>电信标准化局第</w:t>
            </w:r>
            <w:r w:rsidR="00DE6B93">
              <w:rPr>
                <w:b/>
                <w:bCs/>
              </w:rPr>
              <w:t>71</w:t>
            </w:r>
            <w:r>
              <w:rPr>
                <w:b/>
                <w:bCs/>
                <w:lang w:val="zh-CN"/>
              </w:rPr>
              <w:t>号通函</w:t>
            </w:r>
          </w:p>
          <w:p w14:paraId="339D1BD7" w14:textId="57920EEA" w:rsidR="00B301D4" w:rsidRPr="00813DA0" w:rsidRDefault="001B514E" w:rsidP="00B301D4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SG2/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049" w:type="dxa"/>
            <w:gridSpan w:val="2"/>
            <w:vMerge w:val="restart"/>
          </w:tcPr>
          <w:p w14:paraId="7B07AD59" w14:textId="77777777" w:rsidR="00B301D4" w:rsidRPr="00B6399C" w:rsidRDefault="00B301D4" w:rsidP="00B301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1"/>
              <w:rPr>
                <w:rFonts w:cstheme="minorHAnsi"/>
                <w:sz w:val="22"/>
                <w:szCs w:val="22"/>
              </w:rPr>
            </w:pPr>
            <w:r w:rsidRPr="00B6399C">
              <w:rPr>
                <w:b/>
                <w:bCs/>
                <w:sz w:val="22"/>
                <w:szCs w:val="22"/>
                <w:lang w:val="zh-CN"/>
              </w:rPr>
              <w:t>致：</w:t>
            </w:r>
          </w:p>
          <w:p w14:paraId="7092202C" w14:textId="13ECFA3D" w:rsidR="00B301D4" w:rsidRPr="001B514E" w:rsidRDefault="00B301D4" w:rsidP="00B301D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ind w:left="445" w:hanging="3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hint="eastAsia"/>
                <w:sz w:val="22"/>
                <w:szCs w:val="22"/>
                <w:lang w:val="zh-CN"/>
              </w:rPr>
              <w:t>国际电联各成员国主管部门</w:t>
            </w:r>
          </w:p>
          <w:p w14:paraId="06590997" w14:textId="20D18780" w:rsidR="001B514E" w:rsidRPr="00B6399C" w:rsidRDefault="001B514E" w:rsidP="00B301D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ind w:left="445" w:hanging="3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44AEC">
              <w:rPr>
                <w:rFonts w:cstheme="minorHAnsi" w:hint="eastAsia"/>
                <w:sz w:val="22"/>
                <w:szCs w:val="22"/>
              </w:rPr>
              <w:t>巴勒斯坦</w:t>
            </w:r>
            <w:r>
              <w:rPr>
                <w:rFonts w:cstheme="minorHAnsi" w:hint="eastAsia"/>
                <w:sz w:val="22"/>
                <w:szCs w:val="22"/>
              </w:rPr>
              <w:t>国（</w:t>
            </w:r>
            <w:r w:rsidRPr="00C44AEC">
              <w:rPr>
                <w:rFonts w:cstheme="minorHAnsi" w:hint="eastAsia"/>
                <w:sz w:val="22"/>
                <w:szCs w:val="22"/>
              </w:rPr>
              <w:t>第</w:t>
            </w:r>
            <w:r w:rsidRPr="00C44AEC">
              <w:rPr>
                <w:rFonts w:cstheme="minorHAnsi" w:hint="eastAsia"/>
                <w:sz w:val="22"/>
                <w:szCs w:val="22"/>
              </w:rPr>
              <w:t>99</w:t>
            </w:r>
            <w:r w:rsidRPr="00C44AEC">
              <w:rPr>
                <w:rFonts w:cstheme="minorHAnsi" w:hint="eastAsia"/>
                <w:sz w:val="22"/>
                <w:szCs w:val="22"/>
              </w:rPr>
              <w:t>号决议（</w:t>
            </w:r>
            <w:r w:rsidRPr="00C44AEC">
              <w:rPr>
                <w:rFonts w:cstheme="minorHAnsi" w:hint="eastAsia"/>
                <w:sz w:val="22"/>
                <w:szCs w:val="22"/>
              </w:rPr>
              <w:t>2018</w:t>
            </w:r>
            <w:r w:rsidRPr="00C44AEC">
              <w:rPr>
                <w:rFonts w:cstheme="minorHAnsi" w:hint="eastAsia"/>
                <w:sz w:val="22"/>
                <w:szCs w:val="22"/>
              </w:rPr>
              <w:t>年，迪拜，修订版）</w:t>
            </w:r>
            <w:r>
              <w:rPr>
                <w:rFonts w:cstheme="minorHAnsi" w:hint="eastAsia"/>
                <w:sz w:val="22"/>
                <w:szCs w:val="22"/>
              </w:rPr>
              <w:t>）</w:t>
            </w:r>
          </w:p>
          <w:p w14:paraId="30E9271B" w14:textId="77777777" w:rsidR="00B301D4" w:rsidRPr="00B6399C" w:rsidRDefault="00B301D4" w:rsidP="00B301D4">
            <w:pPr>
              <w:pStyle w:val="Tabletext"/>
              <w:ind w:left="283" w:hanging="271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b/>
                <w:bCs/>
                <w:sz w:val="22"/>
                <w:szCs w:val="22"/>
                <w:lang w:val="zh-CN"/>
              </w:rPr>
              <w:t>抄送：</w:t>
            </w:r>
          </w:p>
          <w:p w14:paraId="7B8DF8AB" w14:textId="77777777" w:rsidR="00B301D4" w:rsidRPr="00B6399C" w:rsidRDefault="00B301D4" w:rsidP="00B301D4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sz w:val="22"/>
                <w:szCs w:val="22"/>
                <w:lang w:val="zh-CN"/>
              </w:rPr>
              <w:t>ITU-T</w:t>
            </w:r>
            <w:r w:rsidRPr="00B6399C">
              <w:rPr>
                <w:sz w:val="22"/>
                <w:szCs w:val="22"/>
                <w:lang w:val="zh-CN"/>
              </w:rPr>
              <w:t>部门成员</w:t>
            </w:r>
            <w:r>
              <w:rPr>
                <w:rFonts w:hint="eastAsia"/>
                <w:sz w:val="22"/>
                <w:szCs w:val="22"/>
                <w:lang w:val="zh-CN"/>
              </w:rPr>
              <w:t>；</w:t>
            </w:r>
          </w:p>
          <w:p w14:paraId="5FB88058" w14:textId="77777777" w:rsidR="001B514E" w:rsidRPr="00B60639" w:rsidRDefault="00B301D4" w:rsidP="001B514E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0" w:name="lt_pId030"/>
            <w:r w:rsidR="001B514E" w:rsidRPr="00B60639">
              <w:rPr>
                <w:rFonts w:cstheme="minorHAnsi"/>
                <w:sz w:val="22"/>
                <w:szCs w:val="22"/>
              </w:rPr>
              <w:t>第</w:t>
            </w:r>
            <w:r w:rsidR="001B514E" w:rsidRPr="00B60639">
              <w:rPr>
                <w:rFonts w:cstheme="minorHAnsi"/>
                <w:sz w:val="22"/>
                <w:szCs w:val="22"/>
              </w:rPr>
              <w:t>2</w:t>
            </w:r>
            <w:r w:rsidR="001B514E" w:rsidRPr="00B60639">
              <w:rPr>
                <w:rFonts w:cstheme="minorHAnsi"/>
                <w:sz w:val="22"/>
                <w:szCs w:val="22"/>
              </w:rPr>
              <w:t>研究组的</w:t>
            </w:r>
            <w:r w:rsidR="001B514E" w:rsidRPr="00B60639">
              <w:rPr>
                <w:rFonts w:cstheme="minorHAnsi"/>
                <w:sz w:val="22"/>
                <w:szCs w:val="22"/>
              </w:rPr>
              <w:t>ITU-T</w:t>
            </w:r>
            <w:r w:rsidR="001B514E" w:rsidRPr="00B60639">
              <w:rPr>
                <w:rFonts w:cstheme="minorHAnsi"/>
                <w:sz w:val="22"/>
                <w:szCs w:val="22"/>
              </w:rPr>
              <w:t>部门准成员</w:t>
            </w:r>
            <w:bookmarkEnd w:id="0"/>
            <w:r w:rsidR="001B514E" w:rsidRPr="00B60639">
              <w:rPr>
                <w:rFonts w:cstheme="minorHAnsi"/>
                <w:sz w:val="22"/>
                <w:szCs w:val="22"/>
              </w:rPr>
              <w:t>；</w:t>
            </w:r>
          </w:p>
          <w:p w14:paraId="44208876" w14:textId="003555D5" w:rsidR="001B514E" w:rsidRPr="00B60639" w:rsidRDefault="001B514E" w:rsidP="001B514E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cstheme="minorHAnsi"/>
                <w:b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0639">
              <w:rPr>
                <w:rFonts w:cstheme="minorHAnsi"/>
                <w:sz w:val="22"/>
                <w:szCs w:val="22"/>
              </w:rPr>
              <w:tab/>
            </w:r>
            <w:r w:rsidRPr="00B60639">
              <w:rPr>
                <w:rFonts w:cstheme="minorHAnsi"/>
                <w:sz w:val="22"/>
                <w:szCs w:val="22"/>
              </w:rPr>
              <w:t>国际电联学术</w:t>
            </w:r>
            <w:r w:rsidRPr="001B514E">
              <w:rPr>
                <w:sz w:val="22"/>
                <w:szCs w:val="22"/>
                <w:lang w:val="zh-CN"/>
              </w:rPr>
              <w:t>成员</w:t>
            </w:r>
            <w:r w:rsidRPr="00B60639">
              <w:rPr>
                <w:rFonts w:cstheme="minorHAnsi"/>
                <w:sz w:val="22"/>
                <w:szCs w:val="22"/>
              </w:rPr>
              <w:t>；</w:t>
            </w:r>
          </w:p>
          <w:p w14:paraId="2F1FDE33" w14:textId="10D92AD1" w:rsidR="001B514E" w:rsidRPr="00B60639" w:rsidRDefault="001B514E" w:rsidP="001B514E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0639">
              <w:rPr>
                <w:rFonts w:cstheme="minorHAnsi"/>
                <w:sz w:val="22"/>
                <w:szCs w:val="22"/>
              </w:rPr>
              <w:tab/>
              <w:t>ITU-T</w:t>
            </w:r>
            <w:r w:rsidRPr="00B60639">
              <w:rPr>
                <w:rFonts w:cstheme="minorHAnsi"/>
                <w:sz w:val="22"/>
                <w:szCs w:val="22"/>
              </w:rPr>
              <w:t>第</w:t>
            </w:r>
            <w:r w:rsidRPr="00B60639">
              <w:rPr>
                <w:rFonts w:cstheme="minorHAnsi"/>
                <w:sz w:val="22"/>
                <w:szCs w:val="22"/>
              </w:rPr>
              <w:t>2</w:t>
            </w:r>
            <w:r w:rsidRPr="00B60639">
              <w:rPr>
                <w:rFonts w:cstheme="minorHAnsi"/>
                <w:sz w:val="22"/>
                <w:szCs w:val="22"/>
              </w:rPr>
              <w:t>研究组正副主席；</w:t>
            </w:r>
          </w:p>
          <w:p w14:paraId="749C215E" w14:textId="6ABF6D10" w:rsidR="001B514E" w:rsidRPr="00B60639" w:rsidRDefault="001B514E" w:rsidP="001B514E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0639">
              <w:rPr>
                <w:rFonts w:cstheme="minorHAnsi"/>
                <w:sz w:val="22"/>
                <w:szCs w:val="22"/>
              </w:rPr>
              <w:tab/>
            </w:r>
            <w:r w:rsidRPr="00B60639">
              <w:rPr>
                <w:rFonts w:cstheme="minorHAnsi"/>
                <w:sz w:val="22"/>
                <w:szCs w:val="22"/>
              </w:rPr>
              <w:t>电信发展局主任；</w:t>
            </w:r>
          </w:p>
          <w:p w14:paraId="1D92BB34" w14:textId="4401144A" w:rsidR="00B301D4" w:rsidRPr="00813DA0" w:rsidRDefault="001B514E" w:rsidP="00DA17A0">
            <w:pPr>
              <w:pStyle w:val="Tabletext"/>
              <w:tabs>
                <w:tab w:val="clear" w:pos="284"/>
                <w:tab w:val="left" w:pos="501"/>
              </w:tabs>
              <w:spacing w:before="0" w:after="0"/>
              <w:ind w:left="473" w:hanging="419"/>
              <w:rPr>
                <w:rFonts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0639">
              <w:rPr>
                <w:rFonts w:cstheme="minorHAnsi"/>
                <w:sz w:val="22"/>
                <w:szCs w:val="22"/>
              </w:rPr>
              <w:tab/>
            </w:r>
            <w:r w:rsidRPr="00B60639">
              <w:rPr>
                <w:rFonts w:cstheme="minorHAnsi"/>
                <w:sz w:val="22"/>
                <w:szCs w:val="22"/>
              </w:rPr>
              <w:t>无线电通信局主任</w:t>
            </w:r>
          </w:p>
        </w:tc>
      </w:tr>
      <w:tr w:rsidR="00B301D4" w:rsidRPr="00813DA0" w14:paraId="71524A86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275" w:type="dxa"/>
          </w:tcPr>
          <w:p w14:paraId="0F396D2B" w14:textId="1D8FFA99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电话：</w:t>
            </w:r>
          </w:p>
        </w:tc>
        <w:tc>
          <w:tcPr>
            <w:tcW w:w="3599" w:type="dxa"/>
          </w:tcPr>
          <w:p w14:paraId="291DB110" w14:textId="26E5DCAF" w:rsidR="00B301D4" w:rsidRPr="00813DA0" w:rsidRDefault="00EA3889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5901</w:t>
            </w:r>
          </w:p>
        </w:tc>
        <w:tc>
          <w:tcPr>
            <w:tcW w:w="5049" w:type="dxa"/>
            <w:gridSpan w:val="2"/>
            <w:vMerge/>
          </w:tcPr>
          <w:p w14:paraId="731E6D41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4304A3CE" w14:textId="77777777" w:rsidTr="00DA17A0">
        <w:tblPrEx>
          <w:tblCellMar>
            <w:left w:w="108" w:type="dxa"/>
            <w:right w:w="108" w:type="dxa"/>
          </w:tblCellMar>
        </w:tblPrEx>
        <w:trPr>
          <w:cantSplit/>
          <w:trHeight w:val="2189"/>
        </w:trPr>
        <w:tc>
          <w:tcPr>
            <w:tcW w:w="1275" w:type="dxa"/>
          </w:tcPr>
          <w:p w14:paraId="7D01F6E1" w14:textId="0D2D0B35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传真：</w:t>
            </w:r>
          </w:p>
          <w:p w14:paraId="4F690DD9" w14:textId="03CDE6DB" w:rsidR="00B301D4" w:rsidRPr="00B301D4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pacing w:val="-16"/>
                <w:sz w:val="22"/>
                <w:szCs w:val="22"/>
              </w:rPr>
            </w:pPr>
            <w:r w:rsidRPr="00B301D4">
              <w:rPr>
                <w:rFonts w:asciiTheme="minorHAnsi" w:hAnsiTheme="minorHAnsi" w:cstheme="minorHAnsi" w:hint="eastAsia"/>
                <w:b/>
                <w:spacing w:val="-16"/>
                <w:sz w:val="22"/>
                <w:szCs w:val="22"/>
              </w:rPr>
              <w:t>电子邮件：</w:t>
            </w:r>
          </w:p>
        </w:tc>
        <w:tc>
          <w:tcPr>
            <w:tcW w:w="3599" w:type="dxa"/>
          </w:tcPr>
          <w:p w14:paraId="0C451E45" w14:textId="77777777" w:rsidR="00B301D4" w:rsidRPr="00813DA0" w:rsidRDefault="00B301D4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2A6E7C6" w14:textId="39660DC6" w:rsidR="00B301D4" w:rsidRPr="00813DA0" w:rsidRDefault="00EA3889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5049" w:type="dxa"/>
            <w:gridSpan w:val="2"/>
            <w:vMerge/>
          </w:tcPr>
          <w:p w14:paraId="6816854C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2D4C25A3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618"/>
        </w:trPr>
        <w:tc>
          <w:tcPr>
            <w:tcW w:w="1275" w:type="dxa"/>
          </w:tcPr>
          <w:p w14:paraId="240CDE98" w14:textId="788AD6A0" w:rsidR="00B301D4" w:rsidRPr="00813DA0" w:rsidRDefault="00B301D4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事由：</w:t>
            </w:r>
          </w:p>
        </w:tc>
        <w:tc>
          <w:tcPr>
            <w:tcW w:w="8648" w:type="dxa"/>
            <w:gridSpan w:val="3"/>
          </w:tcPr>
          <w:p w14:paraId="1CC42F02" w14:textId="5EC1153A" w:rsidR="00B301D4" w:rsidRPr="00813DA0" w:rsidRDefault="001B514E" w:rsidP="00DA17A0">
            <w:pPr>
              <w:pStyle w:val="Tabletext"/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已确定的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 xml:space="preserve">ITU-T </w:t>
            </w:r>
            <w:r w:rsidRPr="00B558D2">
              <w:rPr>
                <w:b/>
                <w:sz w:val="22"/>
                <w:szCs w:val="22"/>
              </w:rPr>
              <w:t>E.</w:t>
            </w:r>
            <w:r>
              <w:rPr>
                <w:b/>
                <w:sz w:val="22"/>
                <w:szCs w:val="22"/>
              </w:rPr>
              <w:t>1</w:t>
            </w:r>
            <w:r w:rsidR="00DE6B93">
              <w:rPr>
                <w:b/>
                <w:sz w:val="22"/>
                <w:szCs w:val="22"/>
              </w:rPr>
              <w:t>56</w:t>
            </w:r>
            <w:r w:rsidR="00DE6B93">
              <w:rPr>
                <w:rFonts w:hint="eastAsia"/>
                <w:b/>
                <w:sz w:val="22"/>
                <w:szCs w:val="22"/>
              </w:rPr>
              <w:t>、</w:t>
            </w:r>
            <w:r w:rsidR="00DE6B93">
              <w:rPr>
                <w:b/>
                <w:sz w:val="22"/>
                <w:szCs w:val="22"/>
              </w:rPr>
              <w:t>ITU-T E.164</w:t>
            </w:r>
            <w:r w:rsidRPr="00357A43">
              <w:rPr>
                <w:rFonts w:hint="eastAsia"/>
                <w:b/>
                <w:sz w:val="22"/>
                <w:szCs w:val="22"/>
              </w:rPr>
              <w:t>经修订建议书</w:t>
            </w:r>
            <w:r>
              <w:rPr>
                <w:rFonts w:hint="eastAsia"/>
                <w:b/>
                <w:sz w:val="22"/>
                <w:szCs w:val="22"/>
              </w:rPr>
              <w:t>和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 xml:space="preserve">ITU-T </w:t>
            </w:r>
            <w:r w:rsidRPr="00357A43">
              <w:rPr>
                <w:rFonts w:eastAsiaTheme="minorEastAsia" w:cstheme="minorHAnsi"/>
                <w:b/>
                <w:sz w:val="22"/>
                <w:szCs w:val="22"/>
              </w:rPr>
              <w:t>E.</w:t>
            </w:r>
            <w:r w:rsidR="00DE6B93">
              <w:rPr>
                <w:rFonts w:eastAsiaTheme="minorEastAsia" w:cstheme="minorHAnsi" w:hint="eastAsia"/>
                <w:b/>
                <w:sz w:val="22"/>
                <w:szCs w:val="22"/>
              </w:rPr>
              <w:t>371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（原</w:t>
            </w:r>
            <w:proofErr w:type="spellStart"/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E.</w:t>
            </w:r>
            <w:r w:rsidR="00DE6B93">
              <w:rPr>
                <w:rFonts w:eastAsiaTheme="minorEastAsia" w:cstheme="minorHAnsi" w:hint="eastAsia"/>
                <w:b/>
                <w:sz w:val="22"/>
                <w:szCs w:val="22"/>
              </w:rPr>
              <w:t>dit</w:t>
            </w:r>
            <w:proofErr w:type="spellEnd"/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）</w:t>
            </w:r>
            <w:r>
              <w:rPr>
                <w:rFonts w:eastAsiaTheme="minorEastAsia" w:cstheme="minorHAnsi" w:hint="eastAsia"/>
                <w:b/>
                <w:sz w:val="22"/>
                <w:szCs w:val="22"/>
              </w:rPr>
              <w:t>新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建议书</w:t>
            </w:r>
            <w:r w:rsidR="00DE6B93">
              <w:rPr>
                <w:rFonts w:eastAsiaTheme="minorEastAsia" w:cstheme="minorHAnsi" w:hint="eastAsia"/>
                <w:b/>
                <w:sz w:val="22"/>
                <w:szCs w:val="22"/>
              </w:rPr>
              <w:t>草案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在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ITU-T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第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2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研究组会议（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202</w:t>
            </w:r>
            <w:r>
              <w:rPr>
                <w:rFonts w:eastAsiaTheme="minorEastAsia" w:cstheme="minorHAnsi"/>
                <w:b/>
                <w:sz w:val="22"/>
                <w:szCs w:val="22"/>
              </w:rPr>
              <w:t>5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年</w:t>
            </w:r>
            <w:r w:rsidR="00DE6B93">
              <w:rPr>
                <w:rFonts w:eastAsiaTheme="minorEastAsia" w:cstheme="minorHAnsi" w:hint="eastAsia"/>
                <w:b/>
                <w:sz w:val="22"/>
                <w:szCs w:val="22"/>
              </w:rPr>
              <w:t>9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月</w:t>
            </w:r>
            <w:r>
              <w:rPr>
                <w:rFonts w:eastAsiaTheme="minorEastAsia" w:cstheme="minorHAnsi" w:hint="eastAsia"/>
                <w:b/>
                <w:sz w:val="22"/>
                <w:szCs w:val="22"/>
              </w:rPr>
              <w:t>5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日</w:t>
            </w:r>
            <w:r>
              <w:rPr>
                <w:rFonts w:eastAsiaTheme="minorEastAsia" w:cstheme="minorHAnsi" w:hint="eastAsia"/>
                <w:b/>
                <w:sz w:val="22"/>
                <w:szCs w:val="22"/>
              </w:rPr>
              <w:t>，日内瓦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）</w:t>
            </w:r>
            <w:r>
              <w:rPr>
                <w:rFonts w:eastAsiaTheme="minorEastAsia" w:cstheme="minorHAnsi" w:hint="eastAsia"/>
                <w:b/>
                <w:sz w:val="22"/>
                <w:szCs w:val="22"/>
              </w:rPr>
              <w:t>之</w:t>
            </w:r>
            <w:r w:rsidRPr="00B60639">
              <w:rPr>
                <w:rFonts w:eastAsiaTheme="minorEastAsia" w:cstheme="minorHAnsi"/>
                <w:b/>
                <w:sz w:val="22"/>
                <w:szCs w:val="22"/>
              </w:rPr>
              <w:t>后的地位</w:t>
            </w:r>
          </w:p>
        </w:tc>
      </w:tr>
    </w:tbl>
    <w:p w14:paraId="722A46AE" w14:textId="77777777" w:rsidR="001B514E" w:rsidRPr="00B60639" w:rsidRDefault="001B514E" w:rsidP="001B514E">
      <w:pPr>
        <w:spacing w:before="240" w:after="120"/>
        <w:rPr>
          <w:rFonts w:cstheme="minorHAnsi"/>
          <w:sz w:val="22"/>
          <w:szCs w:val="22"/>
          <w:lang w:eastAsia="zh-CN"/>
        </w:rPr>
      </w:pPr>
      <w:r w:rsidRPr="00B60639">
        <w:rPr>
          <w:rFonts w:cstheme="minorHAnsi"/>
          <w:sz w:val="22"/>
          <w:szCs w:val="22"/>
          <w:lang w:eastAsia="zh-CN"/>
        </w:rPr>
        <w:t>尊敬的先生</w:t>
      </w:r>
      <w:r w:rsidRPr="00B60639">
        <w:rPr>
          <w:rFonts w:cstheme="minorHAnsi"/>
          <w:sz w:val="22"/>
          <w:szCs w:val="22"/>
          <w:lang w:eastAsia="zh-CN"/>
        </w:rPr>
        <w:t>/</w:t>
      </w:r>
      <w:r w:rsidRPr="00B60639">
        <w:rPr>
          <w:rFonts w:cstheme="minorHAnsi"/>
          <w:sz w:val="22"/>
          <w:szCs w:val="22"/>
          <w:lang w:eastAsia="zh-CN"/>
        </w:rPr>
        <w:t>女士：</w:t>
      </w:r>
    </w:p>
    <w:p w14:paraId="5AE67E91" w14:textId="5DE972E9" w:rsidR="001B514E" w:rsidRPr="004D7A2F" w:rsidRDefault="001B514E" w:rsidP="001B514E">
      <w:pPr>
        <w:spacing w:before="0" w:after="120"/>
        <w:rPr>
          <w:spacing w:val="-2"/>
          <w:sz w:val="22"/>
          <w:szCs w:val="22"/>
          <w:lang w:val="en-US" w:eastAsia="zh-CN"/>
        </w:rPr>
      </w:pPr>
      <w:r w:rsidRPr="00B60639">
        <w:rPr>
          <w:rFonts w:cstheme="minorHAnsi"/>
          <w:bCs/>
          <w:sz w:val="22"/>
          <w:szCs w:val="22"/>
          <w:lang w:eastAsia="zh-CN"/>
        </w:rPr>
        <w:t>1</w:t>
      </w:r>
      <w:r w:rsidRPr="00B60639">
        <w:rPr>
          <w:rFonts w:cstheme="minorHAnsi"/>
          <w:sz w:val="22"/>
          <w:szCs w:val="22"/>
          <w:lang w:eastAsia="zh-CN"/>
        </w:rPr>
        <w:tab/>
      </w:r>
      <w:r w:rsidRPr="00B60639">
        <w:rPr>
          <w:rFonts w:hint="eastAsia"/>
          <w:spacing w:val="-2"/>
          <w:sz w:val="22"/>
          <w:szCs w:val="22"/>
          <w:lang w:eastAsia="zh-CN"/>
        </w:rPr>
        <w:t>继</w:t>
      </w:r>
      <w:r w:rsidRPr="00B60639">
        <w:rPr>
          <w:rFonts w:hint="eastAsia"/>
          <w:spacing w:val="-2"/>
          <w:sz w:val="22"/>
          <w:szCs w:val="22"/>
          <w:lang w:eastAsia="zh-CN"/>
        </w:rPr>
        <w:t>202</w:t>
      </w:r>
      <w:r w:rsidR="00DE6B93">
        <w:rPr>
          <w:rFonts w:hint="eastAsia"/>
          <w:spacing w:val="-2"/>
          <w:sz w:val="22"/>
          <w:szCs w:val="22"/>
          <w:lang w:eastAsia="zh-CN"/>
        </w:rPr>
        <w:t>5</w:t>
      </w:r>
      <w:r w:rsidRPr="00B60639">
        <w:rPr>
          <w:rFonts w:hint="eastAsia"/>
          <w:spacing w:val="-2"/>
          <w:sz w:val="22"/>
          <w:szCs w:val="22"/>
          <w:lang w:eastAsia="zh-CN"/>
        </w:rPr>
        <w:t>年</w:t>
      </w:r>
      <w:r w:rsidR="00DE6B93">
        <w:rPr>
          <w:rFonts w:hint="eastAsia"/>
          <w:spacing w:val="-2"/>
          <w:sz w:val="22"/>
          <w:szCs w:val="22"/>
          <w:lang w:eastAsia="zh-CN"/>
        </w:rPr>
        <w:t>2</w:t>
      </w:r>
      <w:r w:rsidRPr="00B60639">
        <w:rPr>
          <w:rFonts w:hint="eastAsia"/>
          <w:spacing w:val="-2"/>
          <w:sz w:val="22"/>
          <w:szCs w:val="22"/>
          <w:lang w:eastAsia="zh-CN"/>
        </w:rPr>
        <w:t>月</w:t>
      </w:r>
      <w:r w:rsidR="00DE6B93">
        <w:rPr>
          <w:rFonts w:hint="eastAsia"/>
          <w:spacing w:val="-2"/>
          <w:sz w:val="22"/>
          <w:szCs w:val="22"/>
          <w:lang w:eastAsia="zh-CN"/>
        </w:rPr>
        <w:t>24</w:t>
      </w:r>
      <w:r w:rsidRPr="00B60639">
        <w:rPr>
          <w:rFonts w:hint="eastAsia"/>
          <w:spacing w:val="-2"/>
          <w:sz w:val="22"/>
          <w:szCs w:val="22"/>
          <w:lang w:eastAsia="zh-CN"/>
        </w:rPr>
        <w:t>日</w:t>
      </w:r>
      <w:r>
        <w:fldChar w:fldCharType="begin"/>
      </w:r>
      <w:r w:rsidR="00DE6B93">
        <w:rPr>
          <w:lang w:eastAsia="zh-CN"/>
        </w:rPr>
        <w:instrText>HYPERLINK "https://www.itu.int/md/T25-TSB-CIR-0029/en"</w:instrText>
      </w:r>
      <w:r>
        <w:fldChar w:fldCharType="separate"/>
      </w:r>
      <w:r w:rsidR="00DE6B93">
        <w:rPr>
          <w:rStyle w:val="Hyperlink"/>
          <w:rFonts w:hint="eastAsia"/>
          <w:spacing w:val="-2"/>
          <w:sz w:val="22"/>
          <w:szCs w:val="22"/>
          <w:lang w:eastAsia="zh-CN"/>
        </w:rPr>
        <w:t>电信标准化局第</w:t>
      </w:r>
      <w:r w:rsidR="00DE6B93">
        <w:rPr>
          <w:rStyle w:val="Hyperlink"/>
          <w:rFonts w:hint="eastAsia"/>
          <w:spacing w:val="-2"/>
          <w:sz w:val="22"/>
          <w:szCs w:val="22"/>
          <w:lang w:eastAsia="zh-CN"/>
        </w:rPr>
        <w:t>29</w:t>
      </w:r>
      <w:r w:rsidR="00DE6B93">
        <w:rPr>
          <w:rStyle w:val="Hyperlink"/>
          <w:rFonts w:hint="eastAsia"/>
          <w:spacing w:val="-2"/>
          <w:sz w:val="22"/>
          <w:szCs w:val="22"/>
          <w:lang w:eastAsia="zh-CN"/>
        </w:rPr>
        <w:t>号通函</w:t>
      </w:r>
      <w:r>
        <w:fldChar w:fldCharType="end"/>
      </w:r>
      <w:r w:rsidRPr="00A154A6">
        <w:rPr>
          <w:lang w:eastAsia="zh-CN"/>
        </w:rPr>
        <w:t>之</w:t>
      </w:r>
      <w:r w:rsidRPr="00B60639">
        <w:rPr>
          <w:rFonts w:hint="eastAsia"/>
          <w:spacing w:val="-2"/>
          <w:sz w:val="22"/>
          <w:szCs w:val="22"/>
          <w:lang w:eastAsia="zh-CN"/>
        </w:rPr>
        <w:t>后，根据第</w:t>
      </w:r>
      <w:r w:rsidRPr="00B60639">
        <w:rPr>
          <w:rFonts w:hint="eastAsia"/>
          <w:spacing w:val="-2"/>
          <w:sz w:val="22"/>
          <w:szCs w:val="22"/>
          <w:lang w:eastAsia="zh-CN"/>
        </w:rPr>
        <w:t>1</w:t>
      </w:r>
      <w:r w:rsidRPr="00B60639">
        <w:rPr>
          <w:rFonts w:hint="eastAsia"/>
          <w:spacing w:val="-2"/>
          <w:sz w:val="22"/>
          <w:szCs w:val="22"/>
          <w:lang w:eastAsia="zh-CN"/>
        </w:rPr>
        <w:t>号决议（</w:t>
      </w:r>
      <w:r w:rsidRPr="00B60639">
        <w:rPr>
          <w:rFonts w:hint="eastAsia"/>
          <w:spacing w:val="-2"/>
          <w:sz w:val="22"/>
          <w:szCs w:val="22"/>
          <w:lang w:eastAsia="zh-CN"/>
        </w:rPr>
        <w:t>202</w:t>
      </w:r>
      <w:r>
        <w:rPr>
          <w:spacing w:val="-2"/>
          <w:sz w:val="22"/>
          <w:szCs w:val="22"/>
          <w:lang w:eastAsia="zh-CN"/>
        </w:rPr>
        <w:t>4</w:t>
      </w:r>
      <w:r w:rsidRPr="00B60639">
        <w:rPr>
          <w:rFonts w:hint="eastAsia"/>
          <w:spacing w:val="-2"/>
          <w:sz w:val="22"/>
          <w:szCs w:val="22"/>
          <w:lang w:eastAsia="zh-CN"/>
        </w:rPr>
        <w:t>年，</w:t>
      </w:r>
      <w:r>
        <w:rPr>
          <w:rFonts w:hint="eastAsia"/>
          <w:spacing w:val="-2"/>
          <w:sz w:val="22"/>
          <w:szCs w:val="22"/>
          <w:lang w:eastAsia="zh-CN"/>
        </w:rPr>
        <w:t>新德里</w:t>
      </w:r>
      <w:r w:rsidRPr="00B60639">
        <w:rPr>
          <w:rFonts w:hint="eastAsia"/>
          <w:spacing w:val="-2"/>
          <w:sz w:val="22"/>
          <w:szCs w:val="22"/>
          <w:lang w:eastAsia="zh-CN"/>
        </w:rPr>
        <w:t>，修订版）第</w:t>
      </w:r>
      <w:r w:rsidRPr="00B60639">
        <w:rPr>
          <w:rFonts w:hint="eastAsia"/>
          <w:spacing w:val="-2"/>
          <w:sz w:val="22"/>
          <w:szCs w:val="22"/>
          <w:lang w:eastAsia="zh-CN"/>
        </w:rPr>
        <w:t>9.5</w:t>
      </w:r>
      <w:r>
        <w:rPr>
          <w:rFonts w:hint="eastAsia"/>
          <w:spacing w:val="-2"/>
          <w:sz w:val="22"/>
          <w:szCs w:val="22"/>
          <w:lang w:eastAsia="zh-CN"/>
        </w:rPr>
        <w:t>节</w:t>
      </w:r>
      <w:r w:rsidRPr="00B60639">
        <w:rPr>
          <w:rFonts w:hint="eastAsia"/>
          <w:spacing w:val="-2"/>
          <w:sz w:val="22"/>
          <w:szCs w:val="22"/>
          <w:lang w:eastAsia="zh-CN"/>
        </w:rPr>
        <w:t>，</w:t>
      </w:r>
      <w:r w:rsidR="000D05D3">
        <w:rPr>
          <w:rFonts w:hint="eastAsia"/>
          <w:spacing w:val="-2"/>
          <w:sz w:val="22"/>
          <w:szCs w:val="22"/>
          <w:lang w:eastAsia="zh-CN"/>
        </w:rPr>
        <w:t>兹</w:t>
      </w:r>
      <w:r w:rsidRPr="00B60639">
        <w:rPr>
          <w:rFonts w:hint="eastAsia"/>
          <w:spacing w:val="-2"/>
          <w:sz w:val="22"/>
          <w:szCs w:val="22"/>
          <w:lang w:eastAsia="zh-CN"/>
        </w:rPr>
        <w:t>通知贵方，</w:t>
      </w:r>
      <w:r w:rsidRPr="00B60639">
        <w:rPr>
          <w:rFonts w:hint="eastAsia"/>
          <w:bCs/>
          <w:sz w:val="22"/>
          <w:szCs w:val="22"/>
          <w:lang w:eastAsia="zh-CN"/>
        </w:rPr>
        <w:t>ITU-T</w:t>
      </w:r>
      <w:r w:rsidRPr="00B60639">
        <w:rPr>
          <w:rFonts w:hint="eastAsia"/>
          <w:bCs/>
          <w:sz w:val="22"/>
          <w:szCs w:val="22"/>
          <w:lang w:eastAsia="zh-CN"/>
        </w:rPr>
        <w:t>第</w:t>
      </w:r>
      <w:r w:rsidRPr="00B60639">
        <w:rPr>
          <w:rFonts w:hint="eastAsia"/>
          <w:bCs/>
          <w:sz w:val="22"/>
          <w:szCs w:val="22"/>
          <w:lang w:eastAsia="zh-CN"/>
        </w:rPr>
        <w:t>2</w:t>
      </w:r>
      <w:r w:rsidRPr="00B60639">
        <w:rPr>
          <w:rFonts w:hint="eastAsia"/>
          <w:bCs/>
          <w:sz w:val="22"/>
          <w:szCs w:val="22"/>
          <w:lang w:eastAsia="zh-CN"/>
        </w:rPr>
        <w:t>研究组</w:t>
      </w:r>
      <w:r w:rsidRPr="00B60639">
        <w:rPr>
          <w:rFonts w:hint="eastAsia"/>
          <w:spacing w:val="-2"/>
          <w:sz w:val="22"/>
          <w:szCs w:val="22"/>
          <w:lang w:eastAsia="zh-CN"/>
        </w:rPr>
        <w:t>在</w:t>
      </w:r>
      <w:r w:rsidRPr="00B60639">
        <w:rPr>
          <w:rFonts w:hint="eastAsia"/>
          <w:spacing w:val="-2"/>
          <w:sz w:val="22"/>
          <w:szCs w:val="22"/>
          <w:lang w:eastAsia="zh-CN"/>
        </w:rPr>
        <w:t>202</w:t>
      </w:r>
      <w:r>
        <w:rPr>
          <w:spacing w:val="-2"/>
          <w:sz w:val="22"/>
          <w:szCs w:val="22"/>
          <w:lang w:eastAsia="zh-CN"/>
        </w:rPr>
        <w:t>5</w:t>
      </w:r>
      <w:r w:rsidRPr="00B60639">
        <w:rPr>
          <w:rFonts w:hint="eastAsia"/>
          <w:spacing w:val="-2"/>
          <w:sz w:val="22"/>
          <w:szCs w:val="22"/>
          <w:lang w:eastAsia="zh-CN"/>
        </w:rPr>
        <w:t>年</w:t>
      </w:r>
      <w:r w:rsidR="009A2BD3">
        <w:rPr>
          <w:rFonts w:hint="eastAsia"/>
          <w:spacing w:val="-2"/>
          <w:sz w:val="22"/>
          <w:szCs w:val="22"/>
          <w:lang w:eastAsia="zh-CN"/>
        </w:rPr>
        <w:t>9</w:t>
      </w:r>
      <w:r w:rsidRPr="00B60639">
        <w:rPr>
          <w:rFonts w:hint="eastAsia"/>
          <w:spacing w:val="-2"/>
          <w:sz w:val="22"/>
          <w:szCs w:val="22"/>
          <w:lang w:eastAsia="zh-CN"/>
        </w:rPr>
        <w:t>月</w:t>
      </w:r>
      <w:r w:rsidR="009A2BD3">
        <w:rPr>
          <w:rFonts w:hint="eastAsia"/>
          <w:spacing w:val="-2"/>
          <w:sz w:val="22"/>
          <w:szCs w:val="22"/>
          <w:lang w:eastAsia="zh-CN"/>
        </w:rPr>
        <w:t>9</w:t>
      </w:r>
      <w:r w:rsidRPr="00B60639">
        <w:rPr>
          <w:rFonts w:hint="eastAsia"/>
          <w:spacing w:val="-2"/>
          <w:sz w:val="22"/>
          <w:szCs w:val="22"/>
          <w:lang w:eastAsia="zh-CN"/>
        </w:rPr>
        <w:t>日举行的全体会议期间</w:t>
      </w:r>
      <w:r w:rsidR="009A2BD3">
        <w:rPr>
          <w:rFonts w:hint="eastAsia"/>
          <w:spacing w:val="-2"/>
          <w:sz w:val="22"/>
          <w:szCs w:val="22"/>
          <w:lang w:eastAsia="zh-CN"/>
        </w:rPr>
        <w:t>，就</w:t>
      </w:r>
      <w:r w:rsidR="009A2BD3" w:rsidRPr="00B60639">
        <w:rPr>
          <w:rFonts w:hint="eastAsia"/>
          <w:spacing w:val="-2"/>
          <w:sz w:val="22"/>
          <w:szCs w:val="22"/>
          <w:lang w:eastAsia="zh-CN"/>
        </w:rPr>
        <w:t>以下</w:t>
      </w:r>
      <w:r w:rsidR="009A2BD3" w:rsidRPr="00B60639">
        <w:rPr>
          <w:rFonts w:hint="eastAsia"/>
          <w:spacing w:val="-2"/>
          <w:sz w:val="22"/>
          <w:szCs w:val="22"/>
          <w:lang w:eastAsia="zh-CN"/>
        </w:rPr>
        <w:t>ITU-T</w:t>
      </w:r>
      <w:r w:rsidR="009A2BD3" w:rsidRPr="00B60639">
        <w:rPr>
          <w:rFonts w:hint="eastAsia"/>
          <w:spacing w:val="-2"/>
          <w:sz w:val="22"/>
          <w:szCs w:val="22"/>
          <w:lang w:eastAsia="zh-CN"/>
        </w:rPr>
        <w:t>案文草案</w:t>
      </w:r>
      <w:r w:rsidR="009A2BD3">
        <w:rPr>
          <w:rFonts w:hint="eastAsia"/>
          <w:spacing w:val="-2"/>
          <w:sz w:val="22"/>
          <w:szCs w:val="22"/>
          <w:lang w:eastAsia="zh-CN"/>
        </w:rPr>
        <w:t>达成</w:t>
      </w:r>
      <w:r w:rsidRPr="00B60639">
        <w:rPr>
          <w:rFonts w:hint="eastAsia"/>
          <w:spacing w:val="-2"/>
          <w:sz w:val="22"/>
          <w:szCs w:val="22"/>
          <w:lang w:eastAsia="zh-CN"/>
        </w:rPr>
        <w:t>以下决定：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4188"/>
        <w:gridCol w:w="4044"/>
      </w:tblGrid>
      <w:tr w:rsidR="001B514E" w:rsidRPr="00B60639" w14:paraId="6E41F46A" w14:textId="77777777" w:rsidTr="003E6F5C">
        <w:trPr>
          <w:cantSplit/>
          <w:tblHeader/>
          <w:jc w:val="center"/>
        </w:trPr>
        <w:tc>
          <w:tcPr>
            <w:tcW w:w="1544" w:type="dxa"/>
            <w:vAlign w:val="center"/>
          </w:tcPr>
          <w:p w14:paraId="5792562B" w14:textId="77777777" w:rsidR="001B514E" w:rsidRPr="00B60639" w:rsidRDefault="001B514E" w:rsidP="003E6F5C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0639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编号</w:t>
            </w:r>
          </w:p>
        </w:tc>
        <w:tc>
          <w:tcPr>
            <w:tcW w:w="4188" w:type="dxa"/>
            <w:vAlign w:val="center"/>
          </w:tcPr>
          <w:p w14:paraId="24009321" w14:textId="77777777" w:rsidR="001B514E" w:rsidRPr="00B60639" w:rsidRDefault="001B514E" w:rsidP="003E6F5C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0639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标题</w:t>
            </w:r>
          </w:p>
        </w:tc>
        <w:tc>
          <w:tcPr>
            <w:tcW w:w="4044" w:type="dxa"/>
            <w:vAlign w:val="center"/>
          </w:tcPr>
          <w:p w14:paraId="451914DB" w14:textId="77777777" w:rsidR="001B514E" w:rsidRPr="00B60639" w:rsidRDefault="001B514E" w:rsidP="003E6F5C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0639">
              <w:rPr>
                <w:rFonts w:asciiTheme="minorHAnsi" w:hAnsiTheme="minorHAnsi" w:cstheme="minorHAnsi" w:hint="eastAsia"/>
                <w:sz w:val="22"/>
                <w:szCs w:val="22"/>
                <w:lang w:eastAsia="zh-CN"/>
              </w:rPr>
              <w:t>决定</w:t>
            </w:r>
          </w:p>
        </w:tc>
      </w:tr>
      <w:tr w:rsidR="001B514E" w:rsidRPr="00B46315" w14:paraId="059C7276" w14:textId="77777777" w:rsidTr="003E6F5C">
        <w:trPr>
          <w:cantSplit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50F" w14:textId="470498B9" w:rsidR="001B514E" w:rsidRPr="00B60639" w:rsidRDefault="001B514E" w:rsidP="003E6F5C">
            <w:pPr>
              <w:pStyle w:val="Tabletext"/>
              <w:spacing w:before="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CH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ITU-T 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A2BD3">
              <w:rPr>
                <w:rFonts w:asciiTheme="minorHAnsi" w:hAnsiTheme="minorHAnsi" w:cstheme="minorHAnsi" w:hint="eastAsia"/>
                <w:sz w:val="22"/>
                <w:szCs w:val="22"/>
              </w:rPr>
              <w:t>56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8B6" w14:textId="61C6FFA9" w:rsidR="001B514E" w:rsidRPr="00B46315" w:rsidRDefault="009A2BD3" w:rsidP="003E6F5C">
            <w:pPr>
              <w:spacing w:before="0" w:after="60"/>
              <w:rPr>
                <w:rFonts w:cstheme="minorHAnsi"/>
                <w:sz w:val="22"/>
                <w:szCs w:val="22"/>
                <w:highlight w:val="yellow"/>
                <w:lang w:val="fr-CH" w:eastAsia="zh-CN"/>
              </w:rPr>
            </w:pPr>
            <w:r w:rsidRPr="009A2BD3">
              <w:rPr>
                <w:rFonts w:cstheme="minorHAnsi" w:hint="eastAsia"/>
                <w:sz w:val="22"/>
                <w:szCs w:val="22"/>
                <w:lang w:val="fr-CH" w:eastAsia="zh-CN"/>
              </w:rPr>
              <w:t>ITU-T</w:t>
            </w:r>
            <w:r w:rsidRPr="009A2BD3">
              <w:rPr>
                <w:rFonts w:cstheme="minorHAnsi" w:hint="eastAsia"/>
                <w:sz w:val="22"/>
                <w:szCs w:val="22"/>
                <w:lang w:eastAsia="zh-CN"/>
              </w:rPr>
              <w:t>针对上报的</w:t>
            </w:r>
            <w:r w:rsidRPr="009A2BD3">
              <w:rPr>
                <w:rFonts w:cstheme="minorHAnsi" w:hint="eastAsia"/>
                <w:sz w:val="22"/>
                <w:szCs w:val="22"/>
                <w:lang w:val="fr-CH" w:eastAsia="zh-CN"/>
              </w:rPr>
              <w:t>ITU-T E.164</w:t>
            </w:r>
            <w:r w:rsidRPr="009A2BD3">
              <w:rPr>
                <w:rFonts w:cstheme="minorHAnsi" w:hint="eastAsia"/>
                <w:sz w:val="22"/>
                <w:szCs w:val="22"/>
                <w:lang w:eastAsia="zh-CN"/>
              </w:rPr>
              <w:t>码号资源滥用采取行动的导则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61F" w14:textId="5CF7D4B6" w:rsidR="001B514E" w:rsidRPr="00B46315" w:rsidRDefault="001B514E" w:rsidP="003E6F5C">
            <w:pPr>
              <w:pStyle w:val="Tabletext"/>
              <w:spacing w:before="0" w:after="6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F91A65">
              <w:rPr>
                <w:rFonts w:hint="eastAsia"/>
                <w:sz w:val="22"/>
                <w:szCs w:val="22"/>
              </w:rPr>
              <w:t>获得批准</w:t>
            </w:r>
            <w:r w:rsidRPr="00B46315">
              <w:rPr>
                <w:rFonts w:hint="eastAsia"/>
                <w:sz w:val="22"/>
                <w:szCs w:val="22"/>
                <w:lang w:val="fr-CH"/>
              </w:rPr>
              <w:t>，</w:t>
            </w:r>
            <w:r w:rsidRPr="00F91A65">
              <w:rPr>
                <w:rFonts w:hint="eastAsia"/>
                <w:sz w:val="22"/>
                <w:szCs w:val="22"/>
              </w:rPr>
              <w:t>案文见</w:t>
            </w:r>
            <w:hyperlink r:id="rId12" w:history="1">
              <w:r w:rsidR="009A2BD3" w:rsidRPr="002E700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SG2-TD279R3/PLEN</w:t>
              </w:r>
            </w:hyperlink>
            <w:r w:rsidRPr="00F91A65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9A2BD3" w:rsidRPr="00B46315" w14:paraId="7190292E" w14:textId="77777777" w:rsidTr="003E6F5C">
        <w:trPr>
          <w:cantSplit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804" w14:textId="42889771" w:rsidR="009A2BD3" w:rsidRPr="00B004A5" w:rsidRDefault="009A2BD3" w:rsidP="009A2BD3">
            <w:pPr>
              <w:pStyle w:val="Tabletext"/>
              <w:spacing w:before="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ITU-T 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A52" w14:textId="3F11A375" w:rsidR="009A2BD3" w:rsidRPr="009A2BD3" w:rsidRDefault="009A2BD3" w:rsidP="009A2BD3">
            <w:pPr>
              <w:spacing w:before="0" w:after="60"/>
              <w:rPr>
                <w:rFonts w:cstheme="minorHAnsi"/>
                <w:sz w:val="22"/>
                <w:szCs w:val="22"/>
                <w:lang w:eastAsia="zh-CN"/>
              </w:rPr>
            </w:pPr>
            <w:r w:rsidRPr="009A2BD3">
              <w:rPr>
                <w:rFonts w:hint="eastAsia"/>
                <w:bCs/>
                <w:sz w:val="22"/>
                <w:szCs w:val="22"/>
                <w:lang w:eastAsia="zh-CN"/>
              </w:rPr>
              <w:t>国际公众电信编号方案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6F9A" w14:textId="4043441A" w:rsidR="009A2BD3" w:rsidRPr="00F91A65" w:rsidRDefault="009A2BD3" w:rsidP="009A2BD3">
            <w:pPr>
              <w:pStyle w:val="Tabletext"/>
              <w:spacing w:before="0" w:after="60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未获批准。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该建议书经重新确定，将由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ITU-T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第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2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研究组下次会议审议批准。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见</w:t>
            </w:r>
            <w:hyperlink r:id="rId13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电信标准化局第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72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号通函</w:t>
              </w:r>
            </w:hyperlink>
            <w:r>
              <w:rPr>
                <w:rFonts w:asciiTheme="minorHAnsi" w:hAnsiTheme="minorHAnsi" w:cstheme="minorHAnsi" w:hint="eastAsia"/>
                <w:sz w:val="22"/>
                <w:szCs w:val="22"/>
              </w:rPr>
              <w:t>。</w:t>
            </w:r>
          </w:p>
        </w:tc>
      </w:tr>
      <w:tr w:rsidR="009A2BD3" w:rsidRPr="009A2BD3" w14:paraId="1FC18B2A" w14:textId="77777777" w:rsidTr="003E6F5C">
        <w:trPr>
          <w:cantSplit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B42" w14:textId="2C3AF130" w:rsidR="009A2BD3" w:rsidRPr="00B60639" w:rsidRDefault="009A2BD3" w:rsidP="009A2BD3">
            <w:pPr>
              <w:pStyle w:val="Tabletext"/>
              <w:spacing w:before="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E.</w:t>
            </w:r>
            <w:r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37</w:t>
            </w:r>
            <w:r w:rsidRPr="00B004A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1</w:t>
            </w:r>
            <w:r w:rsidR="00DA17A0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br/>
            </w:r>
            <w:r w:rsidRPr="00932352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（原</w:t>
            </w:r>
            <w:proofErr w:type="spellStart"/>
            <w:r w:rsidRPr="00932352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E.</w:t>
            </w:r>
            <w:r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dit</w:t>
            </w:r>
            <w:proofErr w:type="spellEnd"/>
            <w:r w:rsidRPr="00932352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）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B20" w14:textId="3E9FC48D" w:rsidR="009A2BD3" w:rsidRPr="00B46315" w:rsidRDefault="009A2BD3" w:rsidP="009A2BD3">
            <w:pPr>
              <w:spacing w:before="0" w:after="60"/>
              <w:rPr>
                <w:rFonts w:cstheme="minorHAnsi"/>
                <w:sz w:val="22"/>
                <w:szCs w:val="22"/>
                <w:lang w:val="fr-CH"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违规流量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A6E6" w14:textId="4E482B36" w:rsidR="009A2BD3" w:rsidRPr="00B46315" w:rsidRDefault="009A2BD3" w:rsidP="009A2BD3">
            <w:pPr>
              <w:pStyle w:val="Tabletext"/>
              <w:spacing w:before="0" w:after="6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9A2BD3">
              <w:rPr>
                <w:rFonts w:asciiTheme="minorHAnsi" w:hAnsiTheme="minorHAnsi" w:cstheme="minorHAnsi" w:hint="eastAsia"/>
                <w:sz w:val="22"/>
                <w:szCs w:val="22"/>
              </w:rPr>
              <w:t>未获批准。该建议书经重新确定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，将由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ITU-T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第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2</w:t>
            </w:r>
            <w:r w:rsidRPr="009A2BD3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研究组下次会议审议批准。见</w:t>
            </w:r>
            <w:hyperlink r:id="rId14" w:history="1">
              <w:r w:rsidR="004217A5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电信标准化局第</w:t>
              </w:r>
              <w:r w:rsidR="004217A5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72</w:t>
              </w:r>
              <w:r w:rsidR="004217A5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/>
                </w:rPr>
                <w:t>号通函</w:t>
              </w:r>
            </w:hyperlink>
            <w:r w:rsidR="004217A5">
              <w:rPr>
                <w:rFonts w:asciiTheme="minorHAnsi" w:hAnsiTheme="minorHAnsi" w:cstheme="minorHAnsi" w:hint="eastAsia"/>
                <w:sz w:val="22"/>
                <w:szCs w:val="22"/>
                <w:lang w:val="fr-CH"/>
              </w:rPr>
              <w:t>。</w:t>
            </w:r>
          </w:p>
        </w:tc>
      </w:tr>
    </w:tbl>
    <w:p w14:paraId="5F049A48" w14:textId="77777777" w:rsidR="001B514E" w:rsidRPr="007C64ED" w:rsidRDefault="001B514E" w:rsidP="001B514E">
      <w:pPr>
        <w:spacing w:after="120"/>
        <w:rPr>
          <w:sz w:val="22"/>
          <w:szCs w:val="22"/>
          <w:lang w:val="fr-CH" w:eastAsia="zh-CN"/>
        </w:rPr>
      </w:pPr>
      <w:r w:rsidRPr="007C64ED">
        <w:rPr>
          <w:rFonts w:hint="eastAsia"/>
          <w:sz w:val="22"/>
          <w:szCs w:val="22"/>
          <w:lang w:val="fr-CH" w:eastAsia="zh-CN"/>
        </w:rPr>
        <w:t>2</w:t>
      </w:r>
      <w:r w:rsidRPr="007C64ED">
        <w:rPr>
          <w:sz w:val="22"/>
          <w:szCs w:val="22"/>
          <w:lang w:val="fr-CH" w:eastAsia="zh-CN"/>
        </w:rPr>
        <w:tab/>
      </w:r>
      <w:r w:rsidRPr="00B60639">
        <w:rPr>
          <w:rFonts w:hint="eastAsia"/>
          <w:sz w:val="22"/>
          <w:szCs w:val="22"/>
          <w:lang w:eastAsia="zh-CN"/>
        </w:rPr>
        <w:t>可通过</w:t>
      </w:r>
      <w:hyperlink r:id="rId15" w:history="1">
        <w:r w:rsidRPr="007C64ED">
          <w:rPr>
            <w:rStyle w:val="Hyperlink"/>
            <w:sz w:val="22"/>
            <w:szCs w:val="22"/>
            <w:lang w:val="fr-CH" w:eastAsia="zh-CN"/>
          </w:rPr>
          <w:t>ITU-T</w:t>
        </w:r>
        <w:r w:rsidRPr="00B60639">
          <w:rPr>
            <w:rStyle w:val="Hyperlink"/>
            <w:rFonts w:hint="eastAsia"/>
            <w:sz w:val="22"/>
            <w:szCs w:val="22"/>
            <w:lang w:eastAsia="zh-CN"/>
          </w:rPr>
          <w:t>网站</w:t>
        </w:r>
      </w:hyperlink>
      <w:r w:rsidRPr="00B60639">
        <w:rPr>
          <w:rFonts w:hint="eastAsia"/>
          <w:sz w:val="22"/>
          <w:szCs w:val="22"/>
          <w:lang w:eastAsia="zh-CN"/>
        </w:rPr>
        <w:t>在线获取可用的专利信息。</w:t>
      </w:r>
    </w:p>
    <w:p w14:paraId="4E9F95B2" w14:textId="53D0CFA5" w:rsidR="001B514E" w:rsidRPr="007C64ED" w:rsidRDefault="001B514E" w:rsidP="001B514E">
      <w:pPr>
        <w:spacing w:after="120"/>
        <w:rPr>
          <w:sz w:val="22"/>
          <w:szCs w:val="22"/>
          <w:lang w:val="fr-CH" w:eastAsia="zh-CN"/>
        </w:rPr>
      </w:pPr>
      <w:r w:rsidRPr="007C64ED">
        <w:rPr>
          <w:rFonts w:hint="eastAsia"/>
          <w:sz w:val="22"/>
          <w:szCs w:val="22"/>
          <w:lang w:val="fr-CH" w:eastAsia="zh-CN"/>
        </w:rPr>
        <w:t>3</w:t>
      </w:r>
      <w:r w:rsidRPr="007C64ED">
        <w:rPr>
          <w:sz w:val="22"/>
          <w:szCs w:val="22"/>
          <w:lang w:val="fr-CH" w:eastAsia="zh-CN"/>
        </w:rPr>
        <w:tab/>
      </w:r>
      <w:r w:rsidRPr="00B60639">
        <w:rPr>
          <w:rFonts w:hint="eastAsia"/>
          <w:sz w:val="22"/>
          <w:szCs w:val="22"/>
          <w:lang w:eastAsia="zh-CN"/>
        </w:rPr>
        <w:t>预先公布的建议书案文可</w:t>
      </w:r>
      <w:r w:rsidR="009A2BD3">
        <w:rPr>
          <w:rFonts w:hint="eastAsia"/>
          <w:sz w:val="22"/>
          <w:szCs w:val="22"/>
          <w:lang w:eastAsia="zh-CN"/>
        </w:rPr>
        <w:t>在</w:t>
      </w:r>
      <w:r w:rsidR="009A2BD3">
        <w:rPr>
          <w:rFonts w:hint="eastAsia"/>
          <w:sz w:val="22"/>
          <w:szCs w:val="22"/>
          <w:lang w:eastAsia="zh-CN"/>
        </w:rPr>
        <w:t>ITU-T</w:t>
      </w:r>
      <w:r w:rsidR="009A2BD3">
        <w:rPr>
          <w:rFonts w:hint="eastAsia"/>
          <w:sz w:val="22"/>
          <w:szCs w:val="22"/>
          <w:lang w:eastAsia="zh-CN"/>
        </w:rPr>
        <w:t>网站</w:t>
      </w:r>
      <w:r w:rsidRPr="00B60639">
        <w:rPr>
          <w:rFonts w:hint="eastAsia"/>
          <w:sz w:val="22"/>
          <w:szCs w:val="22"/>
          <w:lang w:eastAsia="zh-CN"/>
        </w:rPr>
        <w:t>通过</w:t>
      </w:r>
      <w:hyperlink r:id="rId16" w:history="1">
        <w:r w:rsidRPr="00932352">
          <w:rPr>
            <w:rStyle w:val="Hyperlink"/>
            <w:rFonts w:hint="eastAsia"/>
            <w:sz w:val="22"/>
            <w:szCs w:val="22"/>
            <w:lang w:eastAsia="zh-CN"/>
          </w:rPr>
          <w:t>本网页</w:t>
        </w:r>
      </w:hyperlink>
      <w:r w:rsidRPr="00B60639">
        <w:rPr>
          <w:rFonts w:hint="eastAsia"/>
          <w:sz w:val="22"/>
          <w:szCs w:val="22"/>
          <w:lang w:eastAsia="zh-CN"/>
        </w:rPr>
        <w:t>获取。</w:t>
      </w:r>
    </w:p>
    <w:p w14:paraId="5B3EA9D3" w14:textId="77777777" w:rsidR="001B514E" w:rsidRPr="00B46315" w:rsidRDefault="001B514E" w:rsidP="001B514E">
      <w:pPr>
        <w:spacing w:after="120"/>
        <w:rPr>
          <w:sz w:val="22"/>
          <w:szCs w:val="22"/>
          <w:lang w:val="fr-CH" w:eastAsia="zh-CN"/>
        </w:rPr>
      </w:pPr>
      <w:r w:rsidRPr="00B46315">
        <w:rPr>
          <w:rFonts w:hint="eastAsia"/>
          <w:sz w:val="22"/>
          <w:szCs w:val="22"/>
          <w:lang w:val="fr-CH" w:eastAsia="zh-CN"/>
        </w:rPr>
        <w:t>4</w:t>
      </w:r>
      <w:r w:rsidRPr="00B46315">
        <w:rPr>
          <w:sz w:val="22"/>
          <w:szCs w:val="22"/>
          <w:lang w:val="fr-CH" w:eastAsia="zh-CN"/>
        </w:rPr>
        <w:tab/>
      </w:r>
      <w:r w:rsidRPr="00B60639">
        <w:rPr>
          <w:rFonts w:hint="eastAsia"/>
          <w:sz w:val="22"/>
          <w:szCs w:val="22"/>
          <w:lang w:eastAsia="zh-CN"/>
        </w:rPr>
        <w:t>经批准的建议书案文将由国际电联尽快公布。</w:t>
      </w:r>
    </w:p>
    <w:p w14:paraId="0E05ED88" w14:textId="671C1722" w:rsidR="001B514E" w:rsidRPr="00B46315" w:rsidRDefault="001B514E" w:rsidP="001B514E">
      <w:pPr>
        <w:tabs>
          <w:tab w:val="left" w:pos="1418"/>
          <w:tab w:val="left" w:pos="1702"/>
          <w:tab w:val="left" w:pos="2160"/>
        </w:tabs>
        <w:spacing w:before="0" w:after="120"/>
        <w:rPr>
          <w:sz w:val="22"/>
          <w:szCs w:val="22"/>
          <w:lang w:val="fr-CH" w:eastAsia="zh-CN"/>
        </w:rPr>
      </w:pPr>
      <w:r w:rsidRPr="00B60639">
        <w:rPr>
          <w:rFonts w:hint="eastAsia"/>
          <w:sz w:val="22"/>
          <w:szCs w:val="22"/>
          <w:lang w:eastAsia="zh-CN"/>
        </w:rPr>
        <w:t>顺致敬意</w:t>
      </w:r>
      <w:r w:rsidRPr="00B46315">
        <w:rPr>
          <w:rFonts w:hint="eastAsia"/>
          <w:sz w:val="22"/>
          <w:szCs w:val="22"/>
          <w:lang w:val="fr-CH" w:eastAsia="zh-CN"/>
        </w:rPr>
        <w:t>！</w:t>
      </w:r>
    </w:p>
    <w:p w14:paraId="147620C6" w14:textId="11B91BBD" w:rsidR="001B514E" w:rsidRPr="00B46315" w:rsidRDefault="00B46315" w:rsidP="00DA17A0">
      <w:pPr>
        <w:tabs>
          <w:tab w:val="left" w:pos="1418"/>
          <w:tab w:val="left" w:pos="1702"/>
          <w:tab w:val="left" w:pos="2160"/>
        </w:tabs>
        <w:spacing w:before="1080"/>
        <w:rPr>
          <w:rFonts w:eastAsia="MS Mincho" w:cstheme="minorHAnsi"/>
          <w:sz w:val="22"/>
          <w:szCs w:val="22"/>
          <w:lang w:val="fr-CH" w:eastAsia="zh-CN"/>
        </w:rPr>
      </w:pPr>
      <w:r w:rsidRPr="00B60639">
        <w:rPr>
          <w:rFonts w:cstheme="minorHAnsi"/>
          <w:noProof/>
          <w:sz w:val="22"/>
          <w:szCs w:val="22"/>
          <w:lang w:val="zh-CN" w:eastAsia="zh-CN"/>
        </w:rPr>
        <w:drawing>
          <wp:anchor distT="0" distB="0" distL="114300" distR="114300" simplePos="0" relativeHeight="251659264" behindDoc="1" locked="0" layoutInCell="1" allowOverlap="1" wp14:anchorId="12D3FF69" wp14:editId="7F6654D9">
            <wp:simplePos x="0" y="0"/>
            <wp:positionH relativeFrom="margin">
              <wp:posOffset>-635</wp:posOffset>
            </wp:positionH>
            <wp:positionV relativeFrom="paragraph">
              <wp:posOffset>26670</wp:posOffset>
            </wp:positionV>
            <wp:extent cx="832485" cy="326390"/>
            <wp:effectExtent l="0" t="0" r="5715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14E" w:rsidRPr="00B60639">
        <w:rPr>
          <w:rFonts w:cstheme="minorHAnsi"/>
          <w:sz w:val="22"/>
          <w:szCs w:val="22"/>
          <w:lang w:eastAsia="zh-CN"/>
        </w:rPr>
        <w:t>电信标准化局主任</w:t>
      </w:r>
      <w:r w:rsidR="001B514E" w:rsidRPr="00B46315">
        <w:rPr>
          <w:rFonts w:cstheme="minorHAnsi"/>
          <w:sz w:val="22"/>
          <w:szCs w:val="22"/>
          <w:lang w:val="fr-CH" w:eastAsia="zh-CN"/>
        </w:rPr>
        <w:br/>
      </w:r>
      <w:r w:rsidR="001B514E" w:rsidRPr="00B60639">
        <w:rPr>
          <w:rFonts w:ascii="Calibri" w:hAnsi="Calibri" w:cs="Calibri" w:hint="eastAsia"/>
          <w:sz w:val="22"/>
          <w:szCs w:val="22"/>
          <w:lang w:eastAsia="zh-CN"/>
        </w:rPr>
        <w:t>尾上诚藏</w:t>
      </w:r>
    </w:p>
    <w:sectPr w:rsidR="001B514E" w:rsidRPr="00B46315" w:rsidSect="00B301D4">
      <w:headerReference w:type="default" r:id="rId18"/>
      <w:footerReference w:type="first" r:id="rId19"/>
      <w:pgSz w:w="11907" w:h="16840" w:code="9"/>
      <w:pgMar w:top="567" w:right="1089" w:bottom="567" w:left="1089" w:header="567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A57" w14:textId="77777777" w:rsidR="006318AF" w:rsidRDefault="006318AF">
      <w:r>
        <w:separator/>
      </w:r>
    </w:p>
  </w:endnote>
  <w:endnote w:type="continuationSeparator" w:id="0">
    <w:p w14:paraId="4CF71451" w14:textId="77777777" w:rsidR="006318AF" w:rsidRDefault="0063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B50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22 730 5111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Fax: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22 733 7256 • </w:t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E-mail: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3856" w14:textId="77777777" w:rsidR="006318AF" w:rsidRDefault="006318AF">
      <w:r>
        <w:separator/>
      </w:r>
    </w:p>
  </w:footnote>
  <w:footnote w:type="continuationSeparator" w:id="0">
    <w:p w14:paraId="74BC0E6A" w14:textId="77777777" w:rsidR="006318AF" w:rsidRDefault="0063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9135" w14:textId="46851C75" w:rsidR="00F85EC7" w:rsidRDefault="002D2024" w:rsidP="00590119">
    <w:pPr>
      <w:pStyle w:val="Header"/>
      <w:rPr>
        <w:noProof/>
        <w:sz w:val="18"/>
        <w:szCs w:val="16"/>
        <w:lang w:eastAsia="zh-CN"/>
      </w:rPr>
    </w:pPr>
    <w:r w:rsidRPr="002D2024">
      <w:rPr>
        <w:sz w:val="18"/>
        <w:szCs w:val="16"/>
        <w:lang w:eastAsia="zh-CN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  <w:lang w:eastAsia="zh-CN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  <w:lang w:eastAsia="zh-CN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  <w:lang w:eastAsia="zh-CN"/>
      </w:rPr>
      <w:t xml:space="preserve"> -</w:t>
    </w:r>
    <w:r w:rsidR="009723C1">
      <w:rPr>
        <w:sz w:val="18"/>
        <w:szCs w:val="16"/>
        <w:lang w:eastAsia="zh-CN"/>
      </w:rPr>
      <w:br/>
    </w:r>
    <w:r w:rsidR="001F25CE" w:rsidRPr="001F25CE">
      <w:rPr>
        <w:sz w:val="18"/>
        <w:szCs w:val="18"/>
        <w:lang w:val="zh-CN" w:eastAsia="zh-CN"/>
      </w:rPr>
      <w:t>电信标准化局第</w:t>
    </w:r>
    <w:r w:rsidR="001F25CE" w:rsidRPr="001F25CE">
      <w:rPr>
        <w:sz w:val="18"/>
        <w:szCs w:val="18"/>
        <w:lang w:val="zh-CN" w:eastAsia="zh-CN"/>
      </w:rPr>
      <w:t>15</w:t>
    </w:r>
    <w:r w:rsidR="001F25CE" w:rsidRPr="001F25CE">
      <w:rPr>
        <w:sz w:val="18"/>
        <w:szCs w:val="18"/>
        <w:lang w:val="zh-CN" w:eastAsia="zh-CN"/>
      </w:rPr>
      <w:t>号通函</w:t>
    </w:r>
  </w:p>
  <w:p w14:paraId="4AFA002E" w14:textId="77777777" w:rsidR="00B301D4" w:rsidRPr="00F85EC7" w:rsidRDefault="00B301D4" w:rsidP="00590119">
    <w:pPr>
      <w:pStyle w:val="Header"/>
      <w:rPr>
        <w:sz w:val="14"/>
        <w:szCs w:val="1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3272">
    <w:abstractNumId w:val="0"/>
    <w:lvlOverride w:ilvl="0">
      <w:lvl w:ilvl="0" w:tplc="8064F242">
        <w:start w:val="5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41"/>
    <w:rsid w:val="00027EE3"/>
    <w:rsid w:val="00081BA5"/>
    <w:rsid w:val="00090E72"/>
    <w:rsid w:val="00094C0B"/>
    <w:rsid w:val="000A2484"/>
    <w:rsid w:val="000A6A9D"/>
    <w:rsid w:val="000D05D3"/>
    <w:rsid w:val="00117471"/>
    <w:rsid w:val="00117A09"/>
    <w:rsid w:val="00124B7E"/>
    <w:rsid w:val="00160A43"/>
    <w:rsid w:val="00191798"/>
    <w:rsid w:val="001B2C8F"/>
    <w:rsid w:val="001B514E"/>
    <w:rsid w:val="001D6E70"/>
    <w:rsid w:val="001F25CE"/>
    <w:rsid w:val="00234A9B"/>
    <w:rsid w:val="00250A71"/>
    <w:rsid w:val="00282732"/>
    <w:rsid w:val="00284869"/>
    <w:rsid w:val="002C7AAC"/>
    <w:rsid w:val="002D2024"/>
    <w:rsid w:val="002D7A67"/>
    <w:rsid w:val="002E05E3"/>
    <w:rsid w:val="00300762"/>
    <w:rsid w:val="00303A2A"/>
    <w:rsid w:val="0030553E"/>
    <w:rsid w:val="003064AD"/>
    <w:rsid w:val="00314F07"/>
    <w:rsid w:val="00322BC4"/>
    <w:rsid w:val="00334386"/>
    <w:rsid w:val="00334A24"/>
    <w:rsid w:val="0035674D"/>
    <w:rsid w:val="0038630E"/>
    <w:rsid w:val="003B6D4B"/>
    <w:rsid w:val="003F1CCA"/>
    <w:rsid w:val="004217A5"/>
    <w:rsid w:val="00464015"/>
    <w:rsid w:val="00486359"/>
    <w:rsid w:val="004C241D"/>
    <w:rsid w:val="00512AB3"/>
    <w:rsid w:val="005562F0"/>
    <w:rsid w:val="00590119"/>
    <w:rsid w:val="005C26FD"/>
    <w:rsid w:val="00624E27"/>
    <w:rsid w:val="00627AE8"/>
    <w:rsid w:val="006318AF"/>
    <w:rsid w:val="0063445E"/>
    <w:rsid w:val="006B463C"/>
    <w:rsid w:val="006D22B1"/>
    <w:rsid w:val="006D42C6"/>
    <w:rsid w:val="006E14B5"/>
    <w:rsid w:val="00706295"/>
    <w:rsid w:val="00720F32"/>
    <w:rsid w:val="00745E21"/>
    <w:rsid w:val="007568DA"/>
    <w:rsid w:val="007B645F"/>
    <w:rsid w:val="007F17E4"/>
    <w:rsid w:val="007F4644"/>
    <w:rsid w:val="00841612"/>
    <w:rsid w:val="0084436D"/>
    <w:rsid w:val="008B2BDA"/>
    <w:rsid w:val="008E2D16"/>
    <w:rsid w:val="009128F1"/>
    <w:rsid w:val="009424FC"/>
    <w:rsid w:val="00956D38"/>
    <w:rsid w:val="009723C1"/>
    <w:rsid w:val="009727EA"/>
    <w:rsid w:val="00974486"/>
    <w:rsid w:val="009A2BD3"/>
    <w:rsid w:val="009C2FF6"/>
    <w:rsid w:val="009E31E9"/>
    <w:rsid w:val="00A1090D"/>
    <w:rsid w:val="00A16AB0"/>
    <w:rsid w:val="00A2678C"/>
    <w:rsid w:val="00A54AD2"/>
    <w:rsid w:val="00A55D76"/>
    <w:rsid w:val="00AA3151"/>
    <w:rsid w:val="00AC3F9D"/>
    <w:rsid w:val="00AE088E"/>
    <w:rsid w:val="00AF294E"/>
    <w:rsid w:val="00B01F79"/>
    <w:rsid w:val="00B301D4"/>
    <w:rsid w:val="00B36551"/>
    <w:rsid w:val="00B46315"/>
    <w:rsid w:val="00B53188"/>
    <w:rsid w:val="00B56B75"/>
    <w:rsid w:val="00B6399C"/>
    <w:rsid w:val="00BB5392"/>
    <w:rsid w:val="00BC7AEE"/>
    <w:rsid w:val="00BE339D"/>
    <w:rsid w:val="00C03E87"/>
    <w:rsid w:val="00C20FE6"/>
    <w:rsid w:val="00C6016A"/>
    <w:rsid w:val="00C7008A"/>
    <w:rsid w:val="00C916ED"/>
    <w:rsid w:val="00CC50C4"/>
    <w:rsid w:val="00D16F47"/>
    <w:rsid w:val="00D2501B"/>
    <w:rsid w:val="00D34F86"/>
    <w:rsid w:val="00D75EE4"/>
    <w:rsid w:val="00DA17A0"/>
    <w:rsid w:val="00DE6B93"/>
    <w:rsid w:val="00E35907"/>
    <w:rsid w:val="00E41E39"/>
    <w:rsid w:val="00E47AFF"/>
    <w:rsid w:val="00E5276C"/>
    <w:rsid w:val="00E93741"/>
    <w:rsid w:val="00EA3889"/>
    <w:rsid w:val="00ED58A3"/>
    <w:rsid w:val="00F07A3C"/>
    <w:rsid w:val="00F346AB"/>
    <w:rsid w:val="00F85EC7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70A21"/>
  <w15:docId w15:val="{EFB94130-FF8A-4C90-AFF6-1182759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8A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qFormat/>
    <w:rsid w:val="00F85EC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80" w:lineRule="exact"/>
      <w:jc w:val="both"/>
    </w:pPr>
    <w:rPr>
      <w:rFonts w:ascii="Calibri" w:hAnsi="Calibri"/>
      <w:sz w:val="21"/>
      <w:szCs w:val="10"/>
      <w:lang w:val="en-US" w:eastAsia="zh-CN"/>
    </w:rPr>
  </w:style>
  <w:style w:type="character" w:customStyle="1" w:styleId="TabletextChar">
    <w:name w:val="Table_text Char"/>
    <w:link w:val="Tabletext"/>
    <w:qFormat/>
    <w:locked/>
    <w:rsid w:val="00F85EC7"/>
    <w:rPr>
      <w:rFonts w:ascii="Calibri" w:hAnsi="Calibri"/>
      <w:sz w:val="21"/>
      <w:szCs w:val="10"/>
    </w:rPr>
  </w:style>
  <w:style w:type="paragraph" w:styleId="ListParagraph">
    <w:name w:val="List Paragraph"/>
    <w:basedOn w:val="Normal"/>
    <w:qFormat/>
    <w:rsid w:val="00F85EC7"/>
    <w:pPr>
      <w:spacing w:after="120" w:line="280" w:lineRule="exact"/>
      <w:ind w:left="720"/>
      <w:contextualSpacing/>
      <w:jc w:val="both"/>
    </w:pPr>
    <w:rPr>
      <w:rFonts w:ascii="Calibri" w:hAnsi="Calibri"/>
      <w:sz w:val="21"/>
      <w:szCs w:val="10"/>
      <w:lang w:val="en-US" w:eastAsia="zh-CN"/>
    </w:rPr>
  </w:style>
  <w:style w:type="paragraph" w:customStyle="1" w:styleId="enumlev1">
    <w:name w:val="enumlev1"/>
    <w:basedOn w:val="Normal"/>
    <w:rsid w:val="00ED58A3"/>
    <w:pPr>
      <w:tabs>
        <w:tab w:val="left" w:pos="2608"/>
        <w:tab w:val="left" w:pos="3345"/>
      </w:tabs>
      <w:spacing w:before="80"/>
      <w:ind w:left="794" w:hanging="794"/>
    </w:pPr>
    <w:rPr>
      <w:rFonts w:ascii="Calibri" w:hAnsi="Calibri"/>
    </w:rPr>
  </w:style>
  <w:style w:type="paragraph" w:customStyle="1" w:styleId="enumlev2">
    <w:name w:val="enumlev2"/>
    <w:basedOn w:val="enumlev1"/>
    <w:rsid w:val="00ED58A3"/>
    <w:pPr>
      <w:ind w:left="1191" w:hanging="397"/>
    </w:pPr>
  </w:style>
  <w:style w:type="paragraph" w:customStyle="1" w:styleId="enumlev3">
    <w:name w:val="enumlev3"/>
    <w:basedOn w:val="enumlev2"/>
    <w:rsid w:val="00ED58A3"/>
    <w:pPr>
      <w:ind w:left="1588"/>
    </w:pPr>
  </w:style>
  <w:style w:type="character" w:styleId="FootnoteReference">
    <w:name w:val="footnote reference"/>
    <w:rsid w:val="001B514E"/>
    <w:rPr>
      <w:rFonts w:ascii="Calibri" w:hAnsi="Calibri"/>
      <w:position w:val="6"/>
      <w:sz w:val="18"/>
    </w:rPr>
  </w:style>
  <w:style w:type="paragraph" w:customStyle="1" w:styleId="Tablehead">
    <w:name w:val="Table_head"/>
    <w:basedOn w:val="Tabletext"/>
    <w:next w:val="Tabletext"/>
    <w:rsid w:val="001B514E"/>
    <w:pPr>
      <w:keepNext/>
      <w:spacing w:before="80" w:after="80" w:line="240" w:lineRule="auto"/>
      <w:jc w:val="center"/>
    </w:pPr>
    <w:rPr>
      <w:b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2D7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TSB-CIR-007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SG02-250825-TD-PLEN-0279/en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recommend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net4/ipr/search.aspx?sector=ITU&amp;class=PS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TSB-CIR-007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ihan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03782-F000-4948-AF3C-4B8CBCE83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82AAB-56CC-414C-AD8A-2D4E79AECF5D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BFD28821-A8A0-407E-A991-10ABF6CE0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6</TotalTime>
  <Pages>1</Pages>
  <Words>547</Words>
  <Characters>681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1226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Ma, Yihan</dc:creator>
  <cp:lastModifiedBy>Li, Yong</cp:lastModifiedBy>
  <cp:revision>4</cp:revision>
  <cp:lastPrinted>2025-02-25T09:41:00Z</cp:lastPrinted>
  <dcterms:created xsi:type="dcterms:W3CDTF">2025-09-16T14:28:00Z</dcterms:created>
  <dcterms:modified xsi:type="dcterms:W3CDTF">2025-09-16T14:38:00Z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