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60"/>
        <w:tblW w:w="10206" w:type="dxa"/>
        <w:tblLayout w:type="fixed"/>
        <w:tblCellMar>
          <w:left w:w="0" w:type="dxa"/>
          <w:right w:w="0" w:type="dxa"/>
        </w:tblCellMar>
        <w:tblLook w:val="0000" w:firstRow="0" w:lastRow="0" w:firstColumn="0" w:lastColumn="0" w:noHBand="0" w:noVBand="0"/>
      </w:tblPr>
      <w:tblGrid>
        <w:gridCol w:w="993"/>
        <w:gridCol w:w="417"/>
        <w:gridCol w:w="3467"/>
        <w:gridCol w:w="5329"/>
      </w:tblGrid>
      <w:tr w:rsidR="007B6316" w14:paraId="708E9471" w14:textId="77777777" w:rsidTr="009E0374">
        <w:trPr>
          <w:cantSplit/>
          <w:trHeight w:val="340"/>
        </w:trPr>
        <w:tc>
          <w:tcPr>
            <w:tcW w:w="1410" w:type="dxa"/>
            <w:gridSpan w:val="2"/>
          </w:tcPr>
          <w:p w14:paraId="122FB8FD" w14:textId="77777777" w:rsidR="007B6316" w:rsidRDefault="007B6316" w:rsidP="009E0374">
            <w:pPr>
              <w:tabs>
                <w:tab w:val="left" w:pos="4111"/>
              </w:tabs>
              <w:spacing w:before="10"/>
              <w:ind w:left="57"/>
              <w:rPr>
                <w:sz w:val="22"/>
                <w:szCs w:val="22"/>
              </w:rPr>
            </w:pPr>
            <w:r>
              <w:rPr>
                <w:noProof/>
              </w:rPr>
              <w:drawing>
                <wp:inline distT="0" distB="0" distL="0" distR="0" wp14:anchorId="7F4D7996" wp14:editId="0668B46B">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4BD86EA4" w14:textId="77777777" w:rsidR="007B6316" w:rsidRPr="009E0374" w:rsidRDefault="007B6316" w:rsidP="009E0374">
            <w:pPr>
              <w:spacing w:before="0"/>
              <w:rPr>
                <w:rFonts w:cs="Times New Roman Bold"/>
                <w:b/>
                <w:bCs/>
                <w:smallCaps/>
                <w:sz w:val="36"/>
                <w:szCs w:val="30"/>
              </w:rPr>
            </w:pPr>
            <w:r w:rsidRPr="009E0374">
              <w:rPr>
                <w:rFonts w:cs="Times New Roman Bold"/>
                <w:b/>
                <w:bCs/>
                <w:smallCaps/>
                <w:sz w:val="36"/>
                <w:szCs w:val="30"/>
              </w:rPr>
              <w:t>Unión Internacional de Telecomunicaciones</w:t>
            </w:r>
          </w:p>
          <w:p w14:paraId="49197447" w14:textId="77777777" w:rsidR="007B6316" w:rsidRDefault="007B6316" w:rsidP="009E0374">
            <w:pPr>
              <w:spacing w:before="0"/>
              <w:rPr>
                <w:rFonts w:cs="Times New Roman Bold"/>
                <w:b/>
                <w:bCs/>
                <w:smallCaps/>
                <w:sz w:val="22"/>
                <w:szCs w:val="22"/>
              </w:rPr>
            </w:pPr>
            <w:r w:rsidRPr="009E0374">
              <w:rPr>
                <w:rFonts w:cs="Times New Roman Bold"/>
                <w:b/>
                <w:bCs/>
                <w:smallCaps/>
                <w:sz w:val="28"/>
                <w:szCs w:val="26"/>
              </w:rPr>
              <w:t>Oficina de Normalización de las Telecomunicaciones</w:t>
            </w:r>
          </w:p>
        </w:tc>
      </w:tr>
      <w:tr w:rsidR="007B6316" w14:paraId="6B0734F1" w14:textId="77777777" w:rsidTr="009E0374">
        <w:trPr>
          <w:cantSplit/>
          <w:trHeight w:val="340"/>
        </w:trPr>
        <w:tc>
          <w:tcPr>
            <w:tcW w:w="993" w:type="dxa"/>
          </w:tcPr>
          <w:p w14:paraId="28E1AC49" w14:textId="77777777" w:rsidR="007B6316" w:rsidRPr="007B6316" w:rsidRDefault="007B6316" w:rsidP="009E0374">
            <w:pPr>
              <w:tabs>
                <w:tab w:val="left" w:pos="4111"/>
              </w:tabs>
              <w:spacing w:before="10"/>
              <w:ind w:left="57"/>
              <w:rPr>
                <w:b/>
                <w:bCs/>
                <w:sz w:val="22"/>
                <w:szCs w:val="22"/>
              </w:rPr>
            </w:pPr>
          </w:p>
        </w:tc>
        <w:tc>
          <w:tcPr>
            <w:tcW w:w="3884" w:type="dxa"/>
            <w:gridSpan w:val="2"/>
          </w:tcPr>
          <w:p w14:paraId="749B4276" w14:textId="77777777" w:rsidR="007B6316" w:rsidRDefault="007B6316" w:rsidP="009E0374">
            <w:pPr>
              <w:tabs>
                <w:tab w:val="left" w:pos="4111"/>
              </w:tabs>
              <w:spacing w:before="0"/>
              <w:ind w:left="57"/>
              <w:rPr>
                <w:b/>
                <w:bCs/>
                <w:sz w:val="22"/>
                <w:szCs w:val="22"/>
              </w:rPr>
            </w:pPr>
          </w:p>
        </w:tc>
        <w:tc>
          <w:tcPr>
            <w:tcW w:w="5329" w:type="dxa"/>
          </w:tcPr>
          <w:p w14:paraId="03518FD3" w14:textId="680ED0E7" w:rsidR="007B6316" w:rsidRDefault="007B6316" w:rsidP="009E0374">
            <w:pPr>
              <w:tabs>
                <w:tab w:val="clear" w:pos="794"/>
                <w:tab w:val="clear" w:pos="1191"/>
                <w:tab w:val="clear" w:pos="1588"/>
                <w:tab w:val="clear" w:pos="1985"/>
                <w:tab w:val="left" w:pos="284"/>
              </w:tabs>
              <w:spacing w:after="120"/>
              <w:ind w:left="284" w:hanging="227"/>
              <w:rPr>
                <w:sz w:val="22"/>
                <w:szCs w:val="22"/>
              </w:rPr>
            </w:pPr>
            <w:r w:rsidRPr="74F6B64B">
              <w:rPr>
                <w:sz w:val="22"/>
                <w:szCs w:val="22"/>
              </w:rPr>
              <w:t>Ginebra,</w:t>
            </w:r>
            <w:r w:rsidR="00B834B0" w:rsidRPr="74F6B64B">
              <w:rPr>
                <w:sz w:val="22"/>
                <w:szCs w:val="22"/>
              </w:rPr>
              <w:t xml:space="preserve"> 10 de septiembre de 2025</w:t>
            </w:r>
          </w:p>
        </w:tc>
      </w:tr>
      <w:tr w:rsidR="001350B9" w14:paraId="5073DF1C" w14:textId="77777777" w:rsidTr="009E0374">
        <w:trPr>
          <w:cantSplit/>
          <w:trHeight w:val="340"/>
        </w:trPr>
        <w:tc>
          <w:tcPr>
            <w:tcW w:w="993" w:type="dxa"/>
          </w:tcPr>
          <w:p w14:paraId="0E86F09A" w14:textId="77777777" w:rsidR="001350B9" w:rsidRPr="001350B9" w:rsidRDefault="001350B9" w:rsidP="009E0374">
            <w:pPr>
              <w:tabs>
                <w:tab w:val="left" w:pos="4111"/>
              </w:tabs>
              <w:spacing w:before="10"/>
              <w:ind w:left="-15"/>
              <w:rPr>
                <w:sz w:val="22"/>
              </w:rPr>
            </w:pPr>
            <w:r w:rsidRPr="009E0374">
              <w:rPr>
                <w:b/>
                <w:bCs/>
                <w:sz w:val="22"/>
              </w:rPr>
              <w:t>Ref</w:t>
            </w:r>
            <w:r w:rsidRPr="001350B9">
              <w:rPr>
                <w:sz w:val="22"/>
              </w:rPr>
              <w:t>.:</w:t>
            </w:r>
          </w:p>
          <w:p w14:paraId="69C8EF7A" w14:textId="77777777" w:rsidR="001350B9" w:rsidRPr="001350B9" w:rsidRDefault="001350B9" w:rsidP="009E0374">
            <w:pPr>
              <w:tabs>
                <w:tab w:val="left" w:pos="4111"/>
              </w:tabs>
              <w:spacing w:before="10"/>
              <w:ind w:left="-15"/>
              <w:rPr>
                <w:sz w:val="22"/>
                <w:szCs w:val="22"/>
              </w:rPr>
            </w:pPr>
          </w:p>
        </w:tc>
        <w:tc>
          <w:tcPr>
            <w:tcW w:w="3884" w:type="dxa"/>
            <w:gridSpan w:val="2"/>
          </w:tcPr>
          <w:p w14:paraId="08D13B38" w14:textId="5194A39F" w:rsidR="001350B9" w:rsidRPr="00B834B0" w:rsidRDefault="001350B9" w:rsidP="009E0374">
            <w:pPr>
              <w:tabs>
                <w:tab w:val="left" w:pos="4111"/>
              </w:tabs>
              <w:spacing w:before="0"/>
              <w:ind w:left="57"/>
              <w:rPr>
                <w:b/>
                <w:bCs/>
                <w:sz w:val="22"/>
                <w:szCs w:val="22"/>
                <w:lang w:val="en-US"/>
              </w:rPr>
            </w:pPr>
            <w:r w:rsidRPr="74F6B64B">
              <w:rPr>
                <w:b/>
                <w:bCs/>
                <w:sz w:val="22"/>
                <w:szCs w:val="22"/>
                <w:lang w:val="en-US"/>
              </w:rPr>
              <w:t xml:space="preserve">Circular TSB </w:t>
            </w:r>
            <w:r w:rsidR="00B834B0" w:rsidRPr="74F6B64B">
              <w:rPr>
                <w:b/>
                <w:bCs/>
                <w:sz w:val="22"/>
                <w:szCs w:val="22"/>
                <w:lang w:val="en-US"/>
              </w:rPr>
              <w:t xml:space="preserve">070 </w:t>
            </w:r>
            <w:r>
              <w:br/>
            </w:r>
            <w:r w:rsidR="00B834B0" w:rsidRPr="74F6B64B">
              <w:rPr>
                <w:b/>
                <w:bCs/>
                <w:sz w:val="22"/>
                <w:szCs w:val="22"/>
                <w:lang w:val="en-US"/>
              </w:rPr>
              <w:t>TSB Events/SC</w:t>
            </w:r>
          </w:p>
        </w:tc>
        <w:tc>
          <w:tcPr>
            <w:tcW w:w="5329" w:type="dxa"/>
            <w:vMerge w:val="restart"/>
          </w:tcPr>
          <w:p w14:paraId="34F3B74E" w14:textId="0C1B1629" w:rsidR="00B834B0" w:rsidRDefault="001350B9" w:rsidP="009E0374">
            <w:pPr>
              <w:tabs>
                <w:tab w:val="clear" w:pos="794"/>
                <w:tab w:val="clear" w:pos="1191"/>
                <w:tab w:val="clear" w:pos="1588"/>
                <w:tab w:val="clear" w:pos="1985"/>
                <w:tab w:val="left" w:pos="284"/>
              </w:tabs>
              <w:spacing w:before="0" w:after="40"/>
              <w:ind w:left="288" w:hanging="230"/>
              <w:rPr>
                <w:sz w:val="22"/>
                <w:szCs w:val="22"/>
              </w:rPr>
            </w:pPr>
            <w:bookmarkStart w:id="0" w:name="Addressee_S"/>
            <w:bookmarkEnd w:id="0"/>
            <w:r w:rsidRPr="74F6B64B">
              <w:rPr>
                <w:sz w:val="22"/>
                <w:szCs w:val="22"/>
              </w:rPr>
              <w:t>-</w:t>
            </w:r>
            <w:r>
              <w:tab/>
            </w:r>
            <w:r w:rsidRPr="74F6B64B">
              <w:rPr>
                <w:sz w:val="22"/>
                <w:szCs w:val="22"/>
              </w:rPr>
              <w:t>A las Administraciones de los Estados Miembros de la Unión</w:t>
            </w:r>
            <w:r w:rsidR="00B834B0" w:rsidRPr="74F6B64B">
              <w:rPr>
                <w:sz w:val="22"/>
                <w:szCs w:val="22"/>
              </w:rPr>
              <w:t>;</w:t>
            </w:r>
          </w:p>
          <w:p w14:paraId="062DD2C7" w14:textId="03F1201D" w:rsidR="00B834B0" w:rsidRDefault="00B834B0" w:rsidP="009E0374">
            <w:pPr>
              <w:tabs>
                <w:tab w:val="clear" w:pos="794"/>
                <w:tab w:val="clear" w:pos="1191"/>
                <w:tab w:val="clear" w:pos="1588"/>
                <w:tab w:val="clear" w:pos="1985"/>
                <w:tab w:val="left" w:pos="284"/>
              </w:tabs>
              <w:spacing w:before="0" w:after="40"/>
              <w:ind w:left="288" w:hanging="230"/>
              <w:rPr>
                <w:color w:val="000000" w:themeColor="text1"/>
                <w:sz w:val="22"/>
                <w:szCs w:val="22"/>
                <w:lang w:val="es-ES"/>
              </w:rPr>
            </w:pPr>
            <w:r w:rsidRPr="74F6B64B">
              <w:rPr>
                <w:sz w:val="22"/>
                <w:szCs w:val="22"/>
              </w:rPr>
              <w:t>–</w:t>
            </w:r>
            <w:r>
              <w:tab/>
            </w:r>
            <w:r w:rsidRPr="74F6B64B">
              <w:rPr>
                <w:color w:val="000000" w:themeColor="text1"/>
                <w:sz w:val="22"/>
                <w:szCs w:val="22"/>
                <w:lang w:val="es-ES"/>
              </w:rPr>
              <w:t>Al Estado de Palestina (Resolución 99) (Rev. Dubái, 2018))</w:t>
            </w:r>
          </w:p>
          <w:p w14:paraId="27010973" w14:textId="03352198" w:rsidR="00B834B0" w:rsidRDefault="001350B9" w:rsidP="009E0374">
            <w:pPr>
              <w:tabs>
                <w:tab w:val="clear" w:pos="794"/>
                <w:tab w:val="clear" w:pos="1191"/>
                <w:tab w:val="clear" w:pos="1588"/>
                <w:tab w:val="clear" w:pos="1985"/>
                <w:tab w:val="left" w:pos="284"/>
              </w:tabs>
              <w:spacing w:before="0" w:after="40"/>
              <w:ind w:left="288" w:hanging="230"/>
              <w:rPr>
                <w:sz w:val="22"/>
                <w:szCs w:val="22"/>
              </w:rPr>
            </w:pPr>
            <w:r w:rsidRPr="74F6B64B">
              <w:rPr>
                <w:sz w:val="22"/>
                <w:szCs w:val="22"/>
              </w:rPr>
              <w:t>-</w:t>
            </w:r>
            <w:r>
              <w:tab/>
            </w:r>
            <w:r w:rsidRPr="74F6B64B">
              <w:rPr>
                <w:sz w:val="22"/>
                <w:szCs w:val="22"/>
              </w:rPr>
              <w:t>A los Miembros de Sector</w:t>
            </w:r>
            <w:r w:rsidR="00B834B0" w:rsidRPr="74F6B64B">
              <w:rPr>
                <w:sz w:val="22"/>
                <w:szCs w:val="22"/>
              </w:rPr>
              <w:t xml:space="preserve"> del</w:t>
            </w:r>
            <w:r w:rsidRPr="74F6B64B">
              <w:rPr>
                <w:sz w:val="22"/>
                <w:szCs w:val="22"/>
              </w:rPr>
              <w:t xml:space="preserve"> UITT;</w:t>
            </w:r>
          </w:p>
          <w:p w14:paraId="4D51CC35" w14:textId="77777777" w:rsidR="00B834B0" w:rsidRDefault="001350B9" w:rsidP="009E0374">
            <w:pPr>
              <w:tabs>
                <w:tab w:val="clear" w:pos="794"/>
                <w:tab w:val="clear" w:pos="1191"/>
                <w:tab w:val="clear" w:pos="1588"/>
                <w:tab w:val="clear" w:pos="1985"/>
                <w:tab w:val="left" w:pos="284"/>
              </w:tabs>
              <w:spacing w:before="0" w:after="40"/>
              <w:ind w:left="288" w:hanging="230"/>
              <w:rPr>
                <w:sz w:val="22"/>
                <w:szCs w:val="22"/>
              </w:rPr>
            </w:pPr>
            <w:r w:rsidRPr="74F6B64B">
              <w:rPr>
                <w:sz w:val="22"/>
                <w:szCs w:val="22"/>
              </w:rPr>
              <w:t>-</w:t>
            </w:r>
            <w:r>
              <w:tab/>
            </w:r>
            <w:r w:rsidRPr="74F6B64B">
              <w:rPr>
                <w:sz w:val="22"/>
                <w:szCs w:val="22"/>
              </w:rPr>
              <w:t>A los Asociados del UITT;</w:t>
            </w:r>
          </w:p>
          <w:p w14:paraId="19CB5183" w14:textId="1851B84E" w:rsidR="00B834B0" w:rsidRDefault="001350B9" w:rsidP="009E0374">
            <w:pPr>
              <w:tabs>
                <w:tab w:val="clear" w:pos="794"/>
                <w:tab w:val="clear" w:pos="1191"/>
                <w:tab w:val="clear" w:pos="1588"/>
                <w:tab w:val="clear" w:pos="1985"/>
                <w:tab w:val="left" w:pos="284"/>
              </w:tabs>
              <w:spacing w:before="0" w:after="40"/>
              <w:ind w:left="288" w:hanging="230"/>
              <w:rPr>
                <w:sz w:val="22"/>
                <w:szCs w:val="22"/>
              </w:rPr>
            </w:pPr>
            <w:r w:rsidRPr="74F6B64B">
              <w:rPr>
                <w:sz w:val="22"/>
                <w:szCs w:val="22"/>
              </w:rPr>
              <w:t>-</w:t>
            </w:r>
            <w:r>
              <w:tab/>
            </w:r>
            <w:r w:rsidRPr="74F6B64B">
              <w:rPr>
                <w:sz w:val="22"/>
                <w:szCs w:val="22"/>
              </w:rPr>
              <w:t>A las Instituciones Académicas del UIT-T</w:t>
            </w:r>
          </w:p>
          <w:p w14:paraId="121857C3" w14:textId="4915D92C" w:rsidR="00B834B0" w:rsidRPr="00B834B0" w:rsidRDefault="00B834B0" w:rsidP="009E0374">
            <w:pPr>
              <w:tabs>
                <w:tab w:val="clear" w:pos="794"/>
                <w:tab w:val="clear" w:pos="1191"/>
                <w:tab w:val="clear" w:pos="1588"/>
                <w:tab w:val="clear" w:pos="1985"/>
                <w:tab w:val="left" w:pos="284"/>
              </w:tabs>
              <w:spacing w:before="0" w:after="40"/>
              <w:ind w:left="288" w:hanging="230"/>
              <w:rPr>
                <w:b/>
                <w:bCs/>
                <w:sz w:val="22"/>
                <w:szCs w:val="22"/>
              </w:rPr>
            </w:pPr>
            <w:r w:rsidRPr="74F6B64B">
              <w:rPr>
                <w:b/>
                <w:bCs/>
                <w:sz w:val="22"/>
                <w:szCs w:val="22"/>
              </w:rPr>
              <w:t>Copia:</w:t>
            </w:r>
          </w:p>
          <w:p w14:paraId="3F11F22C" w14:textId="7FEA11C4" w:rsidR="00B834B0" w:rsidRDefault="001350B9" w:rsidP="009E0374">
            <w:pPr>
              <w:tabs>
                <w:tab w:val="clear" w:pos="794"/>
                <w:tab w:val="clear" w:pos="1191"/>
                <w:tab w:val="clear" w:pos="1588"/>
                <w:tab w:val="clear" w:pos="1985"/>
                <w:tab w:val="left" w:pos="284"/>
              </w:tabs>
              <w:spacing w:before="0" w:after="40"/>
              <w:ind w:left="288" w:hanging="230"/>
              <w:rPr>
                <w:sz w:val="22"/>
                <w:szCs w:val="22"/>
                <w:lang w:val="es-ES"/>
              </w:rPr>
            </w:pPr>
            <w:r w:rsidRPr="74F6B64B">
              <w:rPr>
                <w:sz w:val="22"/>
                <w:szCs w:val="22"/>
                <w:lang w:val="es-ES"/>
              </w:rPr>
              <w:t>-</w:t>
            </w:r>
            <w:r>
              <w:tab/>
            </w:r>
            <w:r w:rsidRPr="74F6B64B">
              <w:rPr>
                <w:sz w:val="22"/>
                <w:szCs w:val="22"/>
                <w:lang w:val="es-ES"/>
              </w:rPr>
              <w:t>A</w:t>
            </w:r>
            <w:r w:rsidR="00B834B0" w:rsidRPr="74F6B64B">
              <w:rPr>
                <w:sz w:val="22"/>
                <w:szCs w:val="22"/>
                <w:lang w:val="es-ES"/>
              </w:rPr>
              <w:t xml:space="preserve"> </w:t>
            </w:r>
            <w:r w:rsidRPr="74F6B64B">
              <w:rPr>
                <w:sz w:val="22"/>
                <w:szCs w:val="22"/>
                <w:lang w:val="es-ES"/>
              </w:rPr>
              <w:t>l</w:t>
            </w:r>
            <w:r w:rsidR="00B834B0" w:rsidRPr="74F6B64B">
              <w:rPr>
                <w:sz w:val="22"/>
                <w:szCs w:val="22"/>
                <w:lang w:val="es-ES"/>
              </w:rPr>
              <w:t>os</w:t>
            </w:r>
            <w:r w:rsidRPr="74F6B64B">
              <w:rPr>
                <w:sz w:val="22"/>
                <w:szCs w:val="22"/>
                <w:lang w:val="es-ES"/>
              </w:rPr>
              <w:t xml:space="preserve"> </w:t>
            </w:r>
            <w:proofErr w:type="gramStart"/>
            <w:r w:rsidRPr="74F6B64B">
              <w:rPr>
                <w:sz w:val="22"/>
                <w:szCs w:val="22"/>
                <w:lang w:val="es-ES"/>
              </w:rPr>
              <w:t>Presidente</w:t>
            </w:r>
            <w:r w:rsidR="00B834B0" w:rsidRPr="74F6B64B">
              <w:rPr>
                <w:sz w:val="22"/>
                <w:szCs w:val="22"/>
                <w:lang w:val="es-ES"/>
              </w:rPr>
              <w:t>s</w:t>
            </w:r>
            <w:proofErr w:type="gramEnd"/>
            <w:r w:rsidRPr="74F6B64B">
              <w:rPr>
                <w:sz w:val="22"/>
                <w:szCs w:val="22"/>
                <w:lang w:val="es-ES"/>
              </w:rPr>
              <w:t xml:space="preserve"> y a los </w:t>
            </w:r>
            <w:proofErr w:type="gramStart"/>
            <w:r w:rsidRPr="74F6B64B">
              <w:rPr>
                <w:sz w:val="22"/>
                <w:szCs w:val="22"/>
                <w:lang w:val="es-ES"/>
              </w:rPr>
              <w:t>Vicepresidentes</w:t>
            </w:r>
            <w:proofErr w:type="gramEnd"/>
            <w:r w:rsidRPr="74F6B64B">
              <w:rPr>
                <w:sz w:val="22"/>
                <w:szCs w:val="22"/>
                <w:lang w:val="es-ES"/>
              </w:rPr>
              <w:t xml:space="preserve"> de la</w:t>
            </w:r>
            <w:r w:rsidR="00B834B0" w:rsidRPr="74F6B64B">
              <w:rPr>
                <w:sz w:val="22"/>
                <w:szCs w:val="22"/>
                <w:lang w:val="es-ES"/>
              </w:rPr>
              <w:t xml:space="preserve">s </w:t>
            </w:r>
            <w:r w:rsidRPr="74F6B64B">
              <w:rPr>
                <w:sz w:val="22"/>
                <w:szCs w:val="22"/>
                <w:lang w:val="es-ES"/>
              </w:rPr>
              <w:t>Comisi</w:t>
            </w:r>
            <w:r w:rsidR="00B834B0" w:rsidRPr="74F6B64B">
              <w:rPr>
                <w:sz w:val="22"/>
                <w:szCs w:val="22"/>
                <w:lang w:val="es-ES"/>
              </w:rPr>
              <w:t xml:space="preserve">ones </w:t>
            </w:r>
            <w:r w:rsidRPr="74F6B64B">
              <w:rPr>
                <w:sz w:val="22"/>
                <w:szCs w:val="22"/>
                <w:lang w:val="es-ES"/>
              </w:rPr>
              <w:t>de Estudio;</w:t>
            </w:r>
          </w:p>
          <w:p w14:paraId="786E542B" w14:textId="797FF791" w:rsidR="00B834B0" w:rsidRDefault="001350B9" w:rsidP="009E0374">
            <w:pPr>
              <w:tabs>
                <w:tab w:val="clear" w:pos="794"/>
                <w:tab w:val="clear" w:pos="1191"/>
                <w:tab w:val="clear" w:pos="1588"/>
                <w:tab w:val="clear" w:pos="1985"/>
                <w:tab w:val="left" w:pos="284"/>
              </w:tabs>
              <w:spacing w:before="0" w:after="40"/>
              <w:ind w:left="288" w:hanging="230"/>
              <w:rPr>
                <w:sz w:val="22"/>
                <w:szCs w:val="22"/>
                <w:lang w:val="es-ES"/>
              </w:rPr>
            </w:pPr>
            <w:r w:rsidRPr="74F6B64B">
              <w:rPr>
                <w:sz w:val="22"/>
                <w:szCs w:val="22"/>
                <w:lang w:val="es-ES"/>
              </w:rPr>
              <w:t>-</w:t>
            </w:r>
            <w:r>
              <w:tab/>
            </w:r>
            <w:r w:rsidRPr="74F6B64B">
              <w:rPr>
                <w:sz w:val="22"/>
                <w:szCs w:val="22"/>
                <w:lang w:val="es-ES"/>
              </w:rPr>
              <w:t xml:space="preserve">Al </w:t>
            </w:r>
            <w:proofErr w:type="gramStart"/>
            <w:r w:rsidRPr="74F6B64B">
              <w:rPr>
                <w:sz w:val="22"/>
                <w:szCs w:val="22"/>
                <w:lang w:val="es-ES"/>
              </w:rPr>
              <w:t>Director</w:t>
            </w:r>
            <w:proofErr w:type="gramEnd"/>
            <w:r w:rsidRPr="74F6B64B">
              <w:rPr>
                <w:sz w:val="22"/>
                <w:szCs w:val="22"/>
                <w:lang w:val="es-ES"/>
              </w:rPr>
              <w:t xml:space="preserve"> de la Oficina de Desarrollo de las Telecomunicaciones;</w:t>
            </w:r>
          </w:p>
          <w:p w14:paraId="39FA3FF1" w14:textId="23B88260" w:rsidR="001350B9" w:rsidRDefault="001350B9" w:rsidP="009E0374">
            <w:pPr>
              <w:tabs>
                <w:tab w:val="clear" w:pos="794"/>
                <w:tab w:val="clear" w:pos="1191"/>
                <w:tab w:val="clear" w:pos="1588"/>
                <w:tab w:val="clear" w:pos="1985"/>
                <w:tab w:val="left" w:pos="284"/>
              </w:tabs>
              <w:spacing w:before="0" w:after="40"/>
              <w:ind w:left="288" w:hanging="230"/>
              <w:rPr>
                <w:sz w:val="22"/>
                <w:szCs w:val="22"/>
                <w:lang w:val="es-ES"/>
              </w:rPr>
            </w:pPr>
            <w:r w:rsidRPr="74F6B64B">
              <w:rPr>
                <w:sz w:val="22"/>
                <w:szCs w:val="22"/>
                <w:lang w:val="es-ES"/>
              </w:rPr>
              <w:t>-</w:t>
            </w:r>
            <w:r>
              <w:tab/>
            </w:r>
            <w:r w:rsidRPr="74F6B64B">
              <w:rPr>
                <w:sz w:val="22"/>
                <w:szCs w:val="22"/>
                <w:lang w:val="es-ES"/>
              </w:rPr>
              <w:t xml:space="preserve">Al </w:t>
            </w:r>
            <w:proofErr w:type="gramStart"/>
            <w:r w:rsidRPr="74F6B64B">
              <w:rPr>
                <w:sz w:val="22"/>
                <w:szCs w:val="22"/>
                <w:lang w:val="es-ES"/>
              </w:rPr>
              <w:t>Director</w:t>
            </w:r>
            <w:proofErr w:type="gramEnd"/>
            <w:r w:rsidRPr="74F6B64B">
              <w:rPr>
                <w:sz w:val="22"/>
                <w:szCs w:val="22"/>
                <w:lang w:val="es-ES"/>
              </w:rPr>
              <w:t xml:space="preserve"> de la Oficina de Radiocomunicaciones</w:t>
            </w:r>
          </w:p>
        </w:tc>
      </w:tr>
      <w:tr w:rsidR="00B834B0" w14:paraId="3C378A95" w14:textId="77777777" w:rsidTr="009E0374">
        <w:trPr>
          <w:cantSplit/>
          <w:trHeight w:val="340"/>
        </w:trPr>
        <w:tc>
          <w:tcPr>
            <w:tcW w:w="993" w:type="dxa"/>
          </w:tcPr>
          <w:p w14:paraId="5A0AF676" w14:textId="1CEFD88F" w:rsidR="00B834B0" w:rsidRPr="001350B9" w:rsidRDefault="00B834B0" w:rsidP="009E0374">
            <w:pPr>
              <w:tabs>
                <w:tab w:val="left" w:pos="4111"/>
              </w:tabs>
              <w:spacing w:before="10"/>
              <w:ind w:left="-15"/>
              <w:rPr>
                <w:sz w:val="22"/>
              </w:rPr>
            </w:pPr>
            <w:r>
              <w:rPr>
                <w:sz w:val="22"/>
              </w:rPr>
              <w:t>Contacto:</w:t>
            </w:r>
          </w:p>
        </w:tc>
        <w:tc>
          <w:tcPr>
            <w:tcW w:w="3884" w:type="dxa"/>
            <w:gridSpan w:val="2"/>
          </w:tcPr>
          <w:p w14:paraId="719DE26F" w14:textId="149E0E7C" w:rsidR="00B834B0" w:rsidRPr="00B834B0" w:rsidRDefault="00B834B0" w:rsidP="009E0374">
            <w:pPr>
              <w:tabs>
                <w:tab w:val="left" w:pos="4111"/>
              </w:tabs>
              <w:spacing w:before="0"/>
              <w:ind w:left="57"/>
              <w:rPr>
                <w:b/>
                <w:bCs/>
                <w:sz w:val="22"/>
                <w:szCs w:val="22"/>
                <w:lang w:val="en-US"/>
              </w:rPr>
            </w:pPr>
            <w:r w:rsidRPr="74F6B64B">
              <w:rPr>
                <w:b/>
                <w:bCs/>
                <w:sz w:val="22"/>
                <w:szCs w:val="22"/>
                <w:lang w:val="en-US"/>
              </w:rPr>
              <w:t>Stefano Polidori</w:t>
            </w:r>
          </w:p>
        </w:tc>
        <w:tc>
          <w:tcPr>
            <w:tcW w:w="5329" w:type="dxa"/>
            <w:vMerge/>
          </w:tcPr>
          <w:p w14:paraId="5104B243" w14:textId="77777777" w:rsidR="00B834B0" w:rsidRDefault="00B834B0" w:rsidP="009E0374">
            <w:pPr>
              <w:tabs>
                <w:tab w:val="clear" w:pos="794"/>
                <w:tab w:val="clear" w:pos="1191"/>
                <w:tab w:val="clear" w:pos="1588"/>
                <w:tab w:val="clear" w:pos="1985"/>
                <w:tab w:val="left" w:pos="284"/>
              </w:tabs>
              <w:spacing w:before="0"/>
              <w:ind w:left="284" w:hanging="227"/>
            </w:pPr>
          </w:p>
        </w:tc>
      </w:tr>
      <w:tr w:rsidR="001350B9" w14:paraId="6BDCD695" w14:textId="77777777" w:rsidTr="009E0374">
        <w:trPr>
          <w:cantSplit/>
        </w:trPr>
        <w:tc>
          <w:tcPr>
            <w:tcW w:w="993" w:type="dxa"/>
          </w:tcPr>
          <w:p w14:paraId="084317DB" w14:textId="77777777" w:rsidR="001350B9" w:rsidRPr="001350B9" w:rsidRDefault="001350B9" w:rsidP="009E0374">
            <w:pPr>
              <w:tabs>
                <w:tab w:val="left" w:pos="4111"/>
              </w:tabs>
              <w:spacing w:before="10"/>
              <w:ind w:left="-15"/>
              <w:rPr>
                <w:sz w:val="22"/>
              </w:rPr>
            </w:pPr>
            <w:r w:rsidRPr="001350B9">
              <w:rPr>
                <w:sz w:val="22"/>
              </w:rPr>
              <w:t>Tel.:</w:t>
            </w:r>
          </w:p>
        </w:tc>
        <w:tc>
          <w:tcPr>
            <w:tcW w:w="3884" w:type="dxa"/>
            <w:gridSpan w:val="2"/>
          </w:tcPr>
          <w:p w14:paraId="10F6E881" w14:textId="6EC9CA4A" w:rsidR="001350B9" w:rsidRDefault="001350B9" w:rsidP="009E0374">
            <w:pPr>
              <w:tabs>
                <w:tab w:val="left" w:pos="4111"/>
              </w:tabs>
              <w:spacing w:before="0"/>
              <w:ind w:left="57"/>
              <w:rPr>
                <w:rStyle w:val="Hyperlink"/>
                <w:sz w:val="22"/>
                <w:szCs w:val="22"/>
              </w:rPr>
            </w:pPr>
            <w:r w:rsidRPr="74F6B64B">
              <w:rPr>
                <w:sz w:val="22"/>
                <w:szCs w:val="22"/>
              </w:rPr>
              <w:t>+41 22 730</w:t>
            </w:r>
            <w:r w:rsidR="00B834B0" w:rsidRPr="74F6B64B">
              <w:rPr>
                <w:sz w:val="22"/>
                <w:szCs w:val="22"/>
              </w:rPr>
              <w:t xml:space="preserve"> 5858</w:t>
            </w:r>
          </w:p>
        </w:tc>
        <w:tc>
          <w:tcPr>
            <w:tcW w:w="5329" w:type="dxa"/>
            <w:vMerge/>
          </w:tcPr>
          <w:p w14:paraId="6B425C53" w14:textId="77777777" w:rsidR="001350B9" w:rsidRDefault="001350B9" w:rsidP="009E0374">
            <w:pPr>
              <w:tabs>
                <w:tab w:val="left" w:pos="226"/>
                <w:tab w:val="left" w:pos="510"/>
              </w:tabs>
              <w:spacing w:before="0"/>
              <w:ind w:left="226" w:hanging="169"/>
              <w:rPr>
                <w:b/>
              </w:rPr>
            </w:pPr>
          </w:p>
        </w:tc>
      </w:tr>
      <w:tr w:rsidR="001350B9" w14:paraId="43AB14E0" w14:textId="77777777" w:rsidTr="009E0374">
        <w:trPr>
          <w:cantSplit/>
        </w:trPr>
        <w:tc>
          <w:tcPr>
            <w:tcW w:w="993" w:type="dxa"/>
          </w:tcPr>
          <w:p w14:paraId="12210AD7" w14:textId="77777777" w:rsidR="001350B9" w:rsidRPr="001350B9" w:rsidRDefault="001350B9" w:rsidP="009E0374">
            <w:pPr>
              <w:tabs>
                <w:tab w:val="left" w:pos="4111"/>
              </w:tabs>
              <w:spacing w:before="10"/>
              <w:ind w:left="-15"/>
              <w:rPr>
                <w:sz w:val="22"/>
              </w:rPr>
            </w:pPr>
            <w:r w:rsidRPr="001350B9">
              <w:rPr>
                <w:sz w:val="22"/>
              </w:rPr>
              <w:t>Fax:</w:t>
            </w:r>
          </w:p>
        </w:tc>
        <w:tc>
          <w:tcPr>
            <w:tcW w:w="3884" w:type="dxa"/>
            <w:gridSpan w:val="2"/>
          </w:tcPr>
          <w:p w14:paraId="18A9A590" w14:textId="77777777" w:rsidR="001350B9" w:rsidRDefault="001350B9" w:rsidP="009E0374">
            <w:pPr>
              <w:tabs>
                <w:tab w:val="left" w:pos="4111"/>
              </w:tabs>
              <w:spacing w:before="0"/>
              <w:ind w:left="57"/>
              <w:rPr>
                <w:rStyle w:val="Hyperlink"/>
                <w:sz w:val="22"/>
                <w:szCs w:val="22"/>
              </w:rPr>
            </w:pPr>
            <w:r w:rsidRPr="74F6B64B">
              <w:rPr>
                <w:sz w:val="22"/>
                <w:szCs w:val="22"/>
              </w:rPr>
              <w:t>+41 22 730 5853</w:t>
            </w:r>
          </w:p>
        </w:tc>
        <w:tc>
          <w:tcPr>
            <w:tcW w:w="5329" w:type="dxa"/>
            <w:vMerge/>
          </w:tcPr>
          <w:p w14:paraId="3F41356B" w14:textId="77777777" w:rsidR="001350B9" w:rsidRDefault="001350B9" w:rsidP="009E0374">
            <w:pPr>
              <w:tabs>
                <w:tab w:val="left" w:pos="226"/>
                <w:tab w:val="left" w:pos="510"/>
              </w:tabs>
              <w:spacing w:before="0"/>
              <w:ind w:left="226" w:hanging="169"/>
              <w:rPr>
                <w:b/>
              </w:rPr>
            </w:pPr>
          </w:p>
        </w:tc>
      </w:tr>
      <w:tr w:rsidR="001350B9" w14:paraId="7BC41D38" w14:textId="77777777" w:rsidTr="009E0374">
        <w:trPr>
          <w:cantSplit/>
          <w:trHeight w:val="2502"/>
        </w:trPr>
        <w:tc>
          <w:tcPr>
            <w:tcW w:w="993" w:type="dxa"/>
          </w:tcPr>
          <w:p w14:paraId="154CA866" w14:textId="77777777" w:rsidR="001350B9" w:rsidRPr="001350B9" w:rsidRDefault="001350B9" w:rsidP="009E0374">
            <w:pPr>
              <w:tabs>
                <w:tab w:val="left" w:pos="4111"/>
              </w:tabs>
              <w:spacing w:before="10"/>
              <w:ind w:left="-15"/>
              <w:rPr>
                <w:sz w:val="22"/>
              </w:rPr>
            </w:pPr>
            <w:r w:rsidRPr="001350B9">
              <w:rPr>
                <w:sz w:val="22"/>
              </w:rPr>
              <w:t>Correo-e:</w:t>
            </w:r>
          </w:p>
        </w:tc>
        <w:tc>
          <w:tcPr>
            <w:tcW w:w="3884" w:type="dxa"/>
            <w:gridSpan w:val="2"/>
          </w:tcPr>
          <w:p w14:paraId="38E50E6C" w14:textId="474CD729" w:rsidR="001350B9" w:rsidRDefault="00B834B0" w:rsidP="009E0374">
            <w:pPr>
              <w:tabs>
                <w:tab w:val="left" w:pos="4111"/>
              </w:tabs>
              <w:spacing w:before="0"/>
              <w:ind w:left="57"/>
              <w:rPr>
                <w:sz w:val="22"/>
                <w:szCs w:val="22"/>
              </w:rPr>
            </w:pPr>
            <w:hyperlink r:id="rId12">
              <w:r w:rsidRPr="74F6B64B">
                <w:rPr>
                  <w:rStyle w:val="Hyperlink"/>
                  <w:sz w:val="22"/>
                  <w:szCs w:val="22"/>
                </w:rPr>
                <w:t>tsbevents@itu.int</w:t>
              </w:r>
            </w:hyperlink>
          </w:p>
        </w:tc>
        <w:tc>
          <w:tcPr>
            <w:tcW w:w="5329" w:type="dxa"/>
            <w:vMerge/>
          </w:tcPr>
          <w:p w14:paraId="46671602" w14:textId="77777777" w:rsidR="001350B9" w:rsidRDefault="001350B9" w:rsidP="009E0374">
            <w:pPr>
              <w:tabs>
                <w:tab w:val="clear" w:pos="794"/>
                <w:tab w:val="clear" w:pos="1191"/>
                <w:tab w:val="clear" w:pos="1588"/>
                <w:tab w:val="clear" w:pos="1985"/>
                <w:tab w:val="left" w:pos="226"/>
                <w:tab w:val="left" w:pos="510"/>
              </w:tabs>
              <w:spacing w:before="0"/>
              <w:ind w:left="226" w:hanging="169"/>
            </w:pPr>
          </w:p>
        </w:tc>
      </w:tr>
      <w:tr w:rsidR="007B6316" w14:paraId="0D13DB46" w14:textId="77777777" w:rsidTr="009E0374">
        <w:trPr>
          <w:cantSplit/>
        </w:trPr>
        <w:tc>
          <w:tcPr>
            <w:tcW w:w="993" w:type="dxa"/>
          </w:tcPr>
          <w:p w14:paraId="7F3A0DE9" w14:textId="77777777" w:rsidR="007B6316" w:rsidRPr="001350B9" w:rsidRDefault="007B6316" w:rsidP="009E0374">
            <w:pPr>
              <w:tabs>
                <w:tab w:val="left" w:pos="4111"/>
              </w:tabs>
              <w:spacing w:before="10"/>
              <w:ind w:left="-15"/>
              <w:rPr>
                <w:sz w:val="22"/>
              </w:rPr>
            </w:pPr>
            <w:r w:rsidRPr="009E0374">
              <w:rPr>
                <w:b/>
                <w:bCs/>
                <w:sz w:val="22"/>
              </w:rPr>
              <w:t>Asunto</w:t>
            </w:r>
            <w:r w:rsidRPr="001350B9">
              <w:rPr>
                <w:sz w:val="22"/>
              </w:rPr>
              <w:t>:</w:t>
            </w:r>
          </w:p>
        </w:tc>
        <w:tc>
          <w:tcPr>
            <w:tcW w:w="9213" w:type="dxa"/>
            <w:gridSpan w:val="3"/>
          </w:tcPr>
          <w:p w14:paraId="7134AE69" w14:textId="2FEA2E1B" w:rsidR="007B6316" w:rsidRDefault="00B834B0" w:rsidP="009E0374">
            <w:pPr>
              <w:tabs>
                <w:tab w:val="left" w:pos="4111"/>
              </w:tabs>
              <w:spacing w:before="0"/>
              <w:rPr>
                <w:b/>
                <w:bCs/>
                <w:sz w:val="22"/>
                <w:szCs w:val="22"/>
              </w:rPr>
            </w:pPr>
            <w:r w:rsidRPr="74F6B64B">
              <w:rPr>
                <w:b/>
                <w:bCs/>
                <w:color w:val="000000" w:themeColor="text1"/>
                <w:sz w:val="22"/>
                <w:szCs w:val="22"/>
                <w:lang w:val="es-ES"/>
              </w:rPr>
              <w:t>Taller de la CE 21 del UIT-T sobre «IA incorporada y normas de tecnología multimedios» (Ginebra (Suiza), 10 de octubre de 2025)</w:t>
            </w:r>
          </w:p>
        </w:tc>
      </w:tr>
    </w:tbl>
    <w:p w14:paraId="4DCFB9E9" w14:textId="2D3C2A4C" w:rsidR="00C34772" w:rsidRDefault="00C34772" w:rsidP="009E0374">
      <w:pPr>
        <w:rPr>
          <w:sz w:val="22"/>
          <w:szCs w:val="22"/>
        </w:rPr>
      </w:pPr>
      <w:bookmarkStart w:id="1" w:name="StartTyping_S"/>
      <w:bookmarkStart w:id="2" w:name="suitetext"/>
      <w:bookmarkStart w:id="3" w:name="text"/>
      <w:bookmarkEnd w:id="1"/>
      <w:bookmarkEnd w:id="2"/>
      <w:bookmarkEnd w:id="3"/>
      <w:r w:rsidRPr="74F6B64B">
        <w:rPr>
          <w:sz w:val="22"/>
          <w:szCs w:val="22"/>
        </w:rPr>
        <w:t>Muy Señora mía/Muy Señor mío</w:t>
      </w:r>
      <w:r w:rsidR="009E0374">
        <w:rPr>
          <w:sz w:val="22"/>
          <w:szCs w:val="22"/>
        </w:rPr>
        <w:t>,</w:t>
      </w:r>
    </w:p>
    <w:p w14:paraId="351C034D" w14:textId="262387D0" w:rsidR="007B6316" w:rsidRDefault="00B834B0" w:rsidP="74F6B64B">
      <w:pPr>
        <w:rPr>
          <w:color w:val="000000" w:themeColor="text1"/>
          <w:sz w:val="22"/>
          <w:szCs w:val="22"/>
          <w:lang w:val="es-ES"/>
        </w:rPr>
      </w:pPr>
      <w:r w:rsidRPr="74F6B64B">
        <w:rPr>
          <w:color w:val="000000" w:themeColor="text1"/>
          <w:sz w:val="22"/>
          <w:szCs w:val="22"/>
          <w:lang w:val="es-ES"/>
        </w:rPr>
        <w:t>1</w:t>
      </w:r>
      <w:r>
        <w:tab/>
      </w:r>
      <w:proofErr w:type="gramStart"/>
      <w:r w:rsidRPr="74F6B64B">
        <w:rPr>
          <w:color w:val="000000" w:themeColor="text1"/>
          <w:sz w:val="22"/>
          <w:szCs w:val="22"/>
          <w:lang w:val="es-ES"/>
        </w:rPr>
        <w:t>La</w:t>
      </w:r>
      <w:proofErr w:type="gramEnd"/>
      <w:r w:rsidRPr="74F6B64B">
        <w:rPr>
          <w:color w:val="000000" w:themeColor="text1"/>
          <w:sz w:val="22"/>
          <w:szCs w:val="22"/>
          <w:lang w:val="es-ES"/>
        </w:rPr>
        <w:t xml:space="preserve"> Unión Internacional de Telecomunicaciones (UIT) está organizando un taller sobre «IA incorporada y normas de tecnología multimedios», que tendrá lugar en la Sede de la UIT en Ginebra (Suiza) el 10 de octubre de 2025 de las 14.00 a las 18.30 horas (CET).</w:t>
      </w:r>
    </w:p>
    <w:p w14:paraId="19EB5CAF" w14:textId="4C87F424" w:rsidR="00B834B0" w:rsidRDefault="00B834B0" w:rsidP="74F6B64B">
      <w:pPr>
        <w:rPr>
          <w:color w:val="000000" w:themeColor="text1"/>
          <w:sz w:val="22"/>
          <w:szCs w:val="22"/>
          <w:lang w:val="es-ES"/>
        </w:rPr>
      </w:pPr>
      <w:r w:rsidRPr="74F6B64B">
        <w:rPr>
          <w:color w:val="000000" w:themeColor="text1"/>
          <w:sz w:val="22"/>
          <w:szCs w:val="22"/>
          <w:lang w:val="es-ES"/>
        </w:rPr>
        <w:t>2</w:t>
      </w:r>
      <w:r>
        <w:tab/>
      </w:r>
      <w:proofErr w:type="gramStart"/>
      <w:r w:rsidRPr="74F6B64B">
        <w:rPr>
          <w:color w:val="000000" w:themeColor="text1"/>
          <w:sz w:val="22"/>
          <w:szCs w:val="22"/>
          <w:lang w:val="es-ES"/>
        </w:rPr>
        <w:t>La</w:t>
      </w:r>
      <w:proofErr w:type="gramEnd"/>
      <w:r w:rsidRPr="74F6B64B">
        <w:rPr>
          <w:color w:val="000000" w:themeColor="text1"/>
          <w:sz w:val="22"/>
          <w:szCs w:val="22"/>
          <w:lang w:val="es-ES"/>
        </w:rPr>
        <w:t xml:space="preserve"> IA incorporada (IAE) puede describirse como un cambio transformador en la inteligencia artificial que integra la IA en los sistemas físicos, permitiéndoles interactuar con su entorno y aprender de él a través de estímulos y acciones sensoriales.</w:t>
      </w:r>
    </w:p>
    <w:p w14:paraId="01A1F60C" w14:textId="0D8E953B" w:rsidR="00B834B0" w:rsidRDefault="00B834B0" w:rsidP="74F6B64B">
      <w:pPr>
        <w:rPr>
          <w:color w:val="000000" w:themeColor="text1"/>
          <w:sz w:val="22"/>
          <w:szCs w:val="22"/>
          <w:lang w:val="es-ES"/>
        </w:rPr>
      </w:pPr>
      <w:r w:rsidRPr="74F6B64B">
        <w:rPr>
          <w:color w:val="000000" w:themeColor="text1"/>
          <w:sz w:val="22"/>
          <w:szCs w:val="22"/>
          <w:lang w:val="es-ES"/>
        </w:rPr>
        <w:t>3</w:t>
      </w:r>
      <w:r>
        <w:tab/>
      </w:r>
      <w:proofErr w:type="gramStart"/>
      <w:r w:rsidRPr="74F6B64B">
        <w:rPr>
          <w:color w:val="000000" w:themeColor="text1"/>
          <w:sz w:val="22"/>
          <w:szCs w:val="22"/>
          <w:lang w:val="es-ES"/>
        </w:rPr>
        <w:t>El</w:t>
      </w:r>
      <w:proofErr w:type="gramEnd"/>
      <w:r w:rsidRPr="74F6B64B">
        <w:rPr>
          <w:color w:val="000000" w:themeColor="text1"/>
          <w:sz w:val="22"/>
          <w:szCs w:val="22"/>
          <w:lang w:val="es-ES"/>
        </w:rPr>
        <w:t xml:space="preserve"> objetivo del taller es reunir a instituciones, instituciones académicas y la industria para debatir los requisitos para habilitar la IA incorporada en los multimedios. Entre los temas clave figuran el estudio de las oportunidades de normalización para el avance tecnológico, la identificación de lagunas en las Recomendaciones UIT-T, el examen de casos de uso reales de la IA incorporada en multimedios y el fomento de la colaboración en toda la cadena de suministro de las TIC, centrándose en definir los futuros trabajos de la CE 21 del UIT-T relacionados con las tecnologías de IA incorporada. Este evento es resultado del éxito de los valiosos debates de la Cumbre Mundial AI for Good (julio de 2025).</w:t>
      </w:r>
    </w:p>
    <w:p w14:paraId="7D189522" w14:textId="32CFC6C3" w:rsidR="00B834B0" w:rsidRDefault="00B834B0" w:rsidP="74F6B64B">
      <w:pPr>
        <w:rPr>
          <w:color w:val="000000" w:themeColor="text1"/>
          <w:sz w:val="22"/>
          <w:szCs w:val="22"/>
          <w:lang w:val="es-ES"/>
        </w:rPr>
      </w:pPr>
      <w:r w:rsidRPr="74F6B64B">
        <w:rPr>
          <w:color w:val="000000" w:themeColor="text1"/>
          <w:sz w:val="22"/>
          <w:szCs w:val="22"/>
          <w:lang w:val="es-ES"/>
        </w:rPr>
        <w:t>4</w:t>
      </w:r>
      <w:r>
        <w:tab/>
      </w:r>
      <w:proofErr w:type="gramStart"/>
      <w:r w:rsidRPr="74F6B64B">
        <w:rPr>
          <w:color w:val="000000" w:themeColor="text1"/>
          <w:sz w:val="22"/>
          <w:szCs w:val="22"/>
          <w:lang w:val="es-ES"/>
        </w:rPr>
        <w:t>En</w:t>
      </w:r>
      <w:proofErr w:type="gramEnd"/>
      <w:r w:rsidRPr="74F6B64B">
        <w:rPr>
          <w:color w:val="000000" w:themeColor="text1"/>
          <w:sz w:val="22"/>
          <w:szCs w:val="22"/>
          <w:lang w:val="es-ES"/>
        </w:rPr>
        <w:t xml:space="preserve"> el lugar de celebración se organizará una demostración de aplicaciones multimedios de vanguardia impulsadas por tecnologías de IA. Si está interesado en participar o desea obtener más información, póngase en contacto con </w:t>
      </w:r>
      <w:r w:rsidRPr="74F6B64B">
        <w:rPr>
          <w:rStyle w:val="Hyperlink"/>
          <w:sz w:val="22"/>
          <w:szCs w:val="22"/>
        </w:rPr>
        <w:t>tsbevents@itu.int</w:t>
      </w:r>
      <w:r w:rsidRPr="74F6B64B">
        <w:rPr>
          <w:color w:val="000000" w:themeColor="text1"/>
          <w:sz w:val="22"/>
          <w:szCs w:val="22"/>
          <w:lang w:val="es-ES"/>
        </w:rPr>
        <w:t>.</w:t>
      </w:r>
    </w:p>
    <w:p w14:paraId="294AF1A4" w14:textId="23ECB202" w:rsidR="00B834B0" w:rsidRDefault="00B834B0" w:rsidP="74F6B64B">
      <w:pPr>
        <w:rPr>
          <w:color w:val="000000" w:themeColor="text1"/>
          <w:sz w:val="22"/>
          <w:szCs w:val="22"/>
          <w:lang w:val="es-ES"/>
        </w:rPr>
      </w:pPr>
      <w:r w:rsidRPr="74F6B64B">
        <w:rPr>
          <w:color w:val="000000" w:themeColor="text1"/>
          <w:sz w:val="22"/>
          <w:szCs w:val="22"/>
          <w:lang w:val="es-ES"/>
        </w:rPr>
        <w:t>5</w:t>
      </w:r>
      <w:r>
        <w:tab/>
      </w:r>
      <w:proofErr w:type="gramStart"/>
      <w:r w:rsidRPr="74F6B64B">
        <w:rPr>
          <w:color w:val="000000" w:themeColor="text1"/>
          <w:sz w:val="22"/>
          <w:szCs w:val="22"/>
          <w:lang w:val="es-ES"/>
        </w:rPr>
        <w:t>La</w:t>
      </w:r>
      <w:proofErr w:type="gramEnd"/>
      <w:r w:rsidRPr="74F6B64B">
        <w:rPr>
          <w:color w:val="000000" w:themeColor="text1"/>
          <w:sz w:val="22"/>
          <w:szCs w:val="22"/>
          <w:lang w:val="es-ES"/>
        </w:rPr>
        <w:t xml:space="preserve"> participación en el evento es gratuita y está abierta a los Estados Miembros, a los Miembros de Sector, a los Asociados y a las Instituciones Académicas de la UIT, y a cualquier persona nacional de un Estado Miembro de la UIT que desee contribuir a los trabajos. Esto incluye a las personas que también sean miembros de organizaciones nacionales, regionales e internacionales.</w:t>
      </w:r>
    </w:p>
    <w:p w14:paraId="14DE4A17" w14:textId="0DDAB1CB" w:rsidR="00B834B0" w:rsidRDefault="00B834B0" w:rsidP="74F6B64B">
      <w:pPr>
        <w:rPr>
          <w:b/>
          <w:bCs/>
          <w:color w:val="000000" w:themeColor="text1"/>
          <w:sz w:val="22"/>
          <w:szCs w:val="22"/>
          <w:lang w:val="es-ES"/>
        </w:rPr>
      </w:pPr>
      <w:r w:rsidRPr="74F6B64B">
        <w:rPr>
          <w:color w:val="000000" w:themeColor="text1"/>
          <w:sz w:val="22"/>
          <w:szCs w:val="22"/>
          <w:lang w:val="es-ES"/>
        </w:rPr>
        <w:t xml:space="preserve">Para que la TSB pueda tomar las disposiciones necesarias, le agradecería que se </w:t>
      </w:r>
      <w:r w:rsidRPr="74F6B64B">
        <w:rPr>
          <w:b/>
          <w:bCs/>
          <w:color w:val="000000" w:themeColor="text1"/>
          <w:sz w:val="22"/>
          <w:szCs w:val="22"/>
          <w:lang w:val="es-ES"/>
        </w:rPr>
        <w:t xml:space="preserve">inscribiese </w:t>
      </w:r>
      <w:r w:rsidRPr="74F6B64B">
        <w:rPr>
          <w:color w:val="000000" w:themeColor="text1"/>
          <w:sz w:val="22"/>
          <w:szCs w:val="22"/>
          <w:lang w:val="es-ES"/>
        </w:rPr>
        <w:t xml:space="preserve">lo antes posible y, a más tardar, el </w:t>
      </w:r>
      <w:r w:rsidRPr="74F6B64B">
        <w:rPr>
          <w:b/>
          <w:bCs/>
          <w:color w:val="000000" w:themeColor="text1"/>
          <w:sz w:val="22"/>
          <w:szCs w:val="22"/>
          <w:lang w:val="es-ES"/>
        </w:rPr>
        <w:t>3 de octubre de 2025</w:t>
      </w:r>
      <w:r w:rsidRPr="74F6B64B">
        <w:rPr>
          <w:color w:val="000000" w:themeColor="text1"/>
          <w:sz w:val="22"/>
          <w:szCs w:val="22"/>
          <w:lang w:val="es-ES"/>
        </w:rPr>
        <w:t xml:space="preserve"> en la dirección: </w:t>
      </w:r>
      <w:hyperlink r:id="rId13">
        <w:r w:rsidR="0011233E" w:rsidRPr="74F6B64B">
          <w:rPr>
            <w:rStyle w:val="Hyperlink"/>
            <w:sz w:val="22"/>
            <w:szCs w:val="22"/>
          </w:rPr>
          <w:t>https://www.itu.int/net4/CRM/xreg/web/Login.aspx?src=Regist</w:t>
        </w:r>
        <w:r w:rsidR="0011233E" w:rsidRPr="74F6B64B">
          <w:rPr>
            <w:rStyle w:val="Hyperlink"/>
            <w:sz w:val="22"/>
            <w:szCs w:val="22"/>
          </w:rPr>
          <w:t>r</w:t>
        </w:r>
        <w:r w:rsidR="0011233E" w:rsidRPr="74F6B64B">
          <w:rPr>
            <w:rStyle w:val="Hyperlink"/>
            <w:sz w:val="22"/>
            <w:szCs w:val="22"/>
          </w:rPr>
          <w:t>ation&amp;Event=C-00015814</w:t>
        </w:r>
      </w:hyperlink>
      <w:r w:rsidRPr="74F6B64B">
        <w:rPr>
          <w:color w:val="000000" w:themeColor="text1"/>
          <w:sz w:val="22"/>
          <w:szCs w:val="22"/>
          <w:lang w:val="es-ES"/>
        </w:rPr>
        <w:t xml:space="preserve">. </w:t>
      </w:r>
      <w:r w:rsidRPr="74F6B64B">
        <w:rPr>
          <w:b/>
          <w:bCs/>
          <w:color w:val="000000" w:themeColor="text1"/>
          <w:sz w:val="22"/>
          <w:szCs w:val="22"/>
          <w:lang w:val="es-ES"/>
        </w:rPr>
        <w:t>Tenga en cuenta que la preinscripción de los participantes en talleres (presenciales o en línea) es obligatoria y que se realiza exclusivamente en línea.</w:t>
      </w:r>
    </w:p>
    <w:p w14:paraId="0A64AB8C" w14:textId="6725FFA4" w:rsidR="00B834B0" w:rsidRDefault="00B834B0" w:rsidP="74F6B64B">
      <w:pPr>
        <w:rPr>
          <w:color w:val="000000" w:themeColor="text1"/>
          <w:sz w:val="22"/>
          <w:szCs w:val="22"/>
          <w:lang w:val="es-ES"/>
        </w:rPr>
      </w:pPr>
      <w:r w:rsidRPr="74F6B64B">
        <w:rPr>
          <w:color w:val="000000" w:themeColor="text1"/>
          <w:sz w:val="22"/>
          <w:szCs w:val="22"/>
          <w:lang w:val="es-ES"/>
        </w:rPr>
        <w:lastRenderedPageBreak/>
        <w:t>6</w:t>
      </w:r>
      <w:r>
        <w:tab/>
      </w:r>
      <w:proofErr w:type="gramStart"/>
      <w:r w:rsidRPr="74F6B64B">
        <w:rPr>
          <w:color w:val="000000" w:themeColor="text1"/>
          <w:sz w:val="22"/>
          <w:szCs w:val="22"/>
          <w:lang w:val="es-ES"/>
        </w:rPr>
        <w:t>Toda</w:t>
      </w:r>
      <w:proofErr w:type="gramEnd"/>
      <w:r w:rsidRPr="74F6B64B">
        <w:rPr>
          <w:color w:val="000000" w:themeColor="text1"/>
          <w:sz w:val="22"/>
          <w:szCs w:val="22"/>
          <w:lang w:val="es-ES"/>
        </w:rPr>
        <w:t xml:space="preserve"> la información pertinente relativa al taller, incluido el proyecto de programa, estará disponible en el sitio web del evento en la dirección </w:t>
      </w:r>
      <w:hyperlink r:id="rId14">
        <w:r w:rsidRPr="74F6B64B">
          <w:rPr>
            <w:rStyle w:val="Hyperlink"/>
            <w:sz w:val="22"/>
            <w:szCs w:val="22"/>
          </w:rPr>
          <w:t>https://w</w:t>
        </w:r>
        <w:r w:rsidRPr="74F6B64B">
          <w:rPr>
            <w:rStyle w:val="Hyperlink"/>
            <w:sz w:val="22"/>
            <w:szCs w:val="22"/>
          </w:rPr>
          <w:t>w</w:t>
        </w:r>
        <w:r w:rsidRPr="74F6B64B">
          <w:rPr>
            <w:rStyle w:val="Hyperlink"/>
            <w:sz w:val="22"/>
            <w:szCs w:val="22"/>
          </w:rPr>
          <w:t>w.itu.int/en/ITU-T/Workshops-and-Seminars/2025/1010/Pages/default.aspx</w:t>
        </w:r>
      </w:hyperlink>
      <w:r w:rsidRPr="74F6B64B">
        <w:rPr>
          <w:color w:val="000000" w:themeColor="text1"/>
          <w:sz w:val="22"/>
          <w:szCs w:val="22"/>
          <w:lang w:val="es-ES"/>
        </w:rPr>
        <w:t>. La página web del evento se irá actualizando a medida que se disponga de más información. Se recomienda a los participantes consultar periódicamente la página web para mantenerse al día de las novedades.</w:t>
      </w:r>
    </w:p>
    <w:p w14:paraId="05CF554A" w14:textId="49DFB928" w:rsidR="00B834B0" w:rsidRDefault="00B834B0" w:rsidP="74F6B64B">
      <w:pPr>
        <w:rPr>
          <w:color w:val="000000" w:themeColor="text1"/>
          <w:sz w:val="22"/>
          <w:szCs w:val="22"/>
          <w:lang w:val="es-ES"/>
        </w:rPr>
      </w:pPr>
      <w:r w:rsidRPr="74F6B64B">
        <w:rPr>
          <w:color w:val="000000" w:themeColor="text1"/>
          <w:sz w:val="22"/>
          <w:szCs w:val="22"/>
          <w:lang w:val="es-ES"/>
        </w:rPr>
        <w:t>7</w:t>
      </w:r>
      <w:r>
        <w:tab/>
      </w:r>
      <w:proofErr w:type="gramStart"/>
      <w:r w:rsidRPr="74F6B64B">
        <w:rPr>
          <w:color w:val="000000" w:themeColor="text1"/>
          <w:sz w:val="22"/>
          <w:szCs w:val="22"/>
          <w:lang w:val="es-ES"/>
        </w:rPr>
        <w:t>Recuerde</w:t>
      </w:r>
      <w:proofErr w:type="gramEnd"/>
      <w:r w:rsidRPr="74F6B64B">
        <w:rPr>
          <w:color w:val="000000" w:themeColor="text1"/>
          <w:sz w:val="22"/>
          <w:szCs w:val="22"/>
          <w:lang w:val="es-ES"/>
        </w:rPr>
        <w:t xml:space="preserve"> que los ciudadanos de algunos países necesitan obtener un visado para entrar y permanecer en Suiza. El visado debe solicitarse y obtenerse en la oficina (embajada o consulado) que representa a Suiza en su país o, en su defecto, en la más próxima a su país de partida. La tramitación y aprobación del visado puede demorarse algún tiempo, por lo que se recomienda consultar directamente con la representación adecuada y presentar la solicitud con antelación.</w:t>
      </w:r>
    </w:p>
    <w:p w14:paraId="2D882AE9" w14:textId="77777777" w:rsidR="007B6316" w:rsidRPr="00081FE5" w:rsidRDefault="007B6316" w:rsidP="74F6B64B">
      <w:pPr>
        <w:rPr>
          <w:sz w:val="22"/>
          <w:szCs w:val="22"/>
        </w:rPr>
      </w:pPr>
      <w:r w:rsidRPr="74F6B64B">
        <w:rPr>
          <w:sz w:val="22"/>
          <w:szCs w:val="22"/>
        </w:rPr>
        <w:t>Atentamente,</w:t>
      </w:r>
    </w:p>
    <w:p w14:paraId="2F5A1646" w14:textId="1540F7B2" w:rsidR="007B6316" w:rsidRPr="00081FE5" w:rsidRDefault="007B54B8" w:rsidP="009E0374">
      <w:pPr>
        <w:spacing w:before="720"/>
        <w:rPr>
          <w:sz w:val="22"/>
          <w:szCs w:val="22"/>
        </w:rPr>
      </w:pPr>
      <w:r>
        <w:rPr>
          <w:rFonts w:cstheme="minorBidi"/>
          <w:noProof/>
          <w:sz w:val="22"/>
          <w:szCs w:val="22"/>
          <w:lang w:val="es-ES"/>
        </w:rPr>
        <w:drawing>
          <wp:anchor distT="0" distB="0" distL="114300" distR="114300" simplePos="0" relativeHeight="251658240" behindDoc="1" locked="0" layoutInCell="1" allowOverlap="1" wp14:anchorId="786B2DB8" wp14:editId="5FED915F">
            <wp:simplePos x="0" y="0"/>
            <wp:positionH relativeFrom="margin">
              <wp:align>left</wp:align>
            </wp:positionH>
            <wp:positionV relativeFrom="paragraph">
              <wp:posOffset>68580</wp:posOffset>
            </wp:positionV>
            <wp:extent cx="825542" cy="330217"/>
            <wp:effectExtent l="0" t="0" r="0" b="0"/>
            <wp:wrapNone/>
            <wp:docPr id="138511442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14428" name="Picture 1" descr="A black text on a white background&#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1350B9" w:rsidRPr="74F6B64B">
        <w:rPr>
          <w:rFonts w:cstheme="minorBidi"/>
          <w:sz w:val="22"/>
          <w:szCs w:val="22"/>
          <w:lang w:val="es-ES"/>
        </w:rPr>
        <w:t>Seizo Onoe</w:t>
      </w:r>
      <w:r w:rsidR="001350B9">
        <w:br/>
      </w:r>
      <w:proofErr w:type="gramStart"/>
      <w:r w:rsidR="007B6316" w:rsidRPr="74F6B64B">
        <w:rPr>
          <w:sz w:val="22"/>
          <w:szCs w:val="22"/>
        </w:rPr>
        <w:t>Director</w:t>
      </w:r>
      <w:proofErr w:type="gramEnd"/>
      <w:r w:rsidR="007B6316" w:rsidRPr="74F6B64B">
        <w:rPr>
          <w:sz w:val="22"/>
          <w:szCs w:val="22"/>
        </w:rPr>
        <w:t xml:space="preserve"> de la Oficina de </w:t>
      </w:r>
      <w:r w:rsidR="001350B9">
        <w:br/>
      </w:r>
      <w:r w:rsidR="007B6316" w:rsidRPr="74F6B64B">
        <w:rPr>
          <w:sz w:val="22"/>
          <w:szCs w:val="22"/>
        </w:rPr>
        <w:t>Normalización de las Telecomunicaciones</w:t>
      </w:r>
    </w:p>
    <w:p w14:paraId="2E15398C" w14:textId="77777777" w:rsidR="00401C20" w:rsidRPr="007B6316" w:rsidRDefault="00401C20" w:rsidP="74F6B64B">
      <w:pPr>
        <w:ind w:right="92"/>
        <w:rPr>
          <w:sz w:val="22"/>
          <w:szCs w:val="22"/>
          <w:lang w:val="es-ES"/>
        </w:rPr>
      </w:pPr>
    </w:p>
    <w:sectPr w:rsidR="00401C20" w:rsidRPr="007B6316" w:rsidSect="00B87E9E">
      <w:headerReference w:type="default" r:id="rId16"/>
      <w:footerReference w:type="first" r:id="rId17"/>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6BE86" w14:textId="77777777" w:rsidR="00B834B0" w:rsidRDefault="00B834B0">
      <w:r>
        <w:separator/>
      </w:r>
    </w:p>
  </w:endnote>
  <w:endnote w:type="continuationSeparator" w:id="0">
    <w:p w14:paraId="1A2A8B9B" w14:textId="77777777" w:rsidR="00B834B0" w:rsidRDefault="00B8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6A1F"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 xml:space="preserve">Unión Internacional de Telecomunicaciones • Place des </w:t>
    </w:r>
    <w:proofErr w:type="spellStart"/>
    <w:r w:rsidRPr="00D834E7">
      <w:rPr>
        <w:color w:val="0070C0"/>
        <w:szCs w:val="18"/>
        <w:lang w:val="es-ES"/>
      </w:rPr>
      <w:t>Nations</w:t>
    </w:r>
    <w:proofErr w:type="spellEnd"/>
    <w:r w:rsidRPr="00D834E7">
      <w:rPr>
        <w:color w:val="0070C0"/>
        <w:szCs w:val="18"/>
        <w:lang w:val="es-ES"/>
      </w:rPr>
      <w:t>,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4860" w14:textId="77777777" w:rsidR="00B834B0" w:rsidRDefault="00B834B0">
      <w:r>
        <w:t>____________________</w:t>
      </w:r>
    </w:p>
  </w:footnote>
  <w:footnote w:type="continuationSeparator" w:id="0">
    <w:p w14:paraId="69580309" w14:textId="77777777" w:rsidR="00B834B0" w:rsidRDefault="00B8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AB87" w14:textId="19E3682E"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44205F5D" w14:textId="284349D2" w:rsidR="0011233E" w:rsidRPr="00303D62" w:rsidRDefault="0011233E">
    <w:pPr>
      <w:pStyle w:val="Header"/>
      <w:rPr>
        <w:sz w:val="18"/>
        <w:szCs w:val="18"/>
      </w:rPr>
    </w:pPr>
    <w:r>
      <w:rPr>
        <w:rStyle w:val="PageNumber"/>
        <w:sz w:val="18"/>
        <w:szCs w:val="18"/>
      </w:rPr>
      <w:t>Circular TSB 070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B0"/>
    <w:rsid w:val="00002529"/>
    <w:rsid w:val="00085662"/>
    <w:rsid w:val="000C382F"/>
    <w:rsid w:val="0011233E"/>
    <w:rsid w:val="001173CC"/>
    <w:rsid w:val="001350B9"/>
    <w:rsid w:val="0014464D"/>
    <w:rsid w:val="001A54CC"/>
    <w:rsid w:val="00257FB4"/>
    <w:rsid w:val="002E496E"/>
    <w:rsid w:val="00303D62"/>
    <w:rsid w:val="00335367"/>
    <w:rsid w:val="00370C2D"/>
    <w:rsid w:val="003D1E8D"/>
    <w:rsid w:val="003D673B"/>
    <w:rsid w:val="003F2855"/>
    <w:rsid w:val="00401C20"/>
    <w:rsid w:val="004A7957"/>
    <w:rsid w:val="004C4144"/>
    <w:rsid w:val="0055719E"/>
    <w:rsid w:val="006969B4"/>
    <w:rsid w:val="006E4F7B"/>
    <w:rsid w:val="00781E2A"/>
    <w:rsid w:val="007933A2"/>
    <w:rsid w:val="007B54B8"/>
    <w:rsid w:val="007B6316"/>
    <w:rsid w:val="00814503"/>
    <w:rsid w:val="008258C2"/>
    <w:rsid w:val="008505BD"/>
    <w:rsid w:val="00850C78"/>
    <w:rsid w:val="00871A77"/>
    <w:rsid w:val="00876165"/>
    <w:rsid w:val="00884D12"/>
    <w:rsid w:val="008C17AD"/>
    <w:rsid w:val="008D02CD"/>
    <w:rsid w:val="0091370C"/>
    <w:rsid w:val="0095172A"/>
    <w:rsid w:val="009A0BA0"/>
    <w:rsid w:val="009E0374"/>
    <w:rsid w:val="00A54E47"/>
    <w:rsid w:val="00AB6E3A"/>
    <w:rsid w:val="00AE7093"/>
    <w:rsid w:val="00B422BC"/>
    <w:rsid w:val="00B43F77"/>
    <w:rsid w:val="00B55A3E"/>
    <w:rsid w:val="00B834B0"/>
    <w:rsid w:val="00B87E9E"/>
    <w:rsid w:val="00B95F0A"/>
    <w:rsid w:val="00B96180"/>
    <w:rsid w:val="00C116FE"/>
    <w:rsid w:val="00C17AC0"/>
    <w:rsid w:val="00C34772"/>
    <w:rsid w:val="00C5465A"/>
    <w:rsid w:val="00CB79C0"/>
    <w:rsid w:val="00D54642"/>
    <w:rsid w:val="00D834E7"/>
    <w:rsid w:val="00DD77C9"/>
    <w:rsid w:val="00DF3538"/>
    <w:rsid w:val="00E839B0"/>
    <w:rsid w:val="00E92C09"/>
    <w:rsid w:val="00F14380"/>
    <w:rsid w:val="00F6461F"/>
    <w:rsid w:val="00FC416A"/>
    <w:rsid w:val="00FD2B2D"/>
    <w:rsid w:val="29C590DB"/>
    <w:rsid w:val="417F210B"/>
    <w:rsid w:val="596F43AD"/>
    <w:rsid w:val="66CB859D"/>
    <w:rsid w:val="74F6B6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70C3E"/>
  <w15:docId w15:val="{4A9A95D9-4642-4182-8913-922DA511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B834B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net4/CRM/xreg/web/Login.aspx?src=Registration&amp;Event=C-0001581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Workshops-and-Seminars/2025/1010/Pages/default.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9" ma:contentTypeDescription="Create a new document." ma:contentTypeScope="" ma:versionID="490083ee0a4aa7a202f21754923275be">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e578b2dbc78226ccd8e0f09135a5155d"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4ecfbc6-16ba-4348-96d4-7b09f2f75cd9" xsi:nil="true"/>
    <lcf76f155ced4ddcb4097134ff3c332f xmlns="8c683b18-f2fb-4b6f-9052-787ae4e7014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6402F-7087-49FE-A76D-FD5AAAA27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customXml/itemProps3.xml><?xml version="1.0" encoding="utf-8"?>
<ds:datastoreItem xmlns:ds="http://schemas.openxmlformats.org/officeDocument/2006/customXml" ds:itemID="{0555B1DE-8AF8-4A49-851D-140B82D43D41}">
  <ds:schemaRefs>
    <ds:schemaRef ds:uri="http://schemas.microsoft.com/office/2006/metadata/properties"/>
    <ds:schemaRef ds:uri="http://schemas.microsoft.com/office/infopath/2007/PartnerControls"/>
    <ds:schemaRef ds:uri="b4ecfbc6-16ba-4348-96d4-7b09f2f75cd9"/>
    <ds:schemaRef ds:uri="8c683b18-f2fb-4b6f-9052-787ae4e70144"/>
  </ds:schemaRefs>
</ds:datastoreItem>
</file>

<file path=customXml/itemProps4.xml><?xml version="1.0" encoding="utf-8"?>
<ds:datastoreItem xmlns:ds="http://schemas.openxmlformats.org/officeDocument/2006/customXml" ds:itemID="{53AECEB3-8C2E-43E7-AA60-E064F1D1B7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2</TotalTime>
  <Pages>2</Pages>
  <Words>652</Words>
  <Characters>3717</Characters>
  <Application>Microsoft Office Word</Application>
  <DocSecurity>0</DocSecurity>
  <Lines>30</Lines>
  <Paragraphs>8</Paragraphs>
  <ScaleCrop>false</ScaleCrop>
  <Company>ITU</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8</cp:revision>
  <cp:lastPrinted>2025-12-16T13:40:00Z</cp:lastPrinted>
  <dcterms:created xsi:type="dcterms:W3CDTF">2025-09-26T13:14:00Z</dcterms:created>
  <dcterms:modified xsi:type="dcterms:W3CDTF">2025-12-16T13:41:00Z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0x01010016CECE09D1232E468002275F25FCAE42</vt:lpwstr>
  </property>
  <property fmtid="{D5CDD505-2E9C-101B-9397-08002B2CF9AE}" pid="3" name="MediaServiceImageTags">
    <vt:lpwstr/>
  </property>
</Properties>
</file>