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11DC05B2" w14:textId="77777777" w:rsidTr="1B041EB3">
        <w:trPr>
          <w:cantSplit/>
          <w:trHeight w:val="1134"/>
        </w:trPr>
        <w:tc>
          <w:tcPr>
            <w:tcW w:w="798" w:type="pct"/>
          </w:tcPr>
          <w:p w14:paraId="063001C0" w14:textId="77777777" w:rsidR="00D517B2" w:rsidRPr="00D517B2" w:rsidRDefault="00D517B2" w:rsidP="1B041EB3">
            <w:pPr>
              <w:spacing w:before="0" w:line="240" w:lineRule="auto"/>
              <w:rPr>
                <w:b/>
                <w:bCs/>
                <w:rtl/>
                <w:lang w:bidi="ar-EG"/>
              </w:rPr>
            </w:pPr>
            <w:r>
              <w:rPr>
                <w:noProof/>
              </w:rPr>
              <w:drawing>
                <wp:inline distT="0" distB="0" distL="0" distR="0" wp14:anchorId="14956152" wp14:editId="7A27946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ABFD566" w14:textId="77777777" w:rsidR="00D517B2" w:rsidRPr="00D517B2" w:rsidRDefault="00D517B2" w:rsidP="1B041EB3">
            <w:pPr>
              <w:spacing w:before="200"/>
              <w:rPr>
                <w:b/>
                <w:bCs/>
                <w:rtl/>
              </w:rPr>
            </w:pPr>
            <w:r w:rsidRPr="1B041EB3">
              <w:rPr>
                <w:b/>
                <w:bCs/>
                <w:rtl/>
              </w:rPr>
              <w:t>الاتحـاد الدولـي للاتصـالات</w:t>
            </w:r>
          </w:p>
          <w:p w14:paraId="2C6AA22B" w14:textId="77777777" w:rsidR="00D517B2" w:rsidRPr="00D517B2" w:rsidRDefault="00D517B2" w:rsidP="1B041EB3">
            <w:pPr>
              <w:spacing w:before="60"/>
              <w:rPr>
                <w:b/>
                <w:bCs/>
                <w:rtl/>
                <w:lang w:bidi="ar-EG"/>
              </w:rPr>
            </w:pPr>
            <w:r w:rsidRPr="1B041EB3">
              <w:rPr>
                <w:b/>
                <w:bCs/>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477CA994" w14:textId="77777777" w:rsidTr="1B041EB3">
        <w:trPr>
          <w:cantSplit/>
          <w:jc w:val="center"/>
        </w:trPr>
        <w:tc>
          <w:tcPr>
            <w:tcW w:w="810" w:type="pct"/>
          </w:tcPr>
          <w:p w14:paraId="40D32860" w14:textId="77777777" w:rsidR="00D517B2" w:rsidRPr="00D517B2" w:rsidRDefault="00D517B2" w:rsidP="1B041EB3">
            <w:pPr>
              <w:spacing w:line="300" w:lineRule="exact"/>
              <w:jc w:val="left"/>
              <w:rPr>
                <w:position w:val="2"/>
              </w:rPr>
            </w:pPr>
          </w:p>
        </w:tc>
        <w:tc>
          <w:tcPr>
            <w:tcW w:w="1984" w:type="pct"/>
          </w:tcPr>
          <w:p w14:paraId="7FC0B2E1" w14:textId="77777777" w:rsidR="00D517B2" w:rsidRPr="00D517B2" w:rsidRDefault="00D517B2" w:rsidP="1B041EB3">
            <w:pPr>
              <w:spacing w:line="300" w:lineRule="exact"/>
              <w:jc w:val="left"/>
              <w:rPr>
                <w:position w:val="2"/>
              </w:rPr>
            </w:pPr>
          </w:p>
        </w:tc>
        <w:tc>
          <w:tcPr>
            <w:tcW w:w="2206" w:type="pct"/>
          </w:tcPr>
          <w:p w14:paraId="1E9B50EF" w14:textId="77777777" w:rsidR="00D517B2" w:rsidRPr="00873469" w:rsidRDefault="00D517B2" w:rsidP="1B041EB3">
            <w:pPr>
              <w:spacing w:line="300" w:lineRule="exact"/>
              <w:jc w:val="left"/>
              <w:rPr>
                <w:position w:val="2"/>
                <w:lang w:bidi="ar-EG"/>
              </w:rPr>
            </w:pPr>
          </w:p>
        </w:tc>
      </w:tr>
      <w:tr w:rsidR="00D517B2" w:rsidRPr="00D517B2" w14:paraId="5F43495B" w14:textId="77777777" w:rsidTr="1B041EB3">
        <w:trPr>
          <w:cantSplit/>
          <w:jc w:val="center"/>
        </w:trPr>
        <w:tc>
          <w:tcPr>
            <w:tcW w:w="810" w:type="pct"/>
          </w:tcPr>
          <w:p w14:paraId="14827AEB" w14:textId="77777777" w:rsidR="00D517B2" w:rsidRPr="00D517B2" w:rsidRDefault="00D517B2" w:rsidP="1B041EB3">
            <w:pPr>
              <w:spacing w:before="80" w:line="300" w:lineRule="exact"/>
              <w:jc w:val="left"/>
              <w:rPr>
                <w:position w:val="2"/>
              </w:rPr>
            </w:pPr>
          </w:p>
        </w:tc>
        <w:tc>
          <w:tcPr>
            <w:tcW w:w="1984" w:type="pct"/>
          </w:tcPr>
          <w:p w14:paraId="6CB24F47" w14:textId="77777777" w:rsidR="00D517B2" w:rsidRPr="00D517B2" w:rsidRDefault="00D517B2" w:rsidP="1B041EB3">
            <w:pPr>
              <w:spacing w:before="80" w:line="300" w:lineRule="exact"/>
              <w:jc w:val="left"/>
              <w:rPr>
                <w:position w:val="2"/>
                <w:lang w:bidi="ar-EG"/>
              </w:rPr>
            </w:pPr>
          </w:p>
        </w:tc>
        <w:tc>
          <w:tcPr>
            <w:tcW w:w="2206" w:type="pct"/>
          </w:tcPr>
          <w:p w14:paraId="0F9842B1" w14:textId="2E6AEF5E" w:rsidR="00D517B2" w:rsidRPr="00D517B2" w:rsidRDefault="00873469" w:rsidP="1B041EB3">
            <w:pPr>
              <w:spacing w:before="80" w:line="300" w:lineRule="exact"/>
              <w:jc w:val="left"/>
              <w:rPr>
                <w:position w:val="2"/>
                <w:rtl/>
                <w:lang w:bidi="ar-EG"/>
              </w:rPr>
            </w:pPr>
            <w:r w:rsidRPr="1B041EB3">
              <w:rPr>
                <w:position w:val="2"/>
                <w:rtl/>
              </w:rPr>
              <w:t xml:space="preserve">جنيف، </w:t>
            </w:r>
            <w:r w:rsidR="00175253" w:rsidRPr="1B041EB3">
              <w:rPr>
                <w:position w:val="2"/>
                <w:rtl/>
              </w:rPr>
              <w:t>10 سبتمبر</w:t>
            </w:r>
            <w:r w:rsidR="007139D8" w:rsidRPr="1B041EB3">
              <w:rPr>
                <w:position w:val="2"/>
                <w:rtl/>
              </w:rPr>
              <w:t xml:space="preserve"> 2025</w:t>
            </w:r>
          </w:p>
        </w:tc>
      </w:tr>
      <w:tr w:rsidR="00ED4590" w:rsidRPr="00D517B2" w14:paraId="08BABEC7" w14:textId="77777777" w:rsidTr="1B041EB3">
        <w:trPr>
          <w:cantSplit/>
          <w:jc w:val="center"/>
        </w:trPr>
        <w:tc>
          <w:tcPr>
            <w:tcW w:w="810" w:type="pct"/>
          </w:tcPr>
          <w:p w14:paraId="336205B8" w14:textId="77777777" w:rsidR="00ED4590" w:rsidRPr="00A9156F" w:rsidRDefault="00ED4590" w:rsidP="1B041EB3">
            <w:pPr>
              <w:spacing w:before="80" w:after="60" w:line="300" w:lineRule="exact"/>
              <w:jc w:val="left"/>
              <w:rPr>
                <w:b/>
                <w:bCs/>
                <w:position w:val="2"/>
              </w:rPr>
            </w:pPr>
            <w:r w:rsidRPr="1B041EB3">
              <w:rPr>
                <w:b/>
                <w:bCs/>
                <w:position w:val="2"/>
                <w:rtl/>
              </w:rPr>
              <w:t>المرجع</w:t>
            </w:r>
            <w:r w:rsidRPr="1B041EB3">
              <w:rPr>
                <w:b/>
                <w:bCs/>
                <w:position w:val="2"/>
              </w:rPr>
              <w:t>:</w:t>
            </w:r>
          </w:p>
        </w:tc>
        <w:tc>
          <w:tcPr>
            <w:tcW w:w="1984" w:type="pct"/>
          </w:tcPr>
          <w:p w14:paraId="52823FA1" w14:textId="0E772E8B" w:rsidR="00ED4590" w:rsidRPr="00A87080" w:rsidRDefault="00ED4590" w:rsidP="1B041EB3">
            <w:pPr>
              <w:spacing w:before="80" w:after="60" w:line="300" w:lineRule="exact"/>
              <w:jc w:val="left"/>
              <w:rPr>
                <w:b/>
                <w:bCs/>
                <w:position w:val="2"/>
              </w:rPr>
            </w:pPr>
            <w:r w:rsidRPr="1B041EB3">
              <w:rPr>
                <w:b/>
                <w:bCs/>
                <w:position w:val="2"/>
              </w:rPr>
              <w:t>TSB Circular 070</w:t>
            </w:r>
            <w:r w:rsidRPr="00A87080">
              <w:rPr>
                <w:b/>
                <w:position w:val="2"/>
              </w:rPr>
              <w:br/>
            </w:r>
            <w:r w:rsidRPr="1B041EB3">
              <w:rPr>
                <w:b/>
                <w:bCs/>
                <w:position w:val="2"/>
              </w:rPr>
              <w:t>TSB Events/SC</w:t>
            </w:r>
          </w:p>
        </w:tc>
        <w:tc>
          <w:tcPr>
            <w:tcW w:w="2206" w:type="pct"/>
            <w:vMerge w:val="restart"/>
          </w:tcPr>
          <w:p w14:paraId="69CFF0E2" w14:textId="77777777" w:rsidR="00ED4590" w:rsidRPr="00A87080" w:rsidRDefault="00ED4590" w:rsidP="1B041EB3">
            <w:pPr>
              <w:tabs>
                <w:tab w:val="clear" w:pos="794"/>
                <w:tab w:val="left" w:pos="284"/>
              </w:tabs>
              <w:spacing w:before="80" w:after="60" w:line="300" w:lineRule="exact"/>
              <w:jc w:val="left"/>
              <w:rPr>
                <w:b/>
                <w:bCs/>
                <w:position w:val="2"/>
                <w:rtl/>
                <w:lang w:bidi="ar-EG"/>
              </w:rPr>
            </w:pPr>
            <w:r w:rsidRPr="1B041EB3">
              <w:rPr>
                <w:b/>
                <w:bCs/>
                <w:position w:val="2"/>
                <w:rtl/>
              </w:rPr>
              <w:t>إلى</w:t>
            </w:r>
            <w:r w:rsidRPr="1B041EB3">
              <w:rPr>
                <w:b/>
                <w:bCs/>
                <w:position w:val="2"/>
              </w:rPr>
              <w:t>:</w:t>
            </w:r>
          </w:p>
          <w:p w14:paraId="6958EF6E" w14:textId="77777777" w:rsidR="00ED4590" w:rsidRPr="00A87080" w:rsidRDefault="00ED4590" w:rsidP="1B041EB3">
            <w:pPr>
              <w:tabs>
                <w:tab w:val="clear" w:pos="794"/>
                <w:tab w:val="left" w:pos="284"/>
              </w:tabs>
              <w:spacing w:before="80" w:after="60" w:line="300" w:lineRule="exact"/>
              <w:ind w:left="284" w:hanging="284"/>
              <w:jc w:val="left"/>
              <w:rPr>
                <w:position w:val="2"/>
                <w:rtl/>
              </w:rPr>
            </w:pPr>
            <w:r w:rsidRPr="1B041EB3">
              <w:rPr>
                <w:position w:val="2"/>
              </w:rPr>
              <w:t>-</w:t>
            </w:r>
            <w:r w:rsidRPr="00A87080">
              <w:rPr>
                <w:position w:val="2"/>
                <w:rtl/>
              </w:rPr>
              <w:tab/>
            </w:r>
            <w:r w:rsidRPr="1B041EB3">
              <w:rPr>
                <w:position w:val="2"/>
                <w:rtl/>
              </w:rPr>
              <w:t xml:space="preserve">إدارات الدول الأعضاء في </w:t>
            </w:r>
            <w:proofErr w:type="gramStart"/>
            <w:r w:rsidRPr="1B041EB3">
              <w:rPr>
                <w:position w:val="2"/>
                <w:rtl/>
              </w:rPr>
              <w:t>الاتحاد؛</w:t>
            </w:r>
            <w:proofErr w:type="gramEnd"/>
          </w:p>
          <w:p w14:paraId="7B3FDE2C" w14:textId="27768271" w:rsidR="00ED4590" w:rsidRPr="00A87080" w:rsidRDefault="00ED4590" w:rsidP="1B041EB3">
            <w:pPr>
              <w:tabs>
                <w:tab w:val="left" w:pos="284"/>
                <w:tab w:val="left" w:pos="4111"/>
              </w:tabs>
              <w:spacing w:before="80" w:after="60" w:line="300" w:lineRule="exact"/>
              <w:ind w:left="284" w:hanging="284"/>
              <w:rPr>
                <w:position w:val="2"/>
                <w:rtl/>
              </w:rPr>
            </w:pPr>
            <w:r w:rsidRPr="1B041EB3">
              <w:rPr>
                <w:position w:val="2"/>
              </w:rPr>
              <w:t>-</w:t>
            </w:r>
            <w:r w:rsidRPr="00A87080">
              <w:rPr>
                <w:position w:val="2"/>
                <w:rtl/>
              </w:rPr>
              <w:tab/>
            </w:r>
            <w:r w:rsidRPr="1B041EB3">
              <w:rPr>
                <w:position w:val="2"/>
                <w:rtl/>
              </w:rPr>
              <w:t>دولة فلسطين (القرار 99 (المراجَع في دبي، 2018</w:t>
            </w:r>
            <w:proofErr w:type="gramStart"/>
            <w:r w:rsidRPr="1B041EB3">
              <w:rPr>
                <w:position w:val="2"/>
                <w:rtl/>
              </w:rPr>
              <w:t>))؛</w:t>
            </w:r>
            <w:proofErr w:type="gramEnd"/>
          </w:p>
          <w:p w14:paraId="13E64D4B" w14:textId="43A99C56" w:rsidR="00ED4590" w:rsidRPr="00A87080" w:rsidRDefault="00ED4590" w:rsidP="1B041EB3">
            <w:pPr>
              <w:tabs>
                <w:tab w:val="left" w:pos="284"/>
                <w:tab w:val="left" w:pos="4111"/>
              </w:tabs>
              <w:spacing w:before="80" w:after="60" w:line="300" w:lineRule="exact"/>
              <w:ind w:left="284" w:hanging="284"/>
              <w:rPr>
                <w:position w:val="2"/>
                <w:rtl/>
                <w:lang w:bidi="ar-EG"/>
              </w:rPr>
            </w:pPr>
            <w:r w:rsidRPr="1B041EB3">
              <w:rPr>
                <w:position w:val="2"/>
              </w:rPr>
              <w:t>-</w:t>
            </w:r>
            <w:r w:rsidRPr="00A87080">
              <w:rPr>
                <w:position w:val="2"/>
                <w:rtl/>
              </w:rPr>
              <w:tab/>
            </w:r>
            <w:r w:rsidRPr="1B041EB3">
              <w:rPr>
                <w:position w:val="2"/>
                <w:rtl/>
                <w:lang w:bidi="ar-EG"/>
              </w:rPr>
              <w:t xml:space="preserve">أعضاء قطاع تقييس الاتصالات </w:t>
            </w:r>
            <w:proofErr w:type="gramStart"/>
            <w:r w:rsidRPr="1B041EB3">
              <w:rPr>
                <w:position w:val="2"/>
                <w:rtl/>
                <w:lang w:bidi="ar-EG"/>
              </w:rPr>
              <w:t>بالاتحاد؛</w:t>
            </w:r>
            <w:proofErr w:type="gramEnd"/>
          </w:p>
          <w:p w14:paraId="052FF32B" w14:textId="77777777" w:rsidR="00ED4590" w:rsidRPr="00A87080" w:rsidRDefault="00ED4590" w:rsidP="1B041EB3">
            <w:pPr>
              <w:tabs>
                <w:tab w:val="left" w:pos="284"/>
                <w:tab w:val="left" w:pos="4111"/>
              </w:tabs>
              <w:spacing w:before="80" w:after="60" w:line="300" w:lineRule="exact"/>
              <w:ind w:left="284" w:hanging="284"/>
              <w:rPr>
                <w:position w:val="2"/>
                <w:rtl/>
                <w:lang w:bidi="ar-EG"/>
              </w:rPr>
            </w:pPr>
            <w:r w:rsidRPr="1B041EB3">
              <w:rPr>
                <w:position w:val="2"/>
              </w:rPr>
              <w:t>-</w:t>
            </w:r>
            <w:r w:rsidRPr="00A87080">
              <w:rPr>
                <w:position w:val="2"/>
                <w:rtl/>
              </w:rPr>
              <w:tab/>
            </w:r>
            <w:r w:rsidRPr="1B041EB3">
              <w:rPr>
                <w:position w:val="2"/>
                <w:rtl/>
              </w:rPr>
              <w:t xml:space="preserve">المنتسبين إلى قطاع تقييس </w:t>
            </w:r>
            <w:proofErr w:type="gramStart"/>
            <w:r w:rsidRPr="1B041EB3">
              <w:rPr>
                <w:position w:val="2"/>
                <w:rtl/>
              </w:rPr>
              <w:t>الاتصالات؛</w:t>
            </w:r>
            <w:proofErr w:type="gramEnd"/>
          </w:p>
          <w:p w14:paraId="1B905F96" w14:textId="77777777" w:rsidR="00ED4590" w:rsidRPr="00A87080" w:rsidRDefault="00ED4590" w:rsidP="1B041EB3">
            <w:pPr>
              <w:tabs>
                <w:tab w:val="clear" w:pos="794"/>
                <w:tab w:val="left" w:pos="284"/>
              </w:tabs>
              <w:spacing w:before="80" w:after="60" w:line="300" w:lineRule="exact"/>
              <w:ind w:left="284" w:hanging="284"/>
              <w:jc w:val="left"/>
              <w:rPr>
                <w:position w:val="2"/>
                <w:rtl/>
              </w:rPr>
            </w:pPr>
            <w:r w:rsidRPr="1B041EB3">
              <w:rPr>
                <w:position w:val="2"/>
              </w:rPr>
              <w:t>-</w:t>
            </w:r>
            <w:r w:rsidRPr="00A87080">
              <w:rPr>
                <w:position w:val="2"/>
                <w:rtl/>
              </w:rPr>
              <w:tab/>
            </w:r>
            <w:r w:rsidRPr="1B041EB3">
              <w:rPr>
                <w:position w:val="2"/>
                <w:rtl/>
              </w:rPr>
              <w:t>الهيئات الأكاديمية المنضمة إلى</w:t>
            </w:r>
            <w:r w:rsidRPr="1B041EB3">
              <w:rPr>
                <w:position w:val="2"/>
                <w:rtl/>
                <w:lang w:bidi="ar-EG"/>
              </w:rPr>
              <w:t xml:space="preserve"> الاتحاد</w:t>
            </w:r>
          </w:p>
          <w:p w14:paraId="0CAFC25B" w14:textId="77777777" w:rsidR="00ED4590" w:rsidRPr="00A87080" w:rsidRDefault="00ED4590" w:rsidP="1B041EB3">
            <w:pPr>
              <w:tabs>
                <w:tab w:val="clear" w:pos="794"/>
                <w:tab w:val="left" w:pos="284"/>
              </w:tabs>
              <w:spacing w:before="80" w:after="60" w:line="300" w:lineRule="exact"/>
              <w:ind w:left="284" w:hanging="284"/>
              <w:jc w:val="left"/>
              <w:rPr>
                <w:b/>
                <w:bCs/>
                <w:position w:val="2"/>
                <w:rtl/>
              </w:rPr>
            </w:pPr>
            <w:r w:rsidRPr="1B041EB3">
              <w:rPr>
                <w:b/>
                <w:bCs/>
                <w:position w:val="2"/>
                <w:rtl/>
              </w:rPr>
              <w:t>نسخة إلى</w:t>
            </w:r>
            <w:r w:rsidRPr="1B041EB3">
              <w:rPr>
                <w:b/>
                <w:bCs/>
                <w:position w:val="2"/>
              </w:rPr>
              <w:t>:</w:t>
            </w:r>
          </w:p>
          <w:p w14:paraId="4DBFCDC3" w14:textId="77777777" w:rsidR="00ED4590" w:rsidRPr="00A87080" w:rsidRDefault="00ED4590" w:rsidP="1B041EB3">
            <w:pPr>
              <w:tabs>
                <w:tab w:val="left" w:pos="284"/>
                <w:tab w:val="left" w:pos="4111"/>
              </w:tabs>
              <w:spacing w:before="80" w:after="60" w:line="300" w:lineRule="exact"/>
              <w:ind w:left="284" w:hanging="284"/>
              <w:rPr>
                <w:rFonts w:eastAsia="Times New Roman"/>
                <w:position w:val="2"/>
                <w:rtl/>
                <w:lang w:eastAsia="en-US"/>
              </w:rPr>
            </w:pPr>
            <w:r w:rsidRPr="1B041EB3">
              <w:rPr>
                <w:position w:val="2"/>
              </w:rPr>
              <w:t>-</w:t>
            </w:r>
            <w:r w:rsidRPr="00A87080">
              <w:rPr>
                <w:position w:val="2"/>
                <w:rtl/>
              </w:rPr>
              <w:tab/>
            </w:r>
            <w:r w:rsidRPr="1B041EB3">
              <w:rPr>
                <w:rFonts w:eastAsia="Times New Roman"/>
                <w:position w:val="2"/>
                <w:rtl/>
                <w:lang w:eastAsia="en-US"/>
              </w:rPr>
              <w:t>رؤساء لجان الدراسات</w:t>
            </w:r>
            <w:r w:rsidRPr="1B041EB3">
              <w:rPr>
                <w:rFonts w:eastAsia="Times New Roman"/>
                <w:position w:val="2"/>
                <w:rtl/>
                <w:lang w:eastAsia="en-US" w:bidi="ar-EG"/>
              </w:rPr>
              <w:t xml:space="preserve"> </w:t>
            </w:r>
            <w:proofErr w:type="gramStart"/>
            <w:r w:rsidRPr="1B041EB3">
              <w:rPr>
                <w:rFonts w:eastAsia="Times New Roman"/>
                <w:position w:val="2"/>
                <w:rtl/>
                <w:lang w:eastAsia="en-US" w:bidi="ar-EG"/>
              </w:rPr>
              <w:t>ونوابهم</w:t>
            </w:r>
            <w:r w:rsidRPr="1B041EB3">
              <w:rPr>
                <w:rFonts w:eastAsia="Times New Roman"/>
                <w:position w:val="2"/>
                <w:rtl/>
                <w:lang w:eastAsia="en-US"/>
              </w:rPr>
              <w:t>؛</w:t>
            </w:r>
            <w:proofErr w:type="gramEnd"/>
          </w:p>
          <w:p w14:paraId="52458E3A" w14:textId="77777777" w:rsidR="00ED4590" w:rsidRPr="00A87080" w:rsidRDefault="00ED4590" w:rsidP="1B041EB3">
            <w:pPr>
              <w:tabs>
                <w:tab w:val="left" w:pos="284"/>
                <w:tab w:val="left" w:pos="4111"/>
              </w:tabs>
              <w:spacing w:before="80" w:after="60" w:line="300" w:lineRule="exact"/>
              <w:ind w:left="284" w:hanging="284"/>
              <w:rPr>
                <w:rFonts w:eastAsia="Times New Roman"/>
                <w:position w:val="2"/>
                <w:rtl/>
                <w:lang w:eastAsia="en-US"/>
              </w:rPr>
            </w:pPr>
            <w:r w:rsidRPr="1B041EB3">
              <w:rPr>
                <w:rFonts w:eastAsia="Times New Roman"/>
                <w:position w:val="2"/>
                <w:lang w:eastAsia="en-US"/>
              </w:rPr>
              <w:t>-</w:t>
            </w:r>
            <w:r w:rsidRPr="00A87080">
              <w:rPr>
                <w:rFonts w:eastAsia="Times New Roman"/>
                <w:position w:val="2"/>
                <w:rtl/>
                <w:lang w:eastAsia="en-US"/>
              </w:rPr>
              <w:tab/>
            </w:r>
            <w:r w:rsidRPr="1B041EB3">
              <w:rPr>
                <w:rFonts w:eastAsia="Times New Roman"/>
                <w:position w:val="2"/>
                <w:rtl/>
                <w:lang w:eastAsia="en-US"/>
              </w:rPr>
              <w:t xml:space="preserve">مدير مكتب تنمية </w:t>
            </w:r>
            <w:proofErr w:type="gramStart"/>
            <w:r w:rsidRPr="1B041EB3">
              <w:rPr>
                <w:rFonts w:eastAsia="Times New Roman"/>
                <w:position w:val="2"/>
                <w:rtl/>
                <w:lang w:eastAsia="en-US"/>
              </w:rPr>
              <w:t>الاتصالات؛</w:t>
            </w:r>
            <w:proofErr w:type="gramEnd"/>
          </w:p>
          <w:p w14:paraId="516E1F7C" w14:textId="77777777" w:rsidR="00ED4590" w:rsidRPr="00A87080" w:rsidRDefault="00ED4590" w:rsidP="1B041EB3">
            <w:pPr>
              <w:tabs>
                <w:tab w:val="left" w:pos="284"/>
                <w:tab w:val="left" w:pos="4111"/>
              </w:tabs>
              <w:spacing w:before="80" w:after="60" w:line="300" w:lineRule="exact"/>
              <w:ind w:left="284" w:hanging="284"/>
              <w:rPr>
                <w:position w:val="2"/>
                <w:rtl/>
              </w:rPr>
            </w:pPr>
            <w:r w:rsidRPr="1B041EB3">
              <w:rPr>
                <w:rFonts w:eastAsia="Times New Roman"/>
                <w:position w:val="2"/>
                <w:lang w:eastAsia="en-US"/>
              </w:rPr>
              <w:t>-</w:t>
            </w:r>
            <w:r w:rsidRPr="00A87080">
              <w:rPr>
                <w:rFonts w:eastAsia="Times New Roman"/>
                <w:position w:val="2"/>
                <w:rtl/>
                <w:lang w:eastAsia="en-US"/>
              </w:rPr>
              <w:tab/>
            </w:r>
            <w:r w:rsidRPr="1B041EB3">
              <w:rPr>
                <w:rFonts w:eastAsia="Times New Roman"/>
                <w:position w:val="2"/>
                <w:rtl/>
                <w:lang w:eastAsia="en-US"/>
              </w:rPr>
              <w:t>مدير مكتب الاتصالات الراديوية</w:t>
            </w:r>
          </w:p>
        </w:tc>
      </w:tr>
      <w:tr w:rsidR="00ED4590" w:rsidRPr="00D517B2" w14:paraId="4845715C" w14:textId="77777777" w:rsidTr="1B041EB3">
        <w:trPr>
          <w:cantSplit/>
          <w:jc w:val="center"/>
        </w:trPr>
        <w:tc>
          <w:tcPr>
            <w:tcW w:w="810" w:type="pct"/>
          </w:tcPr>
          <w:p w14:paraId="7F358CE4" w14:textId="77777777" w:rsidR="00ED4590" w:rsidRPr="00A9156F" w:rsidRDefault="00ED4590" w:rsidP="1B041EB3">
            <w:pPr>
              <w:spacing w:before="80" w:after="60" w:line="300" w:lineRule="exact"/>
              <w:jc w:val="left"/>
              <w:rPr>
                <w:b/>
                <w:bCs/>
                <w:position w:val="2"/>
                <w:lang w:bidi="ar-EG"/>
              </w:rPr>
            </w:pPr>
            <w:r w:rsidRPr="1B041EB3">
              <w:rPr>
                <w:b/>
                <w:bCs/>
                <w:position w:val="2"/>
                <w:rtl/>
                <w:lang w:bidi="ar-EG"/>
              </w:rPr>
              <w:t>للاتصال</w:t>
            </w:r>
            <w:r w:rsidRPr="1B041EB3">
              <w:rPr>
                <w:b/>
                <w:bCs/>
                <w:position w:val="2"/>
                <w:lang w:bidi="ar-EG"/>
              </w:rPr>
              <w:t>:</w:t>
            </w:r>
          </w:p>
        </w:tc>
        <w:tc>
          <w:tcPr>
            <w:tcW w:w="1984" w:type="pct"/>
          </w:tcPr>
          <w:p w14:paraId="446AF44C" w14:textId="6113A75A" w:rsidR="00ED4590" w:rsidRPr="00D517B2" w:rsidRDefault="00ED4590" w:rsidP="1B041EB3">
            <w:pPr>
              <w:spacing w:before="80" w:after="60" w:line="300" w:lineRule="exact"/>
              <w:jc w:val="left"/>
              <w:rPr>
                <w:b/>
                <w:bCs/>
                <w:position w:val="2"/>
              </w:rPr>
            </w:pPr>
            <w:r w:rsidRPr="1B041EB3">
              <w:rPr>
                <w:position w:val="2"/>
              </w:rPr>
              <w:t>Stefano Polidori</w:t>
            </w:r>
          </w:p>
        </w:tc>
        <w:tc>
          <w:tcPr>
            <w:tcW w:w="2206" w:type="pct"/>
            <w:vMerge/>
          </w:tcPr>
          <w:p w14:paraId="562AEFFC" w14:textId="77777777" w:rsidR="00ED4590" w:rsidRPr="00D517B2" w:rsidRDefault="00ED4590" w:rsidP="00175253">
            <w:pPr>
              <w:tabs>
                <w:tab w:val="left" w:pos="284"/>
                <w:tab w:val="left" w:pos="4111"/>
              </w:tabs>
              <w:spacing w:before="80" w:after="60" w:line="300" w:lineRule="exact"/>
              <w:ind w:left="284" w:hanging="284"/>
              <w:rPr>
                <w:position w:val="2"/>
                <w:rtl/>
              </w:rPr>
            </w:pPr>
          </w:p>
        </w:tc>
      </w:tr>
      <w:tr w:rsidR="00ED4590" w:rsidRPr="00D517B2" w14:paraId="6D47D451" w14:textId="77777777" w:rsidTr="1B041EB3">
        <w:trPr>
          <w:cantSplit/>
          <w:jc w:val="center"/>
        </w:trPr>
        <w:tc>
          <w:tcPr>
            <w:tcW w:w="810" w:type="pct"/>
          </w:tcPr>
          <w:p w14:paraId="2B1AB5F5" w14:textId="2DA9D674" w:rsidR="00ED4590" w:rsidRDefault="00ED4590" w:rsidP="1B041EB3">
            <w:pPr>
              <w:spacing w:before="80" w:after="60" w:line="300" w:lineRule="exact"/>
              <w:jc w:val="left"/>
              <w:rPr>
                <w:b/>
                <w:bCs/>
                <w:position w:val="2"/>
                <w:rtl/>
                <w:lang w:bidi="ar-EG"/>
              </w:rPr>
            </w:pPr>
            <w:r w:rsidRPr="1B041EB3">
              <w:rPr>
                <w:b/>
                <w:bCs/>
                <w:position w:val="2"/>
                <w:rtl/>
                <w:lang w:bidi="ar-EG"/>
              </w:rPr>
              <w:t>الهاتف</w:t>
            </w:r>
            <w:r w:rsidRPr="1B041EB3">
              <w:rPr>
                <w:b/>
                <w:bCs/>
                <w:position w:val="2"/>
              </w:rPr>
              <w:t>:</w:t>
            </w:r>
          </w:p>
        </w:tc>
        <w:tc>
          <w:tcPr>
            <w:tcW w:w="1984" w:type="pct"/>
          </w:tcPr>
          <w:p w14:paraId="3AC3422F" w14:textId="1113427D" w:rsidR="00ED4590" w:rsidRPr="00175253" w:rsidRDefault="00ED4590" w:rsidP="1B041EB3">
            <w:pPr>
              <w:spacing w:before="80" w:after="60" w:line="300" w:lineRule="exact"/>
              <w:jc w:val="left"/>
              <w:rPr>
                <w:rtl/>
              </w:rPr>
            </w:pPr>
            <w:r w:rsidRPr="1B041EB3">
              <w:t>+41 22 730 5858</w:t>
            </w:r>
          </w:p>
        </w:tc>
        <w:tc>
          <w:tcPr>
            <w:tcW w:w="2206" w:type="pct"/>
            <w:vMerge/>
          </w:tcPr>
          <w:p w14:paraId="6FCED82B" w14:textId="77777777" w:rsidR="00ED4590" w:rsidRPr="00D517B2" w:rsidRDefault="00ED4590" w:rsidP="00ED4590">
            <w:pPr>
              <w:tabs>
                <w:tab w:val="left" w:pos="284"/>
                <w:tab w:val="left" w:pos="4111"/>
              </w:tabs>
              <w:spacing w:before="80" w:after="60" w:line="300" w:lineRule="exact"/>
              <w:ind w:left="284" w:hanging="284"/>
              <w:rPr>
                <w:position w:val="2"/>
                <w:rtl/>
              </w:rPr>
            </w:pPr>
          </w:p>
        </w:tc>
      </w:tr>
      <w:tr w:rsidR="00ED4590" w:rsidRPr="00D517B2" w14:paraId="32F5EFD2" w14:textId="77777777" w:rsidTr="1B041EB3">
        <w:trPr>
          <w:cantSplit/>
          <w:trHeight w:val="334"/>
          <w:jc w:val="center"/>
        </w:trPr>
        <w:tc>
          <w:tcPr>
            <w:tcW w:w="810" w:type="pct"/>
          </w:tcPr>
          <w:p w14:paraId="77A91A70" w14:textId="2E07882B" w:rsidR="00ED4590" w:rsidRPr="00A9156F" w:rsidRDefault="00ED4590" w:rsidP="1B041EB3">
            <w:pPr>
              <w:spacing w:before="80" w:after="60" w:line="300" w:lineRule="exact"/>
              <w:jc w:val="left"/>
              <w:rPr>
                <w:b/>
                <w:bCs/>
                <w:position w:val="2"/>
                <w:rtl/>
              </w:rPr>
            </w:pPr>
            <w:r w:rsidRPr="1B041EB3">
              <w:rPr>
                <w:b/>
                <w:bCs/>
                <w:position w:val="2"/>
                <w:rtl/>
                <w:lang w:bidi="ar-EG"/>
              </w:rPr>
              <w:t>الفاكس</w:t>
            </w:r>
            <w:r w:rsidRPr="1B041EB3">
              <w:rPr>
                <w:b/>
                <w:bCs/>
                <w:position w:val="2"/>
              </w:rPr>
              <w:t>:</w:t>
            </w:r>
          </w:p>
        </w:tc>
        <w:tc>
          <w:tcPr>
            <w:tcW w:w="1984" w:type="pct"/>
          </w:tcPr>
          <w:p w14:paraId="2D6833FF" w14:textId="2AEA7181" w:rsidR="00ED4590" w:rsidRPr="00D517B2" w:rsidRDefault="00ED4590" w:rsidP="1B041EB3">
            <w:pPr>
              <w:spacing w:before="80" w:after="60" w:line="300" w:lineRule="exact"/>
              <w:jc w:val="left"/>
              <w:rPr>
                <w:position w:val="2"/>
              </w:rPr>
            </w:pPr>
            <w:r w:rsidRPr="1B041EB3">
              <w:t>+41 22 730 5853</w:t>
            </w:r>
          </w:p>
        </w:tc>
        <w:tc>
          <w:tcPr>
            <w:tcW w:w="2206" w:type="pct"/>
            <w:vMerge/>
          </w:tcPr>
          <w:p w14:paraId="119F9A7A" w14:textId="77777777" w:rsidR="00ED4590" w:rsidRPr="00D517B2" w:rsidRDefault="00ED4590" w:rsidP="00ED4590">
            <w:pPr>
              <w:tabs>
                <w:tab w:val="left" w:pos="284"/>
                <w:tab w:val="left" w:pos="4111"/>
              </w:tabs>
              <w:spacing w:before="80" w:after="60" w:line="300" w:lineRule="exact"/>
              <w:ind w:left="284" w:hanging="284"/>
              <w:rPr>
                <w:position w:val="2"/>
                <w:rtl/>
              </w:rPr>
            </w:pPr>
          </w:p>
        </w:tc>
      </w:tr>
      <w:tr w:rsidR="00ED4590" w:rsidRPr="00D517B2" w14:paraId="7CBC37EA" w14:textId="77777777" w:rsidTr="1B041EB3">
        <w:trPr>
          <w:cantSplit/>
          <w:trHeight w:val="334"/>
          <w:jc w:val="center"/>
        </w:trPr>
        <w:tc>
          <w:tcPr>
            <w:tcW w:w="810" w:type="pct"/>
          </w:tcPr>
          <w:p w14:paraId="608FAF82" w14:textId="756F675A" w:rsidR="00ED4590" w:rsidRPr="00A9156F" w:rsidRDefault="00ED4590" w:rsidP="1B041EB3">
            <w:pPr>
              <w:spacing w:before="80" w:after="60" w:line="300" w:lineRule="exact"/>
              <w:jc w:val="left"/>
              <w:rPr>
                <w:b/>
                <w:bCs/>
                <w:position w:val="2"/>
                <w:rtl/>
              </w:rPr>
            </w:pPr>
            <w:r w:rsidRPr="1B041EB3">
              <w:rPr>
                <w:b/>
                <w:bCs/>
                <w:position w:val="2"/>
                <w:rtl/>
              </w:rPr>
              <w:t>البريد الإلكتروني</w:t>
            </w:r>
            <w:r w:rsidRPr="1B041EB3">
              <w:rPr>
                <w:b/>
                <w:bCs/>
                <w:position w:val="2"/>
              </w:rPr>
              <w:t>:</w:t>
            </w:r>
          </w:p>
        </w:tc>
        <w:tc>
          <w:tcPr>
            <w:tcW w:w="1984" w:type="pct"/>
          </w:tcPr>
          <w:p w14:paraId="034CF28F" w14:textId="4DDCE86C" w:rsidR="00ED4590" w:rsidRDefault="00ED4590" w:rsidP="1B041EB3">
            <w:pPr>
              <w:spacing w:before="80" w:after="60" w:line="300" w:lineRule="exact"/>
              <w:jc w:val="left"/>
              <w:rPr>
                <w:position w:val="2"/>
              </w:rPr>
            </w:pPr>
            <w:hyperlink r:id="rId12" w:history="1">
              <w:r w:rsidRPr="1B041EB3">
                <w:rPr>
                  <w:rStyle w:val="Hyperlink"/>
                  <w:position w:val="2"/>
                </w:rPr>
                <w:t>tsbevents@itu.int</w:t>
              </w:r>
            </w:hyperlink>
          </w:p>
        </w:tc>
        <w:tc>
          <w:tcPr>
            <w:tcW w:w="2206" w:type="pct"/>
            <w:vMerge/>
          </w:tcPr>
          <w:p w14:paraId="3A0213BE" w14:textId="77777777" w:rsidR="00ED4590" w:rsidRPr="00D517B2" w:rsidRDefault="00ED4590" w:rsidP="00ED4590">
            <w:pPr>
              <w:tabs>
                <w:tab w:val="left" w:pos="284"/>
                <w:tab w:val="left" w:pos="4111"/>
              </w:tabs>
              <w:spacing w:before="80" w:after="60" w:line="300" w:lineRule="exact"/>
              <w:ind w:left="284" w:hanging="284"/>
              <w:rPr>
                <w:position w:val="2"/>
                <w:rtl/>
              </w:rPr>
            </w:pPr>
          </w:p>
        </w:tc>
      </w:tr>
      <w:tr w:rsidR="00ED4590" w:rsidRPr="00D517B2" w14:paraId="73B285A1" w14:textId="77777777" w:rsidTr="1B041EB3">
        <w:trPr>
          <w:cantSplit/>
          <w:jc w:val="center"/>
        </w:trPr>
        <w:tc>
          <w:tcPr>
            <w:tcW w:w="810" w:type="pct"/>
          </w:tcPr>
          <w:p w14:paraId="351ED936" w14:textId="77777777" w:rsidR="00ED4590" w:rsidRPr="00A9156F" w:rsidRDefault="00ED4590" w:rsidP="1B041EB3">
            <w:pPr>
              <w:spacing w:before="80" w:after="60" w:line="300" w:lineRule="exact"/>
              <w:jc w:val="left"/>
              <w:rPr>
                <w:b/>
                <w:bCs/>
                <w:position w:val="2"/>
                <w:rtl/>
                <w:lang w:bidi="ar-EG"/>
              </w:rPr>
            </w:pPr>
          </w:p>
        </w:tc>
        <w:tc>
          <w:tcPr>
            <w:tcW w:w="1984" w:type="pct"/>
          </w:tcPr>
          <w:p w14:paraId="7B7FAF3A" w14:textId="77777777" w:rsidR="00ED4590" w:rsidRPr="00D517B2" w:rsidRDefault="00ED4590" w:rsidP="1B041EB3">
            <w:pPr>
              <w:spacing w:before="80" w:after="60" w:line="300" w:lineRule="exact"/>
              <w:jc w:val="left"/>
              <w:rPr>
                <w:position w:val="2"/>
              </w:rPr>
            </w:pPr>
          </w:p>
        </w:tc>
        <w:tc>
          <w:tcPr>
            <w:tcW w:w="2206" w:type="pct"/>
          </w:tcPr>
          <w:p w14:paraId="6C723044" w14:textId="77777777" w:rsidR="00ED4590" w:rsidRPr="00D517B2" w:rsidRDefault="00ED4590" w:rsidP="1B041EB3">
            <w:pPr>
              <w:spacing w:before="80" w:after="60" w:line="300" w:lineRule="exact"/>
              <w:jc w:val="left"/>
              <w:rPr>
                <w:position w:val="2"/>
                <w:rtl/>
              </w:rPr>
            </w:pPr>
          </w:p>
        </w:tc>
      </w:tr>
      <w:tr w:rsidR="00ED4590" w:rsidRPr="00D517B2" w14:paraId="635EE015" w14:textId="77777777" w:rsidTr="1B041EB3">
        <w:trPr>
          <w:cantSplit/>
          <w:jc w:val="center"/>
        </w:trPr>
        <w:tc>
          <w:tcPr>
            <w:tcW w:w="810" w:type="pct"/>
          </w:tcPr>
          <w:p w14:paraId="22BD651B" w14:textId="77777777" w:rsidR="00ED4590" w:rsidRPr="00A9156F" w:rsidRDefault="00ED4590" w:rsidP="1B041EB3">
            <w:pPr>
              <w:spacing w:before="80" w:after="60" w:line="300" w:lineRule="exact"/>
              <w:jc w:val="left"/>
              <w:rPr>
                <w:b/>
                <w:bCs/>
                <w:position w:val="2"/>
                <w:rtl/>
                <w:lang w:bidi="ar-SY"/>
              </w:rPr>
            </w:pPr>
            <w:r w:rsidRPr="1B041EB3">
              <w:rPr>
                <w:b/>
                <w:bCs/>
                <w:position w:val="2"/>
                <w:rtl/>
              </w:rPr>
              <w:t>الموضوع</w:t>
            </w:r>
            <w:r w:rsidRPr="1B041EB3">
              <w:rPr>
                <w:b/>
                <w:bCs/>
                <w:position w:val="2"/>
              </w:rPr>
              <w:t>:</w:t>
            </w:r>
          </w:p>
        </w:tc>
        <w:tc>
          <w:tcPr>
            <w:tcW w:w="4190" w:type="pct"/>
            <w:gridSpan w:val="2"/>
          </w:tcPr>
          <w:p w14:paraId="56DC7AC6" w14:textId="30D102C8" w:rsidR="00ED4590" w:rsidRPr="00D52E31" w:rsidRDefault="00ED4590" w:rsidP="1B041EB3">
            <w:pPr>
              <w:spacing w:before="80" w:after="60" w:line="300" w:lineRule="exact"/>
              <w:rPr>
                <w:spacing w:val="-2"/>
                <w:position w:val="2"/>
                <w:rtl/>
              </w:rPr>
            </w:pPr>
            <w:r w:rsidRPr="1B041EB3">
              <w:rPr>
                <w:b/>
                <w:bCs/>
                <w:spacing w:val="-2"/>
                <w:position w:val="2"/>
                <w:rtl/>
              </w:rPr>
              <w:t>ورشة عمل لجنة الدراسات 21 لقطاع تقييس الاتصالات بشأن "معايير تكنولوجيات الذكاء الاصطناعي المجسَّد والوسائط المتعددة" (جنيف، سويسرا، 10 أكتوبر 2025</w:t>
            </w:r>
            <w:r w:rsidRPr="1B041EB3">
              <w:rPr>
                <w:b/>
                <w:bCs/>
                <w:spacing w:val="-2"/>
                <w:position w:val="2"/>
              </w:rPr>
              <w:t>)</w:t>
            </w:r>
          </w:p>
        </w:tc>
      </w:tr>
    </w:tbl>
    <w:p w14:paraId="49C783E2" w14:textId="77777777" w:rsidR="00D517B2" w:rsidRPr="00D517B2" w:rsidRDefault="00D517B2" w:rsidP="1B041EB3">
      <w:pPr>
        <w:spacing w:before="600"/>
        <w:rPr>
          <w:lang w:bidi="ar-SY"/>
        </w:rPr>
      </w:pPr>
      <w:r w:rsidRPr="1B041EB3">
        <w:rPr>
          <w:rtl/>
          <w:lang w:bidi="ar-SY"/>
        </w:rPr>
        <w:t>حضرات السادة والسيدات</w:t>
      </w:r>
      <w:r w:rsidRPr="1B041EB3">
        <w:rPr>
          <w:lang w:bidi="ar-SY"/>
        </w:rPr>
        <w:t>،</w:t>
      </w:r>
    </w:p>
    <w:p w14:paraId="061B516B" w14:textId="77777777" w:rsidR="00D517B2" w:rsidRPr="00D517B2" w:rsidRDefault="00D517B2" w:rsidP="1B041EB3">
      <w:pPr>
        <w:rPr>
          <w:rtl/>
          <w:lang w:bidi="ar-EG"/>
        </w:rPr>
      </w:pPr>
      <w:r w:rsidRPr="1B041EB3">
        <w:rPr>
          <w:rtl/>
        </w:rPr>
        <w:t>تحية طيبة وبعد</w:t>
      </w:r>
      <w:r w:rsidRPr="1B041EB3">
        <w:t>،</w:t>
      </w:r>
    </w:p>
    <w:p w14:paraId="1F787800" w14:textId="1D00A54E" w:rsidR="00CF44A8" w:rsidRPr="007C31A2" w:rsidRDefault="0067426B" w:rsidP="1B041EB3">
      <w:pPr>
        <w:rPr>
          <w:spacing w:val="-2"/>
          <w:rtl/>
          <w:lang w:bidi="ar-SY"/>
        </w:rPr>
      </w:pPr>
      <w:r w:rsidRPr="1B041EB3">
        <w:rPr>
          <w:spacing w:val="-2"/>
          <w:lang w:bidi="ar-SY"/>
        </w:rPr>
        <w:t>1</w:t>
      </w:r>
      <w:r w:rsidRPr="007C31A2">
        <w:rPr>
          <w:spacing w:val="-2"/>
          <w:lang w:bidi="ar-SY"/>
        </w:rPr>
        <w:tab/>
      </w:r>
      <w:r w:rsidR="00CF44A8" w:rsidRPr="1B041EB3">
        <w:rPr>
          <w:spacing w:val="-2"/>
          <w:rtl/>
          <w:lang w:bidi="ar-SY"/>
        </w:rPr>
        <w:t>ينظم الاتحاد الدولي للاتصالات</w:t>
      </w:r>
      <w:r w:rsidR="00CF44A8" w:rsidRPr="1B041EB3">
        <w:rPr>
          <w:spacing w:val="-2"/>
          <w:lang w:bidi="ar-SY"/>
        </w:rPr>
        <w:t xml:space="preserve"> (ITU) </w:t>
      </w:r>
      <w:r w:rsidR="00CF44A8" w:rsidRPr="1B041EB3">
        <w:rPr>
          <w:spacing w:val="-2"/>
          <w:rtl/>
          <w:lang w:bidi="ar-SY"/>
        </w:rPr>
        <w:t>ورشة عمل بشأن "معايير تكنولوجيات الذكاء الاصطناعي المجسَّد والوسائط المتعددة"، ستنعقد في مقر الاتحاد في جنيف، سويسرا، يوم 10 أكتوبر 2025 من الساعة 14:00 إلى الساعة 18:30 (بتوقيت</w:t>
      </w:r>
      <w:r w:rsidR="007C31A2" w:rsidRPr="1B041EB3">
        <w:rPr>
          <w:spacing w:val="-2"/>
          <w:rtl/>
        </w:rPr>
        <w:t xml:space="preserve"> </w:t>
      </w:r>
      <w:r w:rsidR="00CF44A8" w:rsidRPr="1B041EB3">
        <w:rPr>
          <w:spacing w:val="-2"/>
          <w:rtl/>
          <w:lang w:bidi="ar-SY"/>
        </w:rPr>
        <w:t>وسط</w:t>
      </w:r>
      <w:r w:rsidR="007C31A2" w:rsidRPr="1B041EB3">
        <w:rPr>
          <w:spacing w:val="-2"/>
          <w:rtl/>
          <w:lang w:bidi="ar-SY"/>
        </w:rPr>
        <w:t> </w:t>
      </w:r>
      <w:r w:rsidR="00CF44A8" w:rsidRPr="1B041EB3">
        <w:rPr>
          <w:spacing w:val="-2"/>
          <w:rtl/>
          <w:lang w:bidi="ar-SY"/>
        </w:rPr>
        <w:t>أوروبا</w:t>
      </w:r>
      <w:r w:rsidR="00CF44A8" w:rsidRPr="1B041EB3">
        <w:rPr>
          <w:spacing w:val="-2"/>
          <w:lang w:bidi="ar-SY"/>
        </w:rPr>
        <w:t>)</w:t>
      </w:r>
      <w:r w:rsidRPr="1B041EB3">
        <w:rPr>
          <w:spacing w:val="-2"/>
          <w:lang w:bidi="ar-SY"/>
        </w:rPr>
        <w:t>.</w:t>
      </w:r>
    </w:p>
    <w:p w14:paraId="6BA05F7B" w14:textId="14AE24C1" w:rsidR="00CF44A8" w:rsidRDefault="0067426B" w:rsidP="1B041EB3">
      <w:pPr>
        <w:rPr>
          <w:rtl/>
          <w:lang w:bidi="ar-SY"/>
        </w:rPr>
      </w:pPr>
      <w:r w:rsidRPr="1B041EB3">
        <w:rPr>
          <w:lang w:bidi="ar-SY"/>
        </w:rPr>
        <w:t>2</w:t>
      </w:r>
      <w:r>
        <w:tab/>
      </w:r>
      <w:r w:rsidR="00CF44A8" w:rsidRPr="1B041EB3">
        <w:rPr>
          <w:rtl/>
          <w:lang w:bidi="ar-SY"/>
        </w:rPr>
        <w:t>يمكن وصف الذكاء الاصطناعي المجسَّد</w:t>
      </w:r>
      <w:r w:rsidR="00CF44A8" w:rsidRPr="1B041EB3">
        <w:rPr>
          <w:lang w:bidi="ar-SY"/>
        </w:rPr>
        <w:t xml:space="preserve"> (EAI) </w:t>
      </w:r>
      <w:r w:rsidR="00CF44A8" w:rsidRPr="1B041EB3">
        <w:rPr>
          <w:rtl/>
          <w:lang w:bidi="ar-SY"/>
        </w:rPr>
        <w:t>بأنه نقطة تحول في مسيرة الذكاء الاصطناعي، إذ يدمج الذكاء الاصطناعي في الأنظمة المادية، فيتيح لكل منهما التفاعل مع البيئة المحيطة والتعلم منها عن طريق المدخلات والأفعال الحسية</w:t>
      </w:r>
      <w:r w:rsidR="00CF44A8" w:rsidRPr="1B041EB3">
        <w:rPr>
          <w:lang w:bidi="ar-SY"/>
        </w:rPr>
        <w:t>.</w:t>
      </w:r>
    </w:p>
    <w:p w14:paraId="027BD677" w14:textId="1BE74978" w:rsidR="00CF44A8" w:rsidRDefault="0067426B" w:rsidP="1B041EB3">
      <w:pPr>
        <w:rPr>
          <w:rtl/>
          <w:lang w:bidi="ar-SY"/>
        </w:rPr>
      </w:pPr>
      <w:r w:rsidRPr="1B041EB3">
        <w:rPr>
          <w:lang w:bidi="ar-SY"/>
        </w:rPr>
        <w:t>3</w:t>
      </w:r>
      <w:r>
        <w:tab/>
      </w:r>
      <w:r w:rsidR="00CF44A8" w:rsidRPr="1B041EB3">
        <w:rPr>
          <w:rtl/>
          <w:lang w:bidi="ar-SY"/>
        </w:rPr>
        <w:t>تهدف ورشة العمل إلى جمع المؤسسات، والهيئات الأكاديمية، ودوائر الصناعة، لمناقشة متطلبات تمكين استخدام الذكاء الاصطناعي المجسَّد في الوسائط المتعددة. وتشمل المواضيع الرئيسية البحث في فرص التقييس المطروحة في ظل هذا التقدم التكنولوجي، وتحديد الثغرات القائمة في توصيات قطاع تقييس الاتصالات بالاتحاد، ودراسة حالات الاستخدام الواقعية للذكاء الاصطناعي المجسَّد في مجال الوسائط المتعددة، وتعزيز التعاون بين مختلف أجزاء سلسلة توريد تكنولوجيا المعلومات والاتصالات، مع التركيز على بلورة ملامح العمل المستقبلي للجنة الدراسات 21 لقطاع تقييس الاتصالات بشأن تكنولوجيات الذكاء الاصطناعي المجسَّد. ويواصل هذا الحدث المسيرة الناجحة للمناقشات القيِّمة التي شهدتها القمة العالمية للذكاء الاصطناعي من أجل الصالح العام (يوليو 2025</w:t>
      </w:r>
      <w:r w:rsidR="00CF44A8" w:rsidRPr="1B041EB3">
        <w:rPr>
          <w:lang w:bidi="ar-SY"/>
        </w:rPr>
        <w:t>).</w:t>
      </w:r>
    </w:p>
    <w:p w14:paraId="63DF528B" w14:textId="47308B90" w:rsidR="00CF44A8" w:rsidRDefault="0067426B" w:rsidP="1B041EB3">
      <w:pPr>
        <w:rPr>
          <w:rtl/>
          <w:lang w:bidi="ar-SY"/>
        </w:rPr>
      </w:pPr>
      <w:r w:rsidRPr="1B041EB3">
        <w:rPr>
          <w:lang w:bidi="ar-SY"/>
        </w:rPr>
        <w:t>4</w:t>
      </w:r>
      <w:r>
        <w:tab/>
      </w:r>
      <w:r w:rsidR="00CF44A8" w:rsidRPr="1B041EB3">
        <w:rPr>
          <w:rtl/>
          <w:lang w:bidi="ar-SY"/>
        </w:rPr>
        <w:t>وسيُجرى عرض توضيحي في مكان الحدث، لاستعراض أحدث تطبيقات الوسائط المتعددة العاملة بتكنولوجيات الذكاء الاصطناعي. وفي حالة الرغبة في المشاركة أو الحصول على مزيد من المعلومات، يرجى التواصل على البريد الإلكتروني:</w:t>
      </w:r>
      <w:r w:rsidR="00CF44A8" w:rsidRPr="1B041EB3">
        <w:rPr>
          <w:lang w:bidi="ar-SY"/>
        </w:rPr>
        <w:t xml:space="preserve"> </w:t>
      </w:r>
      <w:hyperlink r:id="rId13">
        <w:r w:rsidR="00437E74" w:rsidRPr="1B041EB3">
          <w:rPr>
            <w:rStyle w:val="Hyperlink"/>
            <w:lang w:bidi="ar-SY"/>
          </w:rPr>
          <w:t>tsbevents@itu.int</w:t>
        </w:r>
      </w:hyperlink>
      <w:r w:rsidR="00CF44A8" w:rsidRPr="1B041EB3">
        <w:rPr>
          <w:lang w:bidi="ar-SY"/>
        </w:rPr>
        <w:t>.</w:t>
      </w:r>
    </w:p>
    <w:p w14:paraId="096E8B00" w14:textId="65A68295" w:rsidR="00CF44A8" w:rsidRDefault="0067426B" w:rsidP="1B041EB3">
      <w:pPr>
        <w:rPr>
          <w:rtl/>
        </w:rPr>
      </w:pPr>
      <w:r w:rsidRPr="1B041EB3">
        <w:rPr>
          <w:lang w:bidi="ar-SY"/>
        </w:rPr>
        <w:lastRenderedPageBreak/>
        <w:t>5</w:t>
      </w:r>
      <w:r>
        <w:tab/>
      </w:r>
      <w:r w:rsidR="00CF44A8" w:rsidRPr="1B041EB3">
        <w:rPr>
          <w:rtl/>
          <w:lang w:bidi="ar-SY"/>
        </w:rPr>
        <w:t>المشاركة في ورشة العمل مجانية ومفتوحة للدول الأعضاء في الاتحاد، وأعضاء القطاع، والمنتسبين، والهيئات الأكاديمية، ولأي فرد من البلدان الأعضاء في الاتحاد ويرغب في المساهمة في العمل. ويشمل ذلك الأفراد الأعضاء أيضاً في</w:t>
      </w:r>
      <w:r w:rsidR="00F07D20" w:rsidRPr="1B041EB3">
        <w:rPr>
          <w:rtl/>
          <w:lang w:bidi="ar-SY"/>
        </w:rPr>
        <w:t> </w:t>
      </w:r>
      <w:r w:rsidR="00CF44A8" w:rsidRPr="1B041EB3">
        <w:rPr>
          <w:rtl/>
          <w:lang w:bidi="ar-SY"/>
        </w:rPr>
        <w:t>المنظمات الدولية والإقليمية والوطنية</w:t>
      </w:r>
      <w:r w:rsidRPr="1B041EB3">
        <w:t>.</w:t>
      </w:r>
    </w:p>
    <w:p w14:paraId="0881FD79" w14:textId="1366168B" w:rsidR="00CF44A8" w:rsidRDefault="00CF44A8" w:rsidP="1B041EB3">
      <w:pPr>
        <w:rPr>
          <w:rtl/>
          <w:lang w:bidi="ar-SY"/>
        </w:rPr>
      </w:pPr>
      <w:r w:rsidRPr="1B041EB3">
        <w:rPr>
          <w:rtl/>
          <w:lang w:bidi="ar-SY"/>
        </w:rPr>
        <w:t xml:space="preserve">ولإتاحة الفرصة لمكتب تقييس الاتصالات لاتخاذ الترتيبات اللازمة، ألتمس منكم بكل امتنان </w:t>
      </w:r>
      <w:r w:rsidRPr="1B041EB3">
        <w:rPr>
          <w:b/>
          <w:bCs/>
          <w:rtl/>
          <w:lang w:bidi="ar-SY"/>
        </w:rPr>
        <w:t>التسجيل</w:t>
      </w:r>
      <w:r w:rsidRPr="1B041EB3">
        <w:rPr>
          <w:rtl/>
          <w:lang w:bidi="ar-SY"/>
        </w:rPr>
        <w:t xml:space="preserve"> في أقرب وقت ممكن، في</w:t>
      </w:r>
      <w:r w:rsidR="00A731F5" w:rsidRPr="1B041EB3">
        <w:rPr>
          <w:rtl/>
          <w:lang w:bidi="ar-SY"/>
        </w:rPr>
        <w:t> </w:t>
      </w:r>
      <w:r w:rsidRPr="1B041EB3">
        <w:rPr>
          <w:rtl/>
          <w:lang w:bidi="ar-SY"/>
        </w:rPr>
        <w:t xml:space="preserve">موعد أقصاه </w:t>
      </w:r>
      <w:r w:rsidRPr="1B041EB3">
        <w:rPr>
          <w:b/>
          <w:bCs/>
          <w:rtl/>
          <w:lang w:bidi="ar-SY"/>
        </w:rPr>
        <w:t>3 أكتوبر 2025</w:t>
      </w:r>
      <w:r w:rsidR="006A4CB3" w:rsidRPr="1B041EB3">
        <w:rPr>
          <w:rtl/>
          <w:lang w:bidi="ar-SY"/>
        </w:rPr>
        <w:t xml:space="preserve"> </w:t>
      </w:r>
      <w:r w:rsidRPr="1B041EB3">
        <w:rPr>
          <w:rtl/>
          <w:lang w:bidi="ar-SY"/>
        </w:rPr>
        <w:t>عن طريق الرابط التالي:</w:t>
      </w:r>
      <w:r>
        <w:tab/>
      </w:r>
      <w:r>
        <w:br/>
      </w:r>
      <w:hyperlink r:id="rId14">
        <w:r w:rsidR="006A4CB3" w:rsidRPr="1B041EB3">
          <w:rPr>
            <w:rStyle w:val="Hyperlink"/>
          </w:rPr>
          <w:t>https://www.i</w:t>
        </w:r>
        <w:r w:rsidR="006A4CB3" w:rsidRPr="1B041EB3">
          <w:rPr>
            <w:rStyle w:val="Hyperlink"/>
          </w:rPr>
          <w:t>t</w:t>
        </w:r>
        <w:r w:rsidR="006A4CB3" w:rsidRPr="1B041EB3">
          <w:rPr>
            <w:rStyle w:val="Hyperlink"/>
          </w:rPr>
          <w:t>u.int/net4/CRM/xreg/web/Registration.aspx?Event=C-00015814</w:t>
        </w:r>
      </w:hyperlink>
      <w:r w:rsidRPr="1B041EB3">
        <w:rPr>
          <w:lang w:bidi="ar-SY"/>
        </w:rPr>
        <w:t xml:space="preserve">. </w:t>
      </w:r>
      <w:r w:rsidRPr="1B041EB3">
        <w:rPr>
          <w:b/>
          <w:bCs/>
          <w:rtl/>
          <w:lang w:bidi="ar-SY"/>
        </w:rPr>
        <w:t>ويُرجى ملاحظة أن التسجيل المسبق للمشاركين في ورش العمل (سواء بالحضور الشخصي أو عبر الإنترنت) إلزامي ويجري عبر الإنترنت حصرا</w:t>
      </w:r>
      <w:r w:rsidRPr="1B041EB3">
        <w:rPr>
          <w:b/>
          <w:bCs/>
          <w:lang w:bidi="ar-SY"/>
        </w:rPr>
        <w:t>ً</w:t>
      </w:r>
      <w:r w:rsidRPr="1B041EB3">
        <w:rPr>
          <w:lang w:bidi="ar-SY"/>
        </w:rPr>
        <w:t>.</w:t>
      </w:r>
    </w:p>
    <w:p w14:paraId="7DE5C446" w14:textId="24AC0300" w:rsidR="00CF44A8" w:rsidRDefault="0067426B" w:rsidP="1B041EB3">
      <w:pPr>
        <w:rPr>
          <w:rtl/>
          <w:lang w:bidi="ar-SY"/>
        </w:rPr>
      </w:pPr>
      <w:r w:rsidRPr="1B041EB3">
        <w:rPr>
          <w:lang w:bidi="ar-SY"/>
        </w:rPr>
        <w:t>6</w:t>
      </w:r>
      <w:r>
        <w:tab/>
      </w:r>
      <w:r w:rsidR="00CF44A8" w:rsidRPr="1B041EB3">
        <w:rPr>
          <w:rtl/>
          <w:lang w:bidi="ar-SY"/>
        </w:rPr>
        <w:t>ستتاح جميع المعلومات المهمة بخصوص ورشة العمل، بما في ذلك مشروع البرنامج، على الموقع الإلكتروني للحدث:</w:t>
      </w:r>
      <w:r w:rsidR="00CF44A8" w:rsidRPr="1B041EB3">
        <w:rPr>
          <w:lang w:bidi="ar-SY"/>
        </w:rPr>
        <w:t xml:space="preserve"> </w:t>
      </w:r>
      <w:hyperlink r:id="rId15" w:anchor="/ar">
        <w:r w:rsidR="006A4CB3" w:rsidRPr="1B041EB3">
          <w:rPr>
            <w:rStyle w:val="Hyperlink"/>
            <w:lang w:bidi="ar-SY"/>
          </w:rPr>
          <w:t>https://www.itu.int/en/ITU</w:t>
        </w:r>
        <w:r w:rsidR="006A4CB3" w:rsidRPr="1B041EB3">
          <w:rPr>
            <w:rStyle w:val="Hyperlink"/>
            <w:lang w:bidi="ar-SY"/>
          </w:rPr>
          <w:t>-</w:t>
        </w:r>
        <w:r w:rsidR="006A4CB3" w:rsidRPr="1B041EB3">
          <w:rPr>
            <w:rStyle w:val="Hyperlink"/>
            <w:lang w:bidi="ar-SY"/>
          </w:rPr>
          <w:t>T/Workshops-and-Seminars/2025/1010/Pages/default.aspx#/ar</w:t>
        </w:r>
      </w:hyperlink>
      <w:r w:rsidR="00CF44A8" w:rsidRPr="1B041EB3">
        <w:rPr>
          <w:lang w:bidi="ar-SY"/>
        </w:rPr>
        <w:t>.</w:t>
      </w:r>
      <w:r w:rsidR="006A4CB3" w:rsidRPr="1B041EB3">
        <w:rPr>
          <w:lang w:bidi="ar-SY"/>
        </w:rPr>
        <w:t xml:space="preserve"> </w:t>
      </w:r>
      <w:r w:rsidR="00CF44A8" w:rsidRPr="1B041EB3">
        <w:rPr>
          <w:rtl/>
          <w:lang w:bidi="ar-SY"/>
        </w:rPr>
        <w:t>وسيُحدَّث الموقع</w:t>
      </w:r>
      <w:r w:rsidR="006A4CB3" w:rsidRPr="1B041EB3">
        <w:rPr>
          <w:rtl/>
          <w:lang w:bidi="ar-SY"/>
        </w:rPr>
        <w:t xml:space="preserve"> </w:t>
      </w:r>
      <w:r w:rsidR="00CF44A8" w:rsidRPr="1B041EB3">
        <w:rPr>
          <w:rtl/>
          <w:lang w:bidi="ar-SY"/>
        </w:rPr>
        <w:t>الإلكتروني بانتظام مع ورود مزيد من المعلومات، ويُرجى من المشاركين المواظبة على زيارته للاطلاع على المستجدات</w:t>
      </w:r>
      <w:r w:rsidR="00CF44A8" w:rsidRPr="1B041EB3">
        <w:rPr>
          <w:lang w:bidi="ar-SY"/>
        </w:rPr>
        <w:t>.</w:t>
      </w:r>
    </w:p>
    <w:p w14:paraId="610F20F4" w14:textId="1A020A97" w:rsidR="00D517B2" w:rsidRDefault="0067426B" w:rsidP="1B041EB3">
      <w:pPr>
        <w:rPr>
          <w:rtl/>
          <w:lang w:bidi="ar-SY"/>
        </w:rPr>
      </w:pPr>
      <w:r w:rsidRPr="1B041EB3">
        <w:rPr>
          <w:lang w:bidi="ar-SY"/>
        </w:rPr>
        <w:t>7</w:t>
      </w:r>
      <w:r>
        <w:tab/>
      </w:r>
      <w:r w:rsidR="00CF44A8" w:rsidRPr="1B041EB3">
        <w:rPr>
          <w:rtl/>
          <w:lang w:bidi="ar-SY"/>
        </w:rPr>
        <w:t>أود أن أذكركم بأن مواطني بعض البلدان مطالبون بالحصول على تأشيرة للدخول إلى سويسرا وقضاء بعض الوقت فيها. ويجب الحصول على التأشيرة من المكتب (السفارة أو القنصلية) الذي يمثل سويسرا في بلدكم، أو من أقرب مكتب إلى</w:t>
      </w:r>
      <w:r w:rsidR="006A4CB3" w:rsidRPr="1B041EB3">
        <w:rPr>
          <w:rtl/>
          <w:lang w:bidi="ar-SY"/>
        </w:rPr>
        <w:t> </w:t>
      </w:r>
      <w:r w:rsidR="00CF44A8" w:rsidRPr="1B041EB3">
        <w:rPr>
          <w:rtl/>
          <w:lang w:bidi="ar-SY"/>
        </w:rPr>
        <w:t>بلد المغادرة في حالة عدم وجود مثل هذا المكتب في بلدكم. وقد تستغرق معالجة التأشيرة والموافقة عليها بعض الوقت، لذلك</w:t>
      </w:r>
      <w:r w:rsidR="006A4CB3" w:rsidRPr="1B041EB3">
        <w:rPr>
          <w:rtl/>
          <w:lang w:bidi="ar-SY"/>
        </w:rPr>
        <w:t> </w:t>
      </w:r>
      <w:r w:rsidR="00CF44A8" w:rsidRPr="1B041EB3">
        <w:rPr>
          <w:rtl/>
          <w:lang w:bidi="ar-SY"/>
        </w:rPr>
        <w:t>تُقترح مراجعة مكتب الممثلية المناسب مباشرةً والتقدم بطلب التأشيرة مبكرا</w:t>
      </w:r>
      <w:r w:rsidR="00CF44A8" w:rsidRPr="1B041EB3">
        <w:rPr>
          <w:lang w:bidi="ar-SY"/>
        </w:rPr>
        <w:t>ً.</w:t>
      </w:r>
    </w:p>
    <w:p w14:paraId="1C701B7E" w14:textId="099D28CA" w:rsidR="00E84438" w:rsidRPr="00D517B2" w:rsidRDefault="007150E6" w:rsidP="1B041EB3">
      <w:pPr>
        <w:spacing w:before="240"/>
        <w:jc w:val="left"/>
        <w:rPr>
          <w:rtl/>
          <w:lang w:bidi="ar-EG"/>
        </w:rPr>
      </w:pPr>
      <w:r>
        <w:rPr>
          <w:noProof/>
          <w:rtl/>
          <w:lang w:val="ar-EG" w:bidi="ar-EG"/>
        </w:rPr>
        <w:drawing>
          <wp:anchor distT="0" distB="0" distL="114300" distR="114300" simplePos="0" relativeHeight="251658240" behindDoc="1" locked="0" layoutInCell="1" allowOverlap="1" wp14:anchorId="195A9A32" wp14:editId="5551AA83">
            <wp:simplePos x="0" y="0"/>
            <wp:positionH relativeFrom="margin">
              <wp:align>right</wp:align>
            </wp:positionH>
            <wp:positionV relativeFrom="paragraph">
              <wp:posOffset>328295</wp:posOffset>
            </wp:positionV>
            <wp:extent cx="768389" cy="368319"/>
            <wp:effectExtent l="0" t="0" r="0" b="0"/>
            <wp:wrapNone/>
            <wp:docPr id="572743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43805" name="Picture 572743805"/>
                    <pic:cNvPicPr/>
                  </pic:nvPicPr>
                  <pic:blipFill>
                    <a:blip r:embed="rId16">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1B041EB3">
        <w:rPr>
          <w:rtl/>
          <w:lang w:bidi="ar-EG"/>
        </w:rPr>
        <w:t>وتفضلوا بقبول فائق التقدير والاحترام</w:t>
      </w:r>
      <w:r w:rsidR="00E84438" w:rsidRPr="1B041EB3">
        <w:rPr>
          <w:lang w:bidi="ar-EG"/>
        </w:rPr>
        <w:t>.</w:t>
      </w:r>
    </w:p>
    <w:p w14:paraId="4099A608" w14:textId="38575679" w:rsidR="00596808" w:rsidRDefault="00807031" w:rsidP="006117CE">
      <w:pPr>
        <w:spacing w:before="720"/>
        <w:jc w:val="left"/>
        <w:rPr>
          <w:rtl/>
          <w:lang w:bidi="ar-SY"/>
        </w:rPr>
      </w:pPr>
      <w:r w:rsidRPr="1B041EB3">
        <w:rPr>
          <w:rtl/>
          <w:lang w:bidi="ar-SY"/>
        </w:rPr>
        <w:t>سيزو أونوي</w:t>
      </w:r>
      <w:r>
        <w:br/>
      </w:r>
      <w:r w:rsidR="00E84438" w:rsidRPr="1B041EB3">
        <w:rPr>
          <w:rtl/>
          <w:lang w:bidi="ar-SY"/>
        </w:rPr>
        <w:t>مدير مكتب تقييس الاتصالات</w:t>
      </w:r>
    </w:p>
    <w:sectPr w:rsidR="00596808" w:rsidSect="006C3242">
      <w:headerReference w:type="even" r:id="rId17"/>
      <w:headerReference w:type="default" r:id="rId18"/>
      <w:footerReference w:type="even" r:id="rId19"/>
      <w:footerReference w:type="default" r:id="rId20"/>
      <w:headerReference w:type="first" r:id="rId21"/>
      <w:footerReference w:type="first" r:id="rId2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2A53" w14:textId="77777777" w:rsidR="00DC55F1" w:rsidRDefault="00DC55F1" w:rsidP="006C3242">
      <w:pPr>
        <w:spacing w:before="0" w:line="240" w:lineRule="auto"/>
      </w:pPr>
      <w:r>
        <w:separator/>
      </w:r>
    </w:p>
  </w:endnote>
  <w:endnote w:type="continuationSeparator" w:id="0">
    <w:p w14:paraId="3E68A45D" w14:textId="77777777" w:rsidR="00DC55F1" w:rsidRDefault="00DC55F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5D0A" w14:textId="77777777" w:rsidR="00AF6EB4" w:rsidRDefault="00AF6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849F" w14:textId="77777777" w:rsidR="00AF6EB4" w:rsidRDefault="00AF6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F46A"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2A1F" w14:textId="77777777" w:rsidR="00DC55F1" w:rsidRDefault="00DC55F1" w:rsidP="006C3242">
      <w:pPr>
        <w:spacing w:before="0" w:line="240" w:lineRule="auto"/>
      </w:pPr>
      <w:r>
        <w:separator/>
      </w:r>
    </w:p>
  </w:footnote>
  <w:footnote w:type="continuationSeparator" w:id="0">
    <w:p w14:paraId="75714414" w14:textId="77777777" w:rsidR="00DC55F1" w:rsidRDefault="00DC55F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59FF" w14:textId="77777777" w:rsidR="00AF6EB4" w:rsidRDefault="00AF6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03C3" w14:textId="4DED009B"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sidRPr="00AF6EB4">
      <w:rPr>
        <w:sz w:val="18"/>
        <w:szCs w:val="18"/>
        <w:rtl/>
      </w:rPr>
      <w:br/>
    </w:r>
    <w:r w:rsidR="007139D8" w:rsidRPr="00AF6EB4">
      <w:rPr>
        <w:sz w:val="18"/>
        <w:szCs w:val="18"/>
        <w:lang w:bidi="ar-EG"/>
      </w:rPr>
      <w:t xml:space="preserve">TSB Circular </w:t>
    </w:r>
    <w:r w:rsidR="004A71BB" w:rsidRPr="00AF6EB4">
      <w:rPr>
        <w:sz w:val="18"/>
        <w:szCs w:val="18"/>
        <w:lang w:bidi="ar-EG"/>
      </w:rPr>
      <w:t>070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3C57" w14:textId="77777777" w:rsidR="00AF6EB4" w:rsidRDefault="00AF6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59"/>
    <w:rsid w:val="00002A63"/>
    <w:rsid w:val="00041697"/>
    <w:rsid w:val="0005159C"/>
    <w:rsid w:val="0006468A"/>
    <w:rsid w:val="00090574"/>
    <w:rsid w:val="00095D59"/>
    <w:rsid w:val="000C1C0E"/>
    <w:rsid w:val="000C548A"/>
    <w:rsid w:val="000E327F"/>
    <w:rsid w:val="00146FE2"/>
    <w:rsid w:val="00152C0F"/>
    <w:rsid w:val="00175253"/>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E637B"/>
    <w:rsid w:val="003F4B29"/>
    <w:rsid w:val="00400EC6"/>
    <w:rsid w:val="0042686F"/>
    <w:rsid w:val="004317D8"/>
    <w:rsid w:val="00434183"/>
    <w:rsid w:val="00437E74"/>
    <w:rsid w:val="00443869"/>
    <w:rsid w:val="00447F32"/>
    <w:rsid w:val="00477C01"/>
    <w:rsid w:val="004A71BB"/>
    <w:rsid w:val="004E11DC"/>
    <w:rsid w:val="005070AE"/>
    <w:rsid w:val="00525DDD"/>
    <w:rsid w:val="005409AC"/>
    <w:rsid w:val="0055516A"/>
    <w:rsid w:val="005731DD"/>
    <w:rsid w:val="0058491B"/>
    <w:rsid w:val="00592EA5"/>
    <w:rsid w:val="00595B52"/>
    <w:rsid w:val="00596808"/>
    <w:rsid w:val="005A3170"/>
    <w:rsid w:val="006019C6"/>
    <w:rsid w:val="006117CE"/>
    <w:rsid w:val="006635B2"/>
    <w:rsid w:val="0067426B"/>
    <w:rsid w:val="00677396"/>
    <w:rsid w:val="0069200F"/>
    <w:rsid w:val="006A4CB3"/>
    <w:rsid w:val="006A65CB"/>
    <w:rsid w:val="006C1530"/>
    <w:rsid w:val="006C3242"/>
    <w:rsid w:val="006C7CC0"/>
    <w:rsid w:val="006E1BAD"/>
    <w:rsid w:val="006E6264"/>
    <w:rsid w:val="006F63F7"/>
    <w:rsid w:val="007025C7"/>
    <w:rsid w:val="00706D7A"/>
    <w:rsid w:val="007139D8"/>
    <w:rsid w:val="007150E6"/>
    <w:rsid w:val="00722F0D"/>
    <w:rsid w:val="0074420E"/>
    <w:rsid w:val="00783E26"/>
    <w:rsid w:val="007C31A2"/>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82B28"/>
    <w:rsid w:val="009D313F"/>
    <w:rsid w:val="009F17C2"/>
    <w:rsid w:val="00A47A5A"/>
    <w:rsid w:val="00A6683B"/>
    <w:rsid w:val="00A731F5"/>
    <w:rsid w:val="00A77C90"/>
    <w:rsid w:val="00A87080"/>
    <w:rsid w:val="00A9156F"/>
    <w:rsid w:val="00A97F94"/>
    <w:rsid w:val="00AA7EA2"/>
    <w:rsid w:val="00AB0BC9"/>
    <w:rsid w:val="00AF6B5C"/>
    <w:rsid w:val="00AF6EB4"/>
    <w:rsid w:val="00B03099"/>
    <w:rsid w:val="00B05BC8"/>
    <w:rsid w:val="00B64B47"/>
    <w:rsid w:val="00B916A7"/>
    <w:rsid w:val="00BB0F08"/>
    <w:rsid w:val="00BD539E"/>
    <w:rsid w:val="00C002DE"/>
    <w:rsid w:val="00C207D6"/>
    <w:rsid w:val="00C53BF8"/>
    <w:rsid w:val="00C66157"/>
    <w:rsid w:val="00C674FE"/>
    <w:rsid w:val="00C67501"/>
    <w:rsid w:val="00C75633"/>
    <w:rsid w:val="00CE1C08"/>
    <w:rsid w:val="00CE2EE1"/>
    <w:rsid w:val="00CE3349"/>
    <w:rsid w:val="00CE36E5"/>
    <w:rsid w:val="00CF27F5"/>
    <w:rsid w:val="00CF3FFD"/>
    <w:rsid w:val="00CF44A8"/>
    <w:rsid w:val="00D10CCF"/>
    <w:rsid w:val="00D22846"/>
    <w:rsid w:val="00D517B2"/>
    <w:rsid w:val="00D52E31"/>
    <w:rsid w:val="00D76170"/>
    <w:rsid w:val="00D77D0F"/>
    <w:rsid w:val="00DA1CF0"/>
    <w:rsid w:val="00DC1E02"/>
    <w:rsid w:val="00DC24B4"/>
    <w:rsid w:val="00DC55F1"/>
    <w:rsid w:val="00DC5FB0"/>
    <w:rsid w:val="00DD1EBB"/>
    <w:rsid w:val="00DD6915"/>
    <w:rsid w:val="00DF16DC"/>
    <w:rsid w:val="00E45211"/>
    <w:rsid w:val="00E473C5"/>
    <w:rsid w:val="00E71113"/>
    <w:rsid w:val="00E84438"/>
    <w:rsid w:val="00E92863"/>
    <w:rsid w:val="00EB796D"/>
    <w:rsid w:val="00ED4590"/>
    <w:rsid w:val="00F058DC"/>
    <w:rsid w:val="00F07D20"/>
    <w:rsid w:val="00F24FC4"/>
    <w:rsid w:val="00F2676C"/>
    <w:rsid w:val="00F52941"/>
    <w:rsid w:val="00F84366"/>
    <w:rsid w:val="00F85089"/>
    <w:rsid w:val="00F974C5"/>
    <w:rsid w:val="00FA6F46"/>
    <w:rsid w:val="00FE5872"/>
    <w:rsid w:val="00FE7FCA"/>
    <w:rsid w:val="1B041E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EB590"/>
  <w15:chartTrackingRefBased/>
  <w15:docId w15:val="{A1F2BB7D-0D66-4DC2-9154-17F8F800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Tabletext">
    <w:name w:val="Table_text"/>
    <w:basedOn w:val="Normal"/>
    <w:rsid w:val="00175253"/>
    <w:pPr>
      <w:framePr w:hSpace="181" w:wrap="around" w:vAnchor="page" w:hAnchor="margin" w:xAlign="center" w:y="664"/>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Calibri" w:hAnsi="Calibri" w:cs="Calibri"/>
      <w:lang w:val="en-GB" w:eastAsia="en-US"/>
    </w:rPr>
  </w:style>
  <w:style w:type="character" w:styleId="FollowedHyperlink">
    <w:name w:val="FollowedHyperlink"/>
    <w:basedOn w:val="DefaultParagraphFont"/>
    <w:uiPriority w:val="99"/>
    <w:semiHidden/>
    <w:unhideWhenUsed/>
    <w:rsid w:val="006A4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bevents@itu.i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T/Workshops-and-Seminars/2025/1010/Pages/default.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4/CRM/xreg/web/Registration.aspx?Event=C-00015814"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A99D7-F51C-4239-8D71-BB715F8E0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627CA-0A7A-4C67-8EB2-914667F7608D}">
  <ds:schemaRefs>
    <ds:schemaRef ds:uri="http://schemas.microsoft.com/sharepoint/v3/contenttype/forms"/>
  </ds:schemaRefs>
</ds:datastoreItem>
</file>

<file path=customXml/itemProps3.xml><?xml version="1.0" encoding="utf-8"?>
<ds:datastoreItem xmlns:ds="http://schemas.openxmlformats.org/officeDocument/2006/customXml" ds:itemID="{68E43F90-4C4B-474A-9A0B-52111C9CD335}">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4.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TotalTime>
  <Pages>2</Pages>
  <Words>571</Words>
  <Characters>3258</Characters>
  <Application>Microsoft Office Word</Application>
  <DocSecurity>0</DocSecurity>
  <Lines>27</Lines>
  <Paragraphs>7</Paragraphs>
  <ScaleCrop>false</ScaleCrop>
  <Company>ITU</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dc:creator>
  <cp:keywords/>
  <dc:description/>
  <cp:lastModifiedBy>Braud, Olivia</cp:lastModifiedBy>
  <cp:revision>8</cp:revision>
  <cp:lastPrinted>2025-12-16T13:35:00Z</cp:lastPrinted>
  <dcterms:created xsi:type="dcterms:W3CDTF">2025-10-01T08:52:00Z</dcterms:created>
  <dcterms:modified xsi:type="dcterms:W3CDTF">2025-12-16T13:35:00Z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0x01010016CECE09D1232E468002275F25FCAE42</vt:lpwstr>
  </property>
  <property fmtid="{D5CDD505-2E9C-101B-9397-08002B2CF9AE}" pid="3" name="MediaServiceImageTags">
    <vt:lpwstr/>
  </property>
</Properties>
</file>