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206" w:type="dxa"/>
        <w:tblInd w:w="8" w:type="dxa"/>
        <w:tblLayout w:type="fixed"/>
        <w:tblLook w:val="0000" w:firstRow="0" w:lastRow="0" w:firstColumn="0" w:lastColumn="0" w:noHBand="0" w:noVBand="0"/>
      </w:tblPr>
      <w:tblGrid>
        <w:gridCol w:w="1409"/>
        <w:gridCol w:w="3470"/>
        <w:gridCol w:w="5327"/>
      </w:tblGrid>
      <w:tr w:rsidR="007B6316" w14:paraId="57C19FE3" w14:textId="77777777" w:rsidTr="00A2600C">
        <w:trPr>
          <w:cantSplit/>
          <w:trHeight w:val="340"/>
        </w:trPr>
        <w:tc>
          <w:tcPr>
            <w:tcW w:w="1409" w:type="dxa"/>
          </w:tcPr>
          <w:p w14:paraId="4073FDEF" w14:textId="77777777" w:rsidR="007B6316" w:rsidRDefault="007B6316" w:rsidP="00303D62">
            <w:pPr>
              <w:tabs>
                <w:tab w:val="left" w:pos="4111"/>
              </w:tabs>
              <w:spacing w:before="10"/>
              <w:ind w:left="57"/>
              <w:rPr>
                <w:sz w:val="22"/>
              </w:rPr>
            </w:pPr>
            <w:r w:rsidRPr="00F1238A">
              <w:rPr>
                <w:noProof/>
                <w:lang w:val="en-US" w:eastAsia="zh-CN"/>
              </w:rPr>
              <w:drawing>
                <wp:inline distT="0" distB="0" distL="0" distR="0" wp14:anchorId="7AF7EF1A" wp14:editId="149CAE9C">
                  <wp:extent cx="812165" cy="812165"/>
                  <wp:effectExtent l="0" t="0" r="0" b="0"/>
                  <wp:docPr id="1" name="Picture 1" descr="The International Teleocmmunication Union - Connecting the World." title="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International Teleocmmunication Union - Connecting the World." title="ITU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12165" cy="812165"/>
                          </a:xfrm>
                          <a:prstGeom prst="rect">
                            <a:avLst/>
                          </a:prstGeom>
                          <a:noFill/>
                          <a:ln>
                            <a:noFill/>
                          </a:ln>
                        </pic:spPr>
                      </pic:pic>
                    </a:graphicData>
                  </a:graphic>
                </wp:inline>
              </w:drawing>
            </w:r>
          </w:p>
        </w:tc>
        <w:tc>
          <w:tcPr>
            <w:tcW w:w="8797" w:type="dxa"/>
            <w:gridSpan w:val="2"/>
            <w:vAlign w:val="center"/>
          </w:tcPr>
          <w:p w14:paraId="3CE1A100" w14:textId="77777777" w:rsidR="007B6316" w:rsidRPr="00081FE5" w:rsidRDefault="007B6316" w:rsidP="007B6316">
            <w:pPr>
              <w:spacing w:before="0"/>
              <w:rPr>
                <w:rFonts w:cs="Times New Roman Bold"/>
                <w:b/>
                <w:bCs/>
                <w:smallCaps/>
                <w:sz w:val="26"/>
                <w:szCs w:val="26"/>
              </w:rPr>
            </w:pPr>
            <w:r w:rsidRPr="00081FE5">
              <w:rPr>
                <w:rFonts w:cs="Times New Roman Bold"/>
                <w:b/>
                <w:bCs/>
                <w:smallCaps/>
                <w:sz w:val="36"/>
                <w:szCs w:val="36"/>
              </w:rPr>
              <w:t>Unión Internacional de Telecomunicaciones</w:t>
            </w:r>
          </w:p>
          <w:p w14:paraId="36EA5B69" w14:textId="77777777" w:rsidR="007B6316" w:rsidRDefault="007B6316" w:rsidP="007B6316">
            <w:pPr>
              <w:spacing w:before="0"/>
            </w:pPr>
            <w:r w:rsidRPr="007B6316">
              <w:rPr>
                <w:rFonts w:cs="Times New Roman Bold"/>
                <w:b/>
                <w:bCs/>
                <w:smallCaps/>
                <w:sz w:val="28"/>
                <w:szCs w:val="28"/>
              </w:rPr>
              <w:t>Oficina</w:t>
            </w:r>
            <w:r w:rsidRPr="007B6316">
              <w:rPr>
                <w:rFonts w:cs="Times New Roman Bold"/>
                <w:b/>
                <w:bCs/>
                <w:iCs/>
                <w:smallCaps/>
                <w:sz w:val="22"/>
                <w:szCs w:val="22"/>
              </w:rPr>
              <w:t xml:space="preserve"> </w:t>
            </w:r>
            <w:r w:rsidRPr="00081FE5">
              <w:rPr>
                <w:rFonts w:cs="Times New Roman Bold"/>
                <w:b/>
                <w:bCs/>
                <w:iCs/>
                <w:smallCaps/>
                <w:sz w:val="28"/>
                <w:szCs w:val="28"/>
              </w:rPr>
              <w:t>de Normalización de las Telecomunicaciones</w:t>
            </w:r>
          </w:p>
        </w:tc>
      </w:tr>
      <w:tr w:rsidR="007B6316" w14:paraId="29942F58" w14:textId="77777777" w:rsidTr="00A2600C">
        <w:trPr>
          <w:cantSplit/>
          <w:trHeight w:val="340"/>
        </w:trPr>
        <w:tc>
          <w:tcPr>
            <w:tcW w:w="1409" w:type="dxa"/>
          </w:tcPr>
          <w:p w14:paraId="3A1FB203" w14:textId="77777777" w:rsidR="007B6316" w:rsidRPr="007B6316" w:rsidRDefault="007B6316" w:rsidP="00101541">
            <w:pPr>
              <w:spacing w:after="120"/>
            </w:pPr>
          </w:p>
        </w:tc>
        <w:tc>
          <w:tcPr>
            <w:tcW w:w="3470" w:type="dxa"/>
          </w:tcPr>
          <w:p w14:paraId="6CFD022A" w14:textId="77777777" w:rsidR="007B6316" w:rsidRDefault="007B6316" w:rsidP="00101541"/>
        </w:tc>
        <w:tc>
          <w:tcPr>
            <w:tcW w:w="5327" w:type="dxa"/>
          </w:tcPr>
          <w:p w14:paraId="414906BC" w14:textId="1066EA4B" w:rsidR="007B6316" w:rsidRDefault="007B6316" w:rsidP="00101541">
            <w:r w:rsidRPr="00081FE5">
              <w:t>Ginebra,</w:t>
            </w:r>
            <w:r w:rsidR="00BA6F31">
              <w:t xml:space="preserve"> </w:t>
            </w:r>
            <w:r w:rsidR="003C0BC5">
              <w:t>6 de agosto de 2025</w:t>
            </w:r>
          </w:p>
        </w:tc>
      </w:tr>
      <w:tr w:rsidR="001350B9" w14:paraId="2099D7D1" w14:textId="77777777" w:rsidTr="00A2600C">
        <w:trPr>
          <w:cantSplit/>
          <w:trHeight w:val="340"/>
        </w:trPr>
        <w:tc>
          <w:tcPr>
            <w:tcW w:w="1409" w:type="dxa"/>
          </w:tcPr>
          <w:p w14:paraId="6931DA5A" w14:textId="1C97CDAF" w:rsidR="001350B9" w:rsidRPr="00101541" w:rsidRDefault="001350B9" w:rsidP="00101541">
            <w:pPr>
              <w:spacing w:before="40" w:after="40"/>
            </w:pPr>
            <w:r w:rsidRPr="001350B9">
              <w:t>Ref.:</w:t>
            </w:r>
          </w:p>
        </w:tc>
        <w:tc>
          <w:tcPr>
            <w:tcW w:w="3470" w:type="dxa"/>
          </w:tcPr>
          <w:p w14:paraId="38928B4F" w14:textId="2F6408BC" w:rsidR="001350B9" w:rsidRPr="00101541" w:rsidRDefault="001350B9" w:rsidP="00101541">
            <w:pPr>
              <w:spacing w:before="40"/>
              <w:rPr>
                <w:b/>
                <w:bCs/>
              </w:rPr>
            </w:pPr>
            <w:r w:rsidRPr="00101541">
              <w:rPr>
                <w:b/>
                <w:bCs/>
              </w:rPr>
              <w:t xml:space="preserve">Circular TSB </w:t>
            </w:r>
            <w:r w:rsidR="00A2600C">
              <w:rPr>
                <w:b/>
                <w:bCs/>
              </w:rPr>
              <w:t>67</w:t>
            </w:r>
          </w:p>
          <w:p w14:paraId="6B133364" w14:textId="4BF790A7" w:rsidR="001350B9" w:rsidRDefault="00A2600C" w:rsidP="00101541">
            <w:pPr>
              <w:spacing w:before="0" w:after="40"/>
            </w:pPr>
            <w:r>
              <w:t>CB</w:t>
            </w:r>
          </w:p>
        </w:tc>
        <w:tc>
          <w:tcPr>
            <w:tcW w:w="5327" w:type="dxa"/>
            <w:vMerge w:val="restart"/>
          </w:tcPr>
          <w:p w14:paraId="43F6A64B" w14:textId="77777777" w:rsidR="00101541" w:rsidRPr="00FB1474" w:rsidRDefault="00101541" w:rsidP="00101541">
            <w:pPr>
              <w:spacing w:before="40" w:after="40"/>
              <w:rPr>
                <w:b/>
                <w:bCs/>
              </w:rPr>
            </w:pPr>
            <w:bookmarkStart w:id="0" w:name="Addressee_S"/>
            <w:bookmarkEnd w:id="0"/>
            <w:r w:rsidRPr="00FB1474">
              <w:rPr>
                <w:b/>
                <w:bCs/>
              </w:rPr>
              <w:t>A:</w:t>
            </w:r>
          </w:p>
          <w:p w14:paraId="6E922D91" w14:textId="77777777" w:rsidR="00A2600C" w:rsidRDefault="00101541" w:rsidP="00A2600C">
            <w:pPr>
              <w:tabs>
                <w:tab w:val="clear" w:pos="794"/>
                <w:tab w:val="left" w:pos="390"/>
              </w:tabs>
              <w:spacing w:before="40" w:after="40"/>
              <w:ind w:left="390" w:hanging="390"/>
            </w:pPr>
            <w:r w:rsidRPr="00153C97">
              <w:t>–</w:t>
            </w:r>
            <w:r w:rsidR="001350B9">
              <w:tab/>
            </w:r>
            <w:r w:rsidR="00A2600C">
              <w:t>las Administraciones de los Estados Miembros de la Unión;</w:t>
            </w:r>
          </w:p>
          <w:p w14:paraId="78EB15AC" w14:textId="208A3AF9" w:rsidR="00A2600C" w:rsidRDefault="00A2600C" w:rsidP="00A2600C">
            <w:pPr>
              <w:tabs>
                <w:tab w:val="clear" w:pos="794"/>
                <w:tab w:val="left" w:pos="390"/>
              </w:tabs>
              <w:spacing w:before="40" w:after="40"/>
              <w:ind w:left="390" w:hanging="390"/>
            </w:pPr>
            <w:r w:rsidRPr="00153C97">
              <w:t>–</w:t>
            </w:r>
            <w:r>
              <w:tab/>
              <w:t>los Miembros de Sector del UIT-T;</w:t>
            </w:r>
          </w:p>
          <w:p w14:paraId="6DAB6D61" w14:textId="606A18BE" w:rsidR="00A2600C" w:rsidRDefault="00A2600C" w:rsidP="00A2600C">
            <w:pPr>
              <w:tabs>
                <w:tab w:val="clear" w:pos="794"/>
                <w:tab w:val="left" w:pos="390"/>
              </w:tabs>
              <w:spacing w:before="40" w:after="40"/>
              <w:ind w:left="390" w:hanging="390"/>
            </w:pPr>
            <w:r w:rsidRPr="00153C97">
              <w:t>–</w:t>
            </w:r>
            <w:r>
              <w:tab/>
              <w:t>el Estado de Palestina (Res. 99 (Rev. Dubái, 2018));</w:t>
            </w:r>
          </w:p>
          <w:p w14:paraId="649012DB" w14:textId="79DD1F00" w:rsidR="00A2600C" w:rsidRDefault="00A2600C" w:rsidP="00A2600C">
            <w:pPr>
              <w:tabs>
                <w:tab w:val="clear" w:pos="794"/>
                <w:tab w:val="left" w:pos="390"/>
              </w:tabs>
              <w:spacing w:before="40" w:after="40"/>
              <w:ind w:left="390" w:hanging="390"/>
            </w:pPr>
            <w:r w:rsidRPr="00153C97">
              <w:t>–</w:t>
            </w:r>
            <w:r>
              <w:tab/>
              <w:t>los Asociados del UIT-T;</w:t>
            </w:r>
          </w:p>
          <w:p w14:paraId="4827F600" w14:textId="0CB1B752" w:rsidR="001350B9" w:rsidRDefault="00A2600C" w:rsidP="00A2600C">
            <w:pPr>
              <w:tabs>
                <w:tab w:val="clear" w:pos="794"/>
                <w:tab w:val="left" w:pos="390"/>
              </w:tabs>
              <w:spacing w:before="40" w:after="40"/>
            </w:pPr>
            <w:r w:rsidRPr="00153C97">
              <w:t>–</w:t>
            </w:r>
            <w:r>
              <w:tab/>
              <w:t>las Instituciones Académicas de la UIT</w:t>
            </w:r>
          </w:p>
          <w:p w14:paraId="574E6F85" w14:textId="00F09FF3" w:rsidR="00A2600C" w:rsidRPr="00A2600C" w:rsidRDefault="00A2600C" w:rsidP="00A2600C">
            <w:pPr>
              <w:spacing w:before="40" w:after="40"/>
              <w:rPr>
                <w:b/>
                <w:bCs/>
              </w:rPr>
            </w:pPr>
            <w:r w:rsidRPr="00A2600C">
              <w:rPr>
                <w:b/>
                <w:bCs/>
              </w:rPr>
              <w:t>Copia a:</w:t>
            </w:r>
          </w:p>
          <w:p w14:paraId="29D737AE" w14:textId="22D42655" w:rsidR="00A2600C" w:rsidRDefault="00101541" w:rsidP="00A2600C">
            <w:pPr>
              <w:tabs>
                <w:tab w:val="clear" w:pos="794"/>
                <w:tab w:val="left" w:pos="390"/>
              </w:tabs>
              <w:spacing w:before="40" w:after="40"/>
              <w:ind w:left="390" w:hanging="390"/>
            </w:pPr>
            <w:r w:rsidRPr="00153C97">
              <w:t>–</w:t>
            </w:r>
            <w:r w:rsidR="001350B9">
              <w:tab/>
            </w:r>
            <w:r w:rsidR="00A2600C">
              <w:t>los Presidentes y Vicepresidentes de las Comisiones de Estudio del UIT</w:t>
            </w:r>
            <w:r w:rsidR="00A2600C">
              <w:noBreakHyphen/>
              <w:t>T;</w:t>
            </w:r>
          </w:p>
          <w:p w14:paraId="407FCD73" w14:textId="032C9547" w:rsidR="00A2600C" w:rsidRDefault="00A2600C" w:rsidP="00A2600C">
            <w:pPr>
              <w:tabs>
                <w:tab w:val="clear" w:pos="794"/>
                <w:tab w:val="left" w:pos="390"/>
              </w:tabs>
              <w:spacing w:before="40" w:after="40"/>
              <w:ind w:left="390" w:hanging="390"/>
            </w:pPr>
            <w:r w:rsidRPr="00153C97">
              <w:t>–</w:t>
            </w:r>
            <w:r>
              <w:tab/>
              <w:t>el Director de la Oficina de Desarrollo de las Telecomunicaciones;</w:t>
            </w:r>
          </w:p>
          <w:p w14:paraId="01F99A4F" w14:textId="786FDA53" w:rsidR="00A2600C" w:rsidRDefault="00A2600C" w:rsidP="00A2600C">
            <w:pPr>
              <w:tabs>
                <w:tab w:val="clear" w:pos="794"/>
                <w:tab w:val="left" w:pos="390"/>
              </w:tabs>
              <w:spacing w:before="40" w:after="40"/>
              <w:ind w:left="390" w:hanging="390"/>
            </w:pPr>
            <w:r w:rsidRPr="00153C97">
              <w:t>–</w:t>
            </w:r>
            <w:r>
              <w:tab/>
              <w:t>el Director de la Oficina de Radiocomunicaciones;</w:t>
            </w:r>
          </w:p>
          <w:p w14:paraId="4E2FF369" w14:textId="2B2DFADA" w:rsidR="001350B9" w:rsidRDefault="00A2600C" w:rsidP="00A2600C">
            <w:pPr>
              <w:tabs>
                <w:tab w:val="clear" w:pos="794"/>
                <w:tab w:val="left" w:pos="390"/>
              </w:tabs>
              <w:spacing w:before="40" w:after="40"/>
              <w:ind w:left="390" w:hanging="390"/>
            </w:pPr>
            <w:r w:rsidRPr="00153C97">
              <w:t>–</w:t>
            </w:r>
            <w:r>
              <w:tab/>
              <w:t>los Directores de las Oficinas Regionales de la UIT</w:t>
            </w:r>
          </w:p>
        </w:tc>
      </w:tr>
      <w:tr w:rsidR="001350B9" w14:paraId="1A010FF9" w14:textId="77777777" w:rsidTr="00A2600C">
        <w:trPr>
          <w:cantSplit/>
        </w:trPr>
        <w:tc>
          <w:tcPr>
            <w:tcW w:w="1409" w:type="dxa"/>
          </w:tcPr>
          <w:p w14:paraId="48F92A24" w14:textId="77777777" w:rsidR="001350B9" w:rsidRPr="00101541" w:rsidRDefault="001350B9" w:rsidP="00101541">
            <w:pPr>
              <w:spacing w:before="40" w:after="40"/>
            </w:pPr>
            <w:r w:rsidRPr="00101541">
              <w:t>Tel.:</w:t>
            </w:r>
          </w:p>
        </w:tc>
        <w:tc>
          <w:tcPr>
            <w:tcW w:w="3470" w:type="dxa"/>
          </w:tcPr>
          <w:p w14:paraId="19D29048" w14:textId="05CE1D98" w:rsidR="001350B9" w:rsidRPr="00101541" w:rsidRDefault="00A2600C" w:rsidP="00101541">
            <w:pPr>
              <w:spacing w:before="40" w:after="40"/>
            </w:pPr>
            <w:r w:rsidRPr="00A2600C">
              <w:t>+41 22 730 6301</w:t>
            </w:r>
          </w:p>
        </w:tc>
        <w:tc>
          <w:tcPr>
            <w:tcW w:w="5327" w:type="dxa"/>
            <w:vMerge/>
          </w:tcPr>
          <w:p w14:paraId="3DF5CE88" w14:textId="77777777" w:rsidR="001350B9" w:rsidRDefault="001350B9" w:rsidP="00303D62">
            <w:pPr>
              <w:tabs>
                <w:tab w:val="left" w:pos="226"/>
                <w:tab w:val="left" w:pos="510"/>
              </w:tabs>
              <w:spacing w:before="0"/>
              <w:ind w:left="226" w:hanging="169"/>
              <w:rPr>
                <w:b/>
              </w:rPr>
            </w:pPr>
          </w:p>
        </w:tc>
      </w:tr>
      <w:tr w:rsidR="001350B9" w14:paraId="07D56EDD" w14:textId="77777777" w:rsidTr="00A2600C">
        <w:trPr>
          <w:cantSplit/>
        </w:trPr>
        <w:tc>
          <w:tcPr>
            <w:tcW w:w="1409" w:type="dxa"/>
          </w:tcPr>
          <w:p w14:paraId="35CE91C2" w14:textId="77777777" w:rsidR="001350B9" w:rsidRPr="00101541" w:rsidRDefault="001350B9" w:rsidP="00101541">
            <w:pPr>
              <w:spacing w:before="40" w:after="40"/>
            </w:pPr>
            <w:r w:rsidRPr="00101541">
              <w:t>Fax:</w:t>
            </w:r>
          </w:p>
        </w:tc>
        <w:tc>
          <w:tcPr>
            <w:tcW w:w="3470" w:type="dxa"/>
          </w:tcPr>
          <w:p w14:paraId="50BA9232" w14:textId="77777777" w:rsidR="001350B9" w:rsidRPr="00101541" w:rsidRDefault="001350B9" w:rsidP="00101541">
            <w:pPr>
              <w:spacing w:before="40" w:after="40"/>
            </w:pPr>
            <w:r>
              <w:t>+41 22 730 5853</w:t>
            </w:r>
          </w:p>
        </w:tc>
        <w:tc>
          <w:tcPr>
            <w:tcW w:w="5327" w:type="dxa"/>
            <w:vMerge/>
          </w:tcPr>
          <w:p w14:paraId="20877663" w14:textId="77777777" w:rsidR="001350B9" w:rsidRDefault="001350B9" w:rsidP="00303D62">
            <w:pPr>
              <w:tabs>
                <w:tab w:val="left" w:pos="226"/>
                <w:tab w:val="left" w:pos="510"/>
              </w:tabs>
              <w:spacing w:before="0"/>
              <w:ind w:left="226" w:hanging="169"/>
              <w:rPr>
                <w:b/>
              </w:rPr>
            </w:pPr>
          </w:p>
        </w:tc>
      </w:tr>
      <w:tr w:rsidR="001350B9" w14:paraId="30FF827C" w14:textId="77777777" w:rsidTr="00A2600C">
        <w:trPr>
          <w:cantSplit/>
        </w:trPr>
        <w:tc>
          <w:tcPr>
            <w:tcW w:w="1409" w:type="dxa"/>
          </w:tcPr>
          <w:p w14:paraId="220ABEEC" w14:textId="77777777" w:rsidR="001350B9" w:rsidRPr="00101541" w:rsidRDefault="001350B9" w:rsidP="00101541">
            <w:pPr>
              <w:spacing w:before="40" w:after="40"/>
            </w:pPr>
            <w:r w:rsidRPr="00101541">
              <w:t>Correo-e:</w:t>
            </w:r>
          </w:p>
        </w:tc>
        <w:tc>
          <w:tcPr>
            <w:tcW w:w="3470" w:type="dxa"/>
          </w:tcPr>
          <w:p w14:paraId="114B24C6" w14:textId="2F3ADD8E" w:rsidR="001350B9" w:rsidRDefault="00A2600C" w:rsidP="00101541">
            <w:pPr>
              <w:spacing w:before="40" w:after="40"/>
            </w:pPr>
            <w:hyperlink r:id="rId9" w:history="1">
              <w:r w:rsidRPr="002B0551">
                <w:rPr>
                  <w:rStyle w:val="Hyperlink"/>
                </w:rPr>
                <w:t>tsbjcgiotsec@itu.int</w:t>
              </w:r>
            </w:hyperlink>
          </w:p>
        </w:tc>
        <w:tc>
          <w:tcPr>
            <w:tcW w:w="5327" w:type="dxa"/>
            <w:vMerge/>
          </w:tcPr>
          <w:p w14:paraId="0ACE8CE2" w14:textId="77777777" w:rsidR="001350B9" w:rsidRDefault="001350B9" w:rsidP="00303D62">
            <w:pPr>
              <w:tabs>
                <w:tab w:val="clear" w:pos="794"/>
                <w:tab w:val="clear" w:pos="1191"/>
                <w:tab w:val="clear" w:pos="1588"/>
                <w:tab w:val="clear" w:pos="1985"/>
                <w:tab w:val="left" w:pos="226"/>
                <w:tab w:val="left" w:pos="510"/>
              </w:tabs>
              <w:spacing w:before="0"/>
              <w:ind w:left="226" w:hanging="169"/>
            </w:pPr>
          </w:p>
        </w:tc>
      </w:tr>
      <w:tr w:rsidR="007B6316" w14:paraId="7F4E66DD" w14:textId="77777777" w:rsidTr="00A2600C">
        <w:trPr>
          <w:cantSplit/>
        </w:trPr>
        <w:tc>
          <w:tcPr>
            <w:tcW w:w="1409" w:type="dxa"/>
          </w:tcPr>
          <w:p w14:paraId="7BBE0879" w14:textId="77777777" w:rsidR="007B6316" w:rsidRPr="00101541" w:rsidRDefault="007B6316" w:rsidP="00101541">
            <w:r w:rsidRPr="00101541">
              <w:t>Asunto:</w:t>
            </w:r>
          </w:p>
        </w:tc>
        <w:tc>
          <w:tcPr>
            <w:tcW w:w="8797" w:type="dxa"/>
            <w:gridSpan w:val="2"/>
          </w:tcPr>
          <w:p w14:paraId="445801EB" w14:textId="1984CE9E" w:rsidR="007B6316" w:rsidRPr="00A2600C" w:rsidRDefault="00A2600C" w:rsidP="00101541">
            <w:pPr>
              <w:rPr>
                <w:b/>
                <w:bCs/>
              </w:rPr>
            </w:pPr>
            <w:r w:rsidRPr="00A2600C">
              <w:rPr>
                <w:b/>
                <w:bCs/>
              </w:rPr>
              <w:t>Creación de un Grupo Mixto por Correspondencia sobre Seguridad de la Internet de las cosas (</w:t>
            </w:r>
            <w:r w:rsidR="003C0BC5">
              <w:rPr>
                <w:b/>
                <w:bCs/>
              </w:rPr>
              <w:t>J</w:t>
            </w:r>
            <w:r w:rsidRPr="00A2600C">
              <w:rPr>
                <w:b/>
                <w:bCs/>
              </w:rPr>
              <w:t xml:space="preserve">CG-IoTSec) y primera reunión del grupo </w:t>
            </w:r>
            <w:r w:rsidR="00B03EE2">
              <w:rPr>
                <w:b/>
                <w:bCs/>
              </w:rPr>
              <w:br/>
            </w:r>
            <w:r w:rsidRPr="00A2600C">
              <w:rPr>
                <w:b/>
                <w:bCs/>
              </w:rPr>
              <w:t>(Ginebra, 17 de septiembre de 2025)</w:t>
            </w:r>
          </w:p>
        </w:tc>
      </w:tr>
    </w:tbl>
    <w:p w14:paraId="7DCD2BF6" w14:textId="77777777" w:rsidR="00C34772" w:rsidRDefault="00C34772" w:rsidP="00101541">
      <w:pPr>
        <w:pStyle w:val="Normalaftertitle"/>
      </w:pPr>
      <w:bookmarkStart w:id="1" w:name="StartTyping_S"/>
      <w:bookmarkStart w:id="2" w:name="suitetext"/>
      <w:bookmarkStart w:id="3" w:name="text"/>
      <w:bookmarkEnd w:id="1"/>
      <w:bookmarkEnd w:id="2"/>
      <w:bookmarkEnd w:id="3"/>
      <w:r>
        <w:t>Muy Señora mía/Muy Señor mío:</w:t>
      </w:r>
    </w:p>
    <w:p w14:paraId="34521415" w14:textId="3B595373" w:rsidR="00A2600C" w:rsidRPr="00A2600C" w:rsidRDefault="00A2600C" w:rsidP="00A2600C">
      <w:r w:rsidRPr="00A2600C">
        <w:t>1</w:t>
      </w:r>
      <w:r w:rsidRPr="00A2600C">
        <w:tab/>
        <w:t>Tras el acuerdo alcanzado por el Grupo Asesor de Normalización de las Telecomunicaciones (GANT) de la Unión Internacional de Telecomunicaciones (UIT) en su reunión celebrada del 26 al 30 de mayo de</w:t>
      </w:r>
      <w:r w:rsidR="003C0BC5">
        <w:t> </w:t>
      </w:r>
      <w:r w:rsidRPr="00A2600C">
        <w:t xml:space="preserve">2025, me complace anunciar la creación del Grupo Mixto por Correspondencia sobre Seguridad de la Internet de las </w:t>
      </w:r>
      <w:r w:rsidR="00B03EE2">
        <w:t>c</w:t>
      </w:r>
      <w:r w:rsidRPr="00A2600C">
        <w:t>osas (</w:t>
      </w:r>
      <w:r w:rsidR="003C0BC5">
        <w:t>J</w:t>
      </w:r>
      <w:r w:rsidRPr="00A2600C">
        <w:t>CG</w:t>
      </w:r>
      <w:r w:rsidR="00467293">
        <w:noBreakHyphen/>
      </w:r>
      <w:r w:rsidRPr="00A2600C">
        <w:t>IoTSec). En la presente carta se proporciona asimismo información sobre las disposiciones adoptadas para su funcionamiento y su primera reunión.</w:t>
      </w:r>
    </w:p>
    <w:p w14:paraId="4BD930BC" w14:textId="09ED1E28" w:rsidR="00A2600C" w:rsidRPr="00A2600C" w:rsidRDefault="00A2600C" w:rsidP="00A2600C">
      <w:r w:rsidRPr="00A2600C">
        <w:t>2</w:t>
      </w:r>
      <w:r w:rsidRPr="00A2600C">
        <w:tab/>
        <w:t>El objetivo del JCG-IoTSec es deliberar sobre el tema de la seguridad de la Internet de las cosas, en respuesta a la medida</w:t>
      </w:r>
      <w:r w:rsidR="003C0BC5">
        <w:t> </w:t>
      </w:r>
      <w:r w:rsidRPr="00A2600C">
        <w:t xml:space="preserve">7 de la AMNT-24 (véase la </w:t>
      </w:r>
      <w:hyperlink r:id="rId10" w:history="1">
        <w:r w:rsidRPr="00A2600C">
          <w:rPr>
            <w:rStyle w:val="Hyperlink"/>
          </w:rPr>
          <w:t>Parte</w:t>
        </w:r>
        <w:r>
          <w:rPr>
            <w:rStyle w:val="Hyperlink"/>
          </w:rPr>
          <w:t> </w:t>
        </w:r>
        <w:r w:rsidRPr="00A2600C">
          <w:rPr>
            <w:rStyle w:val="Hyperlink"/>
          </w:rPr>
          <w:t xml:space="preserve">II de las </w:t>
        </w:r>
        <w:r w:rsidR="003C0BC5" w:rsidRPr="00A2600C">
          <w:rPr>
            <w:rStyle w:val="Hyperlink"/>
          </w:rPr>
          <w:t xml:space="preserve">Actas </w:t>
        </w:r>
        <w:r w:rsidRPr="00A2600C">
          <w:rPr>
            <w:rStyle w:val="Hyperlink"/>
          </w:rPr>
          <w:t>de la AMNT-24</w:t>
        </w:r>
      </w:hyperlink>
      <w:r w:rsidRPr="00A2600C">
        <w:t>). El</w:t>
      </w:r>
      <w:r w:rsidR="00467293">
        <w:t> </w:t>
      </w:r>
      <w:r w:rsidRPr="00A2600C">
        <w:t>JCG</w:t>
      </w:r>
      <w:r w:rsidR="00467293">
        <w:noBreakHyphen/>
      </w:r>
      <w:r w:rsidRPr="00A2600C">
        <w:t>IoTSec está abierto a todas las entidades con derecho a participar en las actividades de normalización de las Comisiones de Estudio</w:t>
      </w:r>
      <w:r w:rsidR="003C0BC5">
        <w:t> </w:t>
      </w:r>
      <w:r w:rsidRPr="00A2600C">
        <w:t>17 y 20 del</w:t>
      </w:r>
      <w:r w:rsidR="00B03EE2">
        <w:t> </w:t>
      </w:r>
      <w:r w:rsidRPr="00A2600C">
        <w:t>UIT</w:t>
      </w:r>
      <w:r w:rsidR="00B03EE2">
        <w:noBreakHyphen/>
      </w:r>
      <w:r w:rsidRPr="00A2600C">
        <w:t xml:space="preserve">T. El mandato del grupo se recoge en el </w:t>
      </w:r>
      <w:r w:rsidRPr="00A2600C">
        <w:rPr>
          <w:b/>
          <w:bCs/>
        </w:rPr>
        <w:t>Anexo</w:t>
      </w:r>
      <w:r w:rsidR="003C0BC5">
        <w:rPr>
          <w:b/>
          <w:bCs/>
        </w:rPr>
        <w:t> </w:t>
      </w:r>
      <w:r w:rsidRPr="00A2600C">
        <w:rPr>
          <w:b/>
          <w:bCs/>
        </w:rPr>
        <w:t>A</w:t>
      </w:r>
      <w:r w:rsidRPr="00A2600C">
        <w:t>.</w:t>
      </w:r>
    </w:p>
    <w:p w14:paraId="662F8498" w14:textId="17463D31" w:rsidR="00A2600C" w:rsidRPr="00A2600C" w:rsidRDefault="00A2600C" w:rsidP="00A2600C">
      <w:r w:rsidRPr="00A2600C">
        <w:t>3</w:t>
      </w:r>
      <w:r w:rsidRPr="00A2600C">
        <w:tab/>
        <w:t>El GANT nombró al Sr.</w:t>
      </w:r>
      <w:r>
        <w:t> </w:t>
      </w:r>
      <w:r w:rsidRPr="00A2600C">
        <w:t>Bret Jordan, Presidente del GT</w:t>
      </w:r>
      <w:r>
        <w:t> </w:t>
      </w:r>
      <w:r w:rsidRPr="00A2600C">
        <w:t>2/17, y al Sr.</w:t>
      </w:r>
      <w:r>
        <w:t> </w:t>
      </w:r>
      <w:r w:rsidRPr="00A2600C">
        <w:t>Ramy Ahmed Fathy, Presidente del GT</w:t>
      </w:r>
      <w:r>
        <w:t> </w:t>
      </w:r>
      <w:r w:rsidRPr="00A2600C">
        <w:t>3/20, coorganizadores del</w:t>
      </w:r>
      <w:r w:rsidR="00467293">
        <w:t> </w:t>
      </w:r>
      <w:r w:rsidRPr="00A2600C">
        <w:t>JCG</w:t>
      </w:r>
      <w:r w:rsidR="00467293">
        <w:noBreakHyphen/>
      </w:r>
      <w:r w:rsidRPr="00A2600C">
        <w:t>IoTSec, a tenor de lo propuesto por la Comisión de Estudio</w:t>
      </w:r>
      <w:r>
        <w:t> </w:t>
      </w:r>
      <w:r w:rsidRPr="00A2600C">
        <w:t>17 y la Comisión de Estudio</w:t>
      </w:r>
      <w:r w:rsidR="00B03EE2">
        <w:t> </w:t>
      </w:r>
      <w:r w:rsidRPr="00A2600C">
        <w:t>20, respectivamente.</w:t>
      </w:r>
    </w:p>
    <w:p w14:paraId="47FEB56D" w14:textId="38D8A36C" w:rsidR="00A2600C" w:rsidRPr="00A2600C" w:rsidRDefault="00A2600C" w:rsidP="00A2600C">
      <w:pPr>
        <w:keepNext/>
        <w:keepLines/>
      </w:pPr>
      <w:r w:rsidRPr="00A2600C">
        <w:lastRenderedPageBreak/>
        <w:t>4</w:t>
      </w:r>
      <w:r w:rsidRPr="00A2600C">
        <w:tab/>
        <w:t>Se han creado tanto una página web específica para el</w:t>
      </w:r>
      <w:r w:rsidR="00467293">
        <w:t> </w:t>
      </w:r>
      <w:r w:rsidRPr="00A2600C">
        <w:t>JCG</w:t>
      </w:r>
      <w:r w:rsidR="00467293">
        <w:noBreakHyphen/>
      </w:r>
      <w:r w:rsidRPr="00A2600C">
        <w:t>IoTSec (</w:t>
      </w:r>
      <w:hyperlink r:id="rId11" w:history="1">
        <w:r w:rsidRPr="00A2600C">
          <w:rPr>
            <w:rStyle w:val="Hyperlink"/>
          </w:rPr>
          <w:t>https://www.itu.int/en/ITU-T/jcg/iotsec/</w:t>
        </w:r>
      </w:hyperlink>
      <w:r w:rsidRPr="00A2600C">
        <w:t>), como un espacio de colaboración mediante documentos (</w:t>
      </w:r>
      <w:hyperlink r:id="rId12" w:history="1">
        <w:r w:rsidRPr="00A2600C">
          <w:rPr>
            <w:rStyle w:val="Hyperlink"/>
          </w:rPr>
          <w:t>https://extranet.itu.int/sites/itu-t/jcg/iotsec</w:t>
        </w:r>
      </w:hyperlink>
      <w:r w:rsidR="003C0BC5" w:rsidRPr="00A2600C">
        <w:t>)</w:t>
      </w:r>
      <w:r w:rsidRPr="00A2600C">
        <w:t>. Para acceder a dicho espacio, se requiere una cuenta de la</w:t>
      </w:r>
      <w:r w:rsidR="003C0BC5">
        <w:t> </w:t>
      </w:r>
      <w:r w:rsidRPr="00A2600C">
        <w:t>UIT con acceso a TIES.</w:t>
      </w:r>
    </w:p>
    <w:p w14:paraId="1182FA41" w14:textId="11A02024" w:rsidR="00A2600C" w:rsidRPr="00A2600C" w:rsidRDefault="00A2600C" w:rsidP="00A2600C">
      <w:r w:rsidRPr="00A2600C">
        <w:t>5</w:t>
      </w:r>
      <w:r w:rsidRPr="00A2600C">
        <w:tab/>
        <w:t>Aunque el</w:t>
      </w:r>
      <w:r w:rsidR="00467293">
        <w:t> </w:t>
      </w:r>
      <w:r w:rsidRPr="00A2600C">
        <w:t>JCG</w:t>
      </w:r>
      <w:r w:rsidR="00467293">
        <w:noBreakHyphen/>
      </w:r>
      <w:r w:rsidRPr="00A2600C">
        <w:t>IoTSec llevará a cabo su labor principalmente a través de una lista de correo específica, también podrá organizar reuniones presenciales o virtuales utilizando herramientas de reunión compatibles con la Oficina de Normalización de las Telecomunicaciones (TSB). Se ruega a las personas interesadas en participar en los debates que se suscriban a la lista de correo correspondiente (</w:t>
      </w:r>
      <w:hyperlink r:id="rId13" w:history="1">
        <w:r w:rsidRPr="00A2600C">
          <w:rPr>
            <w:rStyle w:val="Hyperlink"/>
          </w:rPr>
          <w:t>jcgiotsec@lists.itu.int</w:t>
        </w:r>
      </w:hyperlink>
      <w:r w:rsidRPr="00A2600C">
        <w:t xml:space="preserve">) a través de </w:t>
      </w:r>
      <w:hyperlink r:id="rId14" w:history="1">
        <w:r w:rsidRPr="00A2600C">
          <w:rPr>
            <w:rStyle w:val="Hyperlink"/>
          </w:rPr>
          <w:t>este enlace</w:t>
        </w:r>
      </w:hyperlink>
      <w:r w:rsidRPr="00A2600C">
        <w:t xml:space="preserve"> o mediante la </w:t>
      </w:r>
      <w:hyperlink r:id="rId15" w:anchor="/Mailing" w:history="1">
        <w:r w:rsidRPr="00A2600C">
          <w:rPr>
            <w:rStyle w:val="Hyperlink"/>
          </w:rPr>
          <w:t>aplicación MyWorkspace</w:t>
        </w:r>
      </w:hyperlink>
      <w:r w:rsidRPr="00A2600C">
        <w:t>.</w:t>
      </w:r>
    </w:p>
    <w:p w14:paraId="68C7596A" w14:textId="49593705" w:rsidR="00A2600C" w:rsidRPr="00A2600C" w:rsidRDefault="00A2600C" w:rsidP="00A2600C">
      <w:r w:rsidRPr="00A2600C">
        <w:t>6</w:t>
      </w:r>
      <w:r w:rsidRPr="00A2600C">
        <w:tab/>
        <w:t>La primera reunión del</w:t>
      </w:r>
      <w:r w:rsidR="00467293">
        <w:t> </w:t>
      </w:r>
      <w:r w:rsidRPr="00A2600C">
        <w:t>JCG</w:t>
      </w:r>
      <w:r w:rsidR="00467293">
        <w:noBreakHyphen/>
      </w:r>
      <w:r w:rsidRPr="00A2600C">
        <w:t xml:space="preserve">IoTSec tendrá lugar en la </w:t>
      </w:r>
      <w:r w:rsidR="003C0BC5" w:rsidRPr="00A2600C">
        <w:t xml:space="preserve">Sede </w:t>
      </w:r>
      <w:r w:rsidRPr="00A2600C">
        <w:t>de la UIT, en Ginebra, el</w:t>
      </w:r>
      <w:r w:rsidRPr="00A2600C">
        <w:rPr>
          <w:b/>
          <w:bCs/>
        </w:rPr>
        <w:t xml:space="preserve"> 17 de septiembre de</w:t>
      </w:r>
      <w:r w:rsidR="00B03EE2">
        <w:rPr>
          <w:b/>
          <w:bCs/>
        </w:rPr>
        <w:t> </w:t>
      </w:r>
      <w:r w:rsidRPr="00A2600C">
        <w:rPr>
          <w:b/>
          <w:bCs/>
        </w:rPr>
        <w:t xml:space="preserve">2025 </w:t>
      </w:r>
      <w:r w:rsidRPr="00A2600C">
        <w:t>de las</w:t>
      </w:r>
      <w:r w:rsidRPr="00A2600C">
        <w:rPr>
          <w:b/>
          <w:bCs/>
        </w:rPr>
        <w:t xml:space="preserve"> 13.00 a las 14.00</w:t>
      </w:r>
      <w:r>
        <w:rPr>
          <w:b/>
          <w:bCs/>
        </w:rPr>
        <w:t> </w:t>
      </w:r>
      <w:r w:rsidRPr="00A2600C">
        <w:rPr>
          <w:b/>
          <w:bCs/>
        </w:rPr>
        <w:t>horas, hora de Ginebra</w:t>
      </w:r>
      <w:r w:rsidRPr="00A2600C">
        <w:t>. Dicha reunión se celebrará en paralelo a la de la Comisión de Estudio</w:t>
      </w:r>
      <w:r w:rsidR="003C0BC5">
        <w:t> </w:t>
      </w:r>
      <w:r w:rsidRPr="00A2600C">
        <w:t>20 del</w:t>
      </w:r>
      <w:r w:rsidR="00B03EE2">
        <w:t> </w:t>
      </w:r>
      <w:r w:rsidRPr="00A2600C">
        <w:t>UIT</w:t>
      </w:r>
      <w:r w:rsidR="00B03EE2">
        <w:noBreakHyphen/>
      </w:r>
      <w:r w:rsidRPr="00A2600C">
        <w:t xml:space="preserve">T sobre </w:t>
      </w:r>
      <w:r w:rsidR="00B03EE2">
        <w:t>"</w:t>
      </w:r>
      <w:r w:rsidRPr="00A2600C">
        <w:t>Internet de las cosas, gemelos digitales y ciudades y comunidades inteligentes y sostenibles</w:t>
      </w:r>
      <w:r w:rsidR="00B03EE2">
        <w:t>"</w:t>
      </w:r>
      <w:r w:rsidRPr="00A2600C">
        <w:t>, prevista del 15 al 25 de septiembre de</w:t>
      </w:r>
      <w:r w:rsidR="00B03EE2">
        <w:t> </w:t>
      </w:r>
      <w:r w:rsidRPr="00A2600C">
        <w:t>2025.</w:t>
      </w:r>
    </w:p>
    <w:p w14:paraId="2855BC8E" w14:textId="77777777" w:rsidR="00A2600C" w:rsidRPr="00A2600C" w:rsidRDefault="00A2600C" w:rsidP="00A2600C">
      <w:r w:rsidRPr="00A2600C">
        <w:t>7</w:t>
      </w:r>
      <w:r w:rsidRPr="00A2600C">
        <w:tab/>
        <w:t xml:space="preserve">Véase el proyecto de orden del día de la reunión en </w:t>
      </w:r>
      <w:hyperlink r:id="rId16" w:history="1">
        <w:r w:rsidRPr="00A2600C">
          <w:rPr>
            <w:rStyle w:val="Hyperlink"/>
          </w:rPr>
          <w:t>JCG-IoTSec-I-Doc001</w:t>
        </w:r>
      </w:hyperlink>
      <w:r w:rsidRPr="00A2600C">
        <w:t>.</w:t>
      </w:r>
    </w:p>
    <w:p w14:paraId="7C2F5E23" w14:textId="37365CD3" w:rsidR="00A2600C" w:rsidRPr="00A2600C" w:rsidRDefault="00A2600C" w:rsidP="00A2600C">
      <w:r w:rsidRPr="00A2600C">
        <w:t>8</w:t>
      </w:r>
      <w:r w:rsidRPr="00A2600C">
        <w:tab/>
        <w:t xml:space="preserve">Se facilitará la participación a distancia a través de </w:t>
      </w:r>
      <w:hyperlink r:id="rId17" w:anchor="/E-meetings" w:history="1">
        <w:r w:rsidRPr="00A2600C">
          <w:rPr>
            <w:rStyle w:val="Hyperlink"/>
          </w:rPr>
          <w:t>MyMeetings</w:t>
        </w:r>
      </w:hyperlink>
      <w:r w:rsidRPr="00A2600C">
        <w:t xml:space="preserve">. Le rogamos envíe sus contribuciones a esta primera reunión por correo electrónico al </w:t>
      </w:r>
      <w:r w:rsidR="003C0BC5">
        <w:t>s</w:t>
      </w:r>
      <w:r w:rsidRPr="00A2600C">
        <w:t xml:space="preserve">ecretario del grupo, a través de la dirección </w:t>
      </w:r>
      <w:hyperlink r:id="rId18" w:history="1">
        <w:r w:rsidRPr="00A2600C">
          <w:rPr>
            <w:rStyle w:val="Hyperlink"/>
          </w:rPr>
          <w:t>tsbjcgiotsec@itu.int</w:t>
        </w:r>
      </w:hyperlink>
      <w:r w:rsidRPr="00A2600C">
        <w:t>, el</w:t>
      </w:r>
      <w:r w:rsidRPr="00A2600C">
        <w:rPr>
          <w:b/>
          <w:bCs/>
        </w:rPr>
        <w:t xml:space="preserve"> 10 de septiembre de</w:t>
      </w:r>
      <w:r>
        <w:rPr>
          <w:b/>
          <w:bCs/>
        </w:rPr>
        <w:t> </w:t>
      </w:r>
      <w:r w:rsidRPr="00A2600C">
        <w:rPr>
          <w:b/>
          <w:bCs/>
        </w:rPr>
        <w:t>2025</w:t>
      </w:r>
      <w:r w:rsidRPr="00A2600C">
        <w:t xml:space="preserve"> a más tardar.</w:t>
      </w:r>
    </w:p>
    <w:p w14:paraId="2DBF8B74" w14:textId="403B5AA7" w:rsidR="00A2600C" w:rsidRDefault="00A2600C" w:rsidP="00A2600C">
      <w:r w:rsidRPr="00A2600C">
        <w:t>Le deseo una reunión agradable y productiva.</w:t>
      </w:r>
    </w:p>
    <w:tbl>
      <w:tblPr>
        <w:tblW w:w="0" w:type="auto"/>
        <w:tblInd w:w="-90" w:type="dxa"/>
        <w:tblLook w:val="04A0" w:firstRow="1" w:lastRow="0" w:firstColumn="1" w:lastColumn="0" w:noHBand="0" w:noVBand="1"/>
      </w:tblPr>
      <w:tblGrid>
        <w:gridCol w:w="6635"/>
        <w:gridCol w:w="3089"/>
      </w:tblGrid>
      <w:tr w:rsidR="00B03EE2" w:rsidRPr="0041544D" w14:paraId="1FA55EB7" w14:textId="77777777" w:rsidTr="00B03EE2">
        <w:trPr>
          <w:cantSplit/>
        </w:trPr>
        <w:tc>
          <w:tcPr>
            <w:tcW w:w="6635" w:type="dxa"/>
          </w:tcPr>
          <w:p w14:paraId="6E28424B" w14:textId="77777777" w:rsidR="00B03EE2" w:rsidRDefault="00B03EE2" w:rsidP="00175C37">
            <w:pPr>
              <w:rPr>
                <w:lang w:val="es-ES"/>
              </w:rPr>
            </w:pPr>
            <w:r w:rsidRPr="0041544D">
              <w:rPr>
                <w:lang w:val="es-ES"/>
              </w:rPr>
              <w:t>Atentamente,</w:t>
            </w:r>
          </w:p>
          <w:p w14:paraId="19841A9B" w14:textId="77777777" w:rsidR="00B03EE2" w:rsidRPr="0067472B" w:rsidRDefault="00B03EE2" w:rsidP="00175C37">
            <w:pPr>
              <w:spacing w:before="480" w:after="480"/>
              <w:rPr>
                <w:i/>
                <w:iCs/>
                <w:lang w:val="es-ES"/>
              </w:rPr>
            </w:pPr>
            <w:r w:rsidRPr="0067472B">
              <w:rPr>
                <w:i/>
                <w:iCs/>
                <w:lang w:val="es-ES"/>
              </w:rPr>
              <w:t>(firmado)</w:t>
            </w:r>
          </w:p>
          <w:p w14:paraId="7BFD5A63" w14:textId="77777777" w:rsidR="00B03EE2" w:rsidRPr="0041544D" w:rsidRDefault="00B03EE2" w:rsidP="00175C37">
            <w:pPr>
              <w:rPr>
                <w:lang w:val="es-ES"/>
              </w:rPr>
            </w:pPr>
            <w:r w:rsidRPr="0041544D">
              <w:rPr>
                <w:lang w:val="es-ES"/>
              </w:rPr>
              <w:t>Seizo Onoe</w:t>
            </w:r>
            <w:r w:rsidRPr="0041544D">
              <w:rPr>
                <w:lang w:val="es-ES"/>
              </w:rPr>
              <w:br/>
              <w:t>Director de la Oficina de Normalización</w:t>
            </w:r>
            <w:r w:rsidRPr="0041544D">
              <w:rPr>
                <w:lang w:val="es-ES"/>
              </w:rPr>
              <w:br/>
              <w:t>de las Telecomunicaciones</w:t>
            </w:r>
          </w:p>
        </w:tc>
        <w:tc>
          <w:tcPr>
            <w:tcW w:w="3089" w:type="dxa"/>
            <w:textDirection w:val="btLr"/>
            <w:vAlign w:val="center"/>
          </w:tcPr>
          <w:p w14:paraId="41817D01" w14:textId="5F562C8A" w:rsidR="00B03EE2" w:rsidRPr="0041544D" w:rsidRDefault="00B03EE2" w:rsidP="00B03EE2">
            <w:pPr>
              <w:spacing w:before="0"/>
              <w:ind w:left="227" w:right="227"/>
              <w:jc w:val="center"/>
              <w:rPr>
                <w:bCs/>
                <w:lang w:val="es-ES"/>
              </w:rPr>
            </w:pPr>
            <w:r w:rsidRPr="00B03EE2">
              <w:rPr>
                <w:noProof/>
              </w:rPr>
              <w:drawing>
                <wp:inline distT="0" distB="0" distL="0" distR="0" wp14:anchorId="4BAB73E7" wp14:editId="0B8A3B17">
                  <wp:extent cx="1168400" cy="1168400"/>
                  <wp:effectExtent l="0" t="0" r="0" b="0"/>
                  <wp:docPr id="18833313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171573" cy="1171573"/>
                          </a:xfrm>
                          <a:prstGeom prst="rect">
                            <a:avLst/>
                          </a:prstGeom>
                          <a:noFill/>
                          <a:ln>
                            <a:noFill/>
                          </a:ln>
                        </pic:spPr>
                      </pic:pic>
                    </a:graphicData>
                  </a:graphic>
                </wp:inline>
              </w:drawing>
            </w:r>
            <w:r w:rsidRPr="00B03EE2">
              <w:rPr>
                <w:bCs/>
                <w:lang w:val="es-ES"/>
              </w:rPr>
              <w:t xml:space="preserve">Más </w:t>
            </w:r>
            <w:r w:rsidRPr="00B03EE2">
              <w:rPr>
                <w:bCs/>
                <w:sz w:val="22"/>
                <w:szCs w:val="22"/>
                <w:lang w:val="es-ES"/>
              </w:rPr>
              <w:t>información</w:t>
            </w:r>
          </w:p>
        </w:tc>
      </w:tr>
    </w:tbl>
    <w:p w14:paraId="043D567F" w14:textId="6294E0BE" w:rsidR="00A2600C" w:rsidRPr="0041544D" w:rsidRDefault="00A2600C" w:rsidP="00A2600C">
      <w:pPr>
        <w:spacing w:before="1080"/>
        <w:ind w:right="91"/>
        <w:rPr>
          <w:lang w:val="es-ES"/>
        </w:rPr>
      </w:pPr>
      <w:r w:rsidRPr="0041544D">
        <w:rPr>
          <w:b/>
          <w:bCs/>
          <w:lang w:val="es-ES"/>
        </w:rPr>
        <w:t>Anexo</w:t>
      </w:r>
      <w:r w:rsidRPr="0041544D">
        <w:rPr>
          <w:lang w:val="es-ES"/>
        </w:rPr>
        <w:t xml:space="preserve">: </w:t>
      </w:r>
      <w:r>
        <w:rPr>
          <w:lang w:val="es-ES"/>
        </w:rPr>
        <w:t>1</w:t>
      </w:r>
    </w:p>
    <w:p w14:paraId="5F163E18" w14:textId="7358FA5A" w:rsidR="00101541" w:rsidRDefault="00101541" w:rsidP="00101541">
      <w:r>
        <w:br w:type="page"/>
      </w:r>
    </w:p>
    <w:p w14:paraId="284633C0" w14:textId="6B4676C2" w:rsidR="00A2600C" w:rsidRPr="00A2600C" w:rsidRDefault="00A2600C" w:rsidP="00A2600C">
      <w:pPr>
        <w:pStyle w:val="AnnexNotitle"/>
      </w:pPr>
      <w:r w:rsidRPr="00A2600C">
        <w:lastRenderedPageBreak/>
        <w:t>ANEXO</w:t>
      </w:r>
      <w:bookmarkStart w:id="4" w:name="_Toc199956517"/>
      <w:r w:rsidRPr="00A2600C">
        <w:t xml:space="preserve"> A</w:t>
      </w:r>
      <w:r w:rsidRPr="00A2600C">
        <w:br/>
      </w:r>
      <w:bookmarkEnd w:id="4"/>
      <w:r w:rsidRPr="00A2600C">
        <w:t xml:space="preserve">Mandato del Grupo Mixto por Correspondencia sobre </w:t>
      </w:r>
      <w:r>
        <w:br/>
      </w:r>
      <w:r w:rsidRPr="00A2600C">
        <w:t xml:space="preserve">Seguridad de la Internet de las </w:t>
      </w:r>
      <w:r>
        <w:t>c</w:t>
      </w:r>
      <w:r w:rsidRPr="00A2600C">
        <w:t>osas (</w:t>
      </w:r>
      <w:r w:rsidR="003C0BC5">
        <w:t>J</w:t>
      </w:r>
      <w:r w:rsidRPr="00A2600C">
        <w:t>CG-IoTSec)</w:t>
      </w:r>
    </w:p>
    <w:p w14:paraId="283C283D" w14:textId="079B57F1" w:rsidR="00A2600C" w:rsidRPr="00A2600C" w:rsidRDefault="00A2600C" w:rsidP="00A2600C">
      <w:pPr>
        <w:jc w:val="center"/>
      </w:pPr>
      <w:r w:rsidRPr="00A2600C">
        <w:t>(Anexo</w:t>
      </w:r>
      <w:r>
        <w:t> </w:t>
      </w:r>
      <w:r w:rsidRPr="00A2600C">
        <w:t>D al Documento</w:t>
      </w:r>
      <w:r>
        <w:t> </w:t>
      </w:r>
      <w:hyperlink r:id="rId20" w:history="1">
        <w:r w:rsidRPr="00A2600C">
          <w:rPr>
            <w:rStyle w:val="Hyperlink"/>
          </w:rPr>
          <w:t>TSAG-R1</w:t>
        </w:r>
      </w:hyperlink>
      <w:r w:rsidRPr="00A2600C">
        <w:t>; Ginebra, 30 de mayo de 2025)</w:t>
      </w:r>
    </w:p>
    <w:p w14:paraId="26E07DAF" w14:textId="77777777" w:rsidR="00A2600C" w:rsidRPr="00A2600C" w:rsidRDefault="00A2600C" w:rsidP="00A2600C">
      <w:pPr>
        <w:pStyle w:val="Headingb0"/>
      </w:pPr>
      <w:bookmarkStart w:id="5" w:name="_Hlk205379990"/>
      <w:r w:rsidRPr="00A2600C">
        <w:t>Alcance y objetivos</w:t>
      </w:r>
    </w:p>
    <w:p w14:paraId="0D426E08" w14:textId="7E057D90" w:rsidR="00A2600C" w:rsidRPr="00A2600C" w:rsidRDefault="00A2600C" w:rsidP="00A2600C">
      <w:r w:rsidRPr="00A2600C">
        <w:t>La AMNT</w:t>
      </w:r>
      <w:r w:rsidR="003C0BC5">
        <w:noBreakHyphen/>
      </w:r>
      <w:r w:rsidRPr="00A2600C">
        <w:t>24 (Nueva Delhi, 15-24 de octubre de 2024) aprobó la medida</w:t>
      </w:r>
      <w:r w:rsidR="00B03EE2">
        <w:t> </w:t>
      </w:r>
      <w:r w:rsidRPr="00A2600C">
        <w:t>7 de la Asamblea (Seguridad de la IoT), cuyo tenor es el siguiente:</w:t>
      </w:r>
    </w:p>
    <w:p w14:paraId="4883D903" w14:textId="5AADE938" w:rsidR="00A2600C" w:rsidRPr="00A2600C" w:rsidRDefault="00A2600C" w:rsidP="00B03EE2">
      <w:pPr>
        <w:ind w:left="794"/>
      </w:pPr>
      <w:r w:rsidRPr="00A2600C">
        <w:t>La AMNT</w:t>
      </w:r>
      <w:r w:rsidR="003C0BC5">
        <w:noBreakHyphen/>
      </w:r>
      <w:r w:rsidRPr="00A2600C">
        <w:t>24 encarga a las Comisiones de Estudio</w:t>
      </w:r>
      <w:r w:rsidR="00B03EE2">
        <w:t> </w:t>
      </w:r>
      <w:r w:rsidRPr="00A2600C">
        <w:t>17 y 20 que establezcan un mecanismo conjunto de coordinación o acuerdo entre las Comisiones de Estudio para determinar una línea de demarcación sobre el tema de la seguridad de la IoT e informar al GANT.</w:t>
      </w:r>
    </w:p>
    <w:p w14:paraId="05291319" w14:textId="709C2C66" w:rsidR="00A2600C" w:rsidRPr="00A2600C" w:rsidRDefault="00A2600C" w:rsidP="00A2600C">
      <w:r w:rsidRPr="00A2600C">
        <w:t xml:space="preserve">El Grupo Mixto por Correspondencia sobre Seguridad de la Internet de las </w:t>
      </w:r>
      <w:r w:rsidR="00B03EE2">
        <w:t>c</w:t>
      </w:r>
      <w:r w:rsidRPr="00A2600C">
        <w:t>osas (</w:t>
      </w:r>
      <w:r w:rsidR="00467293">
        <w:t>J</w:t>
      </w:r>
      <w:r w:rsidRPr="00A2600C">
        <w:t>CG</w:t>
      </w:r>
      <w:r w:rsidR="00467293">
        <w:noBreakHyphen/>
      </w:r>
      <w:r w:rsidRPr="00A2600C">
        <w:t>IoTSec) deliberará sobre el tema de la seguridad de la Internet de las cosas (IoT), a fin de aplicar la medida adoptada por la</w:t>
      </w:r>
      <w:r w:rsidR="00B03EE2">
        <w:t> </w:t>
      </w:r>
      <w:r w:rsidRPr="00A2600C">
        <w:t>AMNT-24. En particular, sus deliberaciones girarán en torno a:</w:t>
      </w:r>
    </w:p>
    <w:p w14:paraId="13CE52BE" w14:textId="1FEFC986" w:rsidR="00A2600C" w:rsidRPr="00A2600C" w:rsidRDefault="00A2600C" w:rsidP="00A2600C">
      <w:pPr>
        <w:pStyle w:val="enumlev1"/>
      </w:pPr>
      <w:r>
        <w:t>–</w:t>
      </w:r>
      <w:r>
        <w:tab/>
      </w:r>
      <w:r w:rsidRPr="00A2600C">
        <w:t>la revisión y el análisis del alcance actual de las actividades relacionadas con la seguridad de la</w:t>
      </w:r>
      <w:r w:rsidR="00467293">
        <w:t> </w:t>
      </w:r>
      <w:r w:rsidRPr="00A2600C">
        <w:t>IoT de la CE</w:t>
      </w:r>
      <w:r>
        <w:t> </w:t>
      </w:r>
      <w:r w:rsidRPr="00A2600C">
        <w:t>17 y la CE</w:t>
      </w:r>
      <w:r>
        <w:t> </w:t>
      </w:r>
      <w:r w:rsidRPr="00A2600C">
        <w:t>20;</w:t>
      </w:r>
    </w:p>
    <w:p w14:paraId="6D490063" w14:textId="66C0B80E" w:rsidR="00A2600C" w:rsidRPr="00A2600C" w:rsidRDefault="00A2600C" w:rsidP="00A2600C">
      <w:pPr>
        <w:pStyle w:val="enumlev1"/>
      </w:pPr>
      <w:r>
        <w:t>–</w:t>
      </w:r>
      <w:r>
        <w:tab/>
      </w:r>
      <w:r w:rsidRPr="00A2600C">
        <w:t>la detección de duplicidades, sinergias y posibles lagunas en el marco de las actividades de normalización relacionadas con la seguridad de la IoT;</w:t>
      </w:r>
    </w:p>
    <w:p w14:paraId="24A0CD1A" w14:textId="18B3C2A9" w:rsidR="00A2600C" w:rsidRPr="00A2600C" w:rsidRDefault="00A2600C" w:rsidP="00A2600C">
      <w:pPr>
        <w:pStyle w:val="enumlev1"/>
      </w:pPr>
      <w:r>
        <w:t>–</w:t>
      </w:r>
      <w:r>
        <w:tab/>
      </w:r>
      <w:r w:rsidRPr="00A2600C">
        <w:t>la definición de una línea de demarcación entre las responsabilidades de la CE</w:t>
      </w:r>
      <w:r>
        <w:t> </w:t>
      </w:r>
      <w:r w:rsidRPr="00A2600C">
        <w:t>17 y la</w:t>
      </w:r>
      <w:r w:rsidR="00B03EE2">
        <w:t> </w:t>
      </w:r>
      <w:r w:rsidRPr="00A2600C">
        <w:t>CE</w:t>
      </w:r>
      <w:r>
        <w:t> </w:t>
      </w:r>
      <w:r w:rsidRPr="00A2600C">
        <w:t>20 en lo que respeta a la seguridad de la IoT; y</w:t>
      </w:r>
    </w:p>
    <w:p w14:paraId="47E93117" w14:textId="0D17C195" w:rsidR="00A2600C" w:rsidRPr="00A2600C" w:rsidRDefault="00A2600C" w:rsidP="00A2600C">
      <w:pPr>
        <w:pStyle w:val="enumlev1"/>
      </w:pPr>
      <w:r>
        <w:t>–</w:t>
      </w:r>
      <w:r>
        <w:tab/>
      </w:r>
      <w:r w:rsidRPr="00A2600C">
        <w:t>la elaboración de propuestas sobre mecanismos de coordinación y disposiciones de trabajo al</w:t>
      </w:r>
      <w:r w:rsidR="00B03EE2">
        <w:t> </w:t>
      </w:r>
      <w:r w:rsidRPr="00A2600C">
        <w:t>GANT, en su caso.</w:t>
      </w:r>
    </w:p>
    <w:p w14:paraId="580D269B" w14:textId="6532CAC1" w:rsidR="00A2600C" w:rsidRPr="00A2600C" w:rsidRDefault="00A2600C" w:rsidP="00A2600C">
      <w:r w:rsidRPr="00A2600C">
        <w:t>Su objetivo es ayudar a los Presidentes de las Comisiones de Estudio</w:t>
      </w:r>
      <w:r w:rsidR="00467293">
        <w:t> </w:t>
      </w:r>
      <w:r w:rsidRPr="00A2600C">
        <w:t>17 y 20 a elaborar un informe dirigido al</w:t>
      </w:r>
      <w:r w:rsidR="00B03EE2">
        <w:t> </w:t>
      </w:r>
      <w:r w:rsidRPr="00A2600C">
        <w:t>GANT sobre la línea de demarcación de la seguridad de la IoT.</w:t>
      </w:r>
    </w:p>
    <w:p w14:paraId="0B8EEDB1" w14:textId="77777777" w:rsidR="00A2600C" w:rsidRPr="00A2600C" w:rsidRDefault="00A2600C" w:rsidP="00A2600C">
      <w:pPr>
        <w:pStyle w:val="Headingb0"/>
      </w:pPr>
      <w:r w:rsidRPr="00A2600C">
        <w:t>Métodos de trabajo</w:t>
      </w:r>
    </w:p>
    <w:p w14:paraId="05414990" w14:textId="50FE99F0" w:rsidR="00A2600C" w:rsidRPr="00A2600C" w:rsidRDefault="00A2600C" w:rsidP="00A2600C">
      <w:pPr>
        <w:pStyle w:val="enumlev1"/>
      </w:pPr>
      <w:r>
        <w:t>–</w:t>
      </w:r>
      <w:r>
        <w:tab/>
      </w:r>
      <w:r w:rsidRPr="00A2600C">
        <w:t>El grupo rector del</w:t>
      </w:r>
      <w:r w:rsidR="00467293">
        <w:t> </w:t>
      </w:r>
      <w:r w:rsidRPr="00A2600C">
        <w:t>JCG</w:t>
      </w:r>
      <w:r w:rsidR="00467293">
        <w:noBreakHyphen/>
      </w:r>
      <w:r w:rsidRPr="00A2600C">
        <w:t>IoTSec es el</w:t>
      </w:r>
      <w:r w:rsidR="00B03EE2">
        <w:t> </w:t>
      </w:r>
      <w:r w:rsidRPr="00A2600C">
        <w:t>GANT.</w:t>
      </w:r>
    </w:p>
    <w:p w14:paraId="34AFDDDF" w14:textId="2E34DC2E" w:rsidR="00A2600C" w:rsidRPr="00A2600C" w:rsidRDefault="00A2600C" w:rsidP="00A2600C">
      <w:pPr>
        <w:pStyle w:val="enumlev1"/>
      </w:pPr>
      <w:r>
        <w:t>–</w:t>
      </w:r>
      <w:r>
        <w:tab/>
      </w:r>
      <w:r w:rsidRPr="00A2600C">
        <w:t>El</w:t>
      </w:r>
      <w:r w:rsidR="00467293">
        <w:t> </w:t>
      </w:r>
      <w:r w:rsidRPr="00A2600C">
        <w:t>JCG</w:t>
      </w:r>
      <w:r w:rsidR="00467293">
        <w:noBreakHyphen/>
      </w:r>
      <w:r w:rsidRPr="00A2600C">
        <w:t>IoTSec está abierto a las organizaciones que participan en la CE</w:t>
      </w:r>
      <w:r w:rsidR="00B03EE2">
        <w:t> </w:t>
      </w:r>
      <w:r w:rsidRPr="00A2600C">
        <w:t>17 y la CE</w:t>
      </w:r>
      <w:r w:rsidR="00B03EE2">
        <w:t> </w:t>
      </w:r>
      <w:r w:rsidRPr="00A2600C">
        <w:t>20 del</w:t>
      </w:r>
      <w:r w:rsidR="00B03EE2">
        <w:t> </w:t>
      </w:r>
      <w:r w:rsidRPr="00A2600C">
        <w:t>UIT</w:t>
      </w:r>
      <w:r w:rsidR="00B03EE2">
        <w:noBreakHyphen/>
      </w:r>
      <w:r w:rsidRPr="00A2600C">
        <w:t>T.</w:t>
      </w:r>
    </w:p>
    <w:p w14:paraId="59DF9591" w14:textId="4BA97D71" w:rsidR="00A2600C" w:rsidRPr="00A2600C" w:rsidRDefault="00A2600C" w:rsidP="00A2600C">
      <w:pPr>
        <w:pStyle w:val="enumlev1"/>
      </w:pPr>
      <w:r>
        <w:t>–</w:t>
      </w:r>
      <w:r>
        <w:tab/>
      </w:r>
      <w:r w:rsidRPr="00A2600C">
        <w:t>Se elaborará un informe sobre los resultados de las actividades del</w:t>
      </w:r>
      <w:r w:rsidR="00467293">
        <w:t> </w:t>
      </w:r>
      <w:r w:rsidRPr="00A2600C">
        <w:t>JCG</w:t>
      </w:r>
      <w:r w:rsidR="00467293">
        <w:noBreakHyphen/>
      </w:r>
      <w:r w:rsidRPr="00A2600C">
        <w:t>IoTSec un mes antes de cada reunión de las Comisiones de Estudio</w:t>
      </w:r>
      <w:r w:rsidR="00B03EE2">
        <w:t> </w:t>
      </w:r>
      <w:r w:rsidRPr="00A2600C">
        <w:t>17 y 20, respectivamente.</w:t>
      </w:r>
    </w:p>
    <w:p w14:paraId="7179C88B" w14:textId="09DEF228" w:rsidR="00A2600C" w:rsidRPr="00A2600C" w:rsidRDefault="00A2600C" w:rsidP="00A2600C">
      <w:pPr>
        <w:pStyle w:val="enumlev1"/>
      </w:pPr>
      <w:r>
        <w:t>–</w:t>
      </w:r>
      <w:r>
        <w:tab/>
      </w:r>
      <w:r w:rsidRPr="00A2600C">
        <w:t>Aunque el</w:t>
      </w:r>
      <w:r w:rsidR="00467293">
        <w:t> </w:t>
      </w:r>
      <w:r w:rsidRPr="00A2600C">
        <w:t>JCG</w:t>
      </w:r>
      <w:r w:rsidR="00467293">
        <w:noBreakHyphen/>
      </w:r>
      <w:r w:rsidRPr="00A2600C">
        <w:t>IoTSec llevará a cabo su labor principalmente a través de una lista de correo específica (</w:t>
      </w:r>
      <w:hyperlink r:id="rId21" w:history="1">
        <w:r w:rsidRPr="00A2600C">
          <w:rPr>
            <w:rStyle w:val="Hyperlink"/>
          </w:rPr>
          <w:t>jcgiotsec@lists.itu.int</w:t>
        </w:r>
      </w:hyperlink>
      <w:r w:rsidRPr="00A2600C">
        <w:t>), también podrá celebrar reuniones virtuales según se acuerde. Estas reuniones virtuales se organizarán utilizando herramientas de reunión compatibles con la</w:t>
      </w:r>
      <w:r w:rsidR="00B03EE2">
        <w:t> </w:t>
      </w:r>
      <w:r w:rsidRPr="00A2600C">
        <w:t>TSB.</w:t>
      </w:r>
    </w:p>
    <w:p w14:paraId="680F79C6" w14:textId="2D896C30" w:rsidR="00A2600C" w:rsidRPr="00A2600C" w:rsidRDefault="00A2600C" w:rsidP="00A2600C">
      <w:pPr>
        <w:pStyle w:val="enumlev1"/>
      </w:pPr>
      <w:r>
        <w:t>–</w:t>
      </w:r>
      <w:r>
        <w:tab/>
      </w:r>
      <w:r w:rsidRPr="00A2600C">
        <w:t>Los anuncios de las reuniones, incluido el proyecto de orden del día, se distribuirán por correo electrónico con al menos una semana de antelación.</w:t>
      </w:r>
    </w:p>
    <w:p w14:paraId="34BF95BE" w14:textId="20D8FC28" w:rsidR="00A2600C" w:rsidRPr="00A2600C" w:rsidRDefault="00A2600C" w:rsidP="00A2600C">
      <w:pPr>
        <w:pStyle w:val="enumlev1"/>
      </w:pPr>
      <w:r>
        <w:t>–</w:t>
      </w:r>
      <w:r>
        <w:tab/>
      </w:r>
      <w:r w:rsidRPr="00A2600C">
        <w:t>Los coorganizadores del</w:t>
      </w:r>
      <w:r w:rsidR="00467293">
        <w:t> </w:t>
      </w:r>
      <w:r w:rsidRPr="00A2600C">
        <w:t>JCG</w:t>
      </w:r>
      <w:r w:rsidR="00467293">
        <w:noBreakHyphen/>
      </w:r>
      <w:r w:rsidRPr="00A2600C">
        <w:t>IoTSec son el Sr.</w:t>
      </w:r>
      <w:r w:rsidR="00467293">
        <w:t> </w:t>
      </w:r>
      <w:r w:rsidRPr="00A2600C">
        <w:t>Bret Jordan, Presidente del GT</w:t>
      </w:r>
      <w:r w:rsidR="00B03EE2">
        <w:t> </w:t>
      </w:r>
      <w:r w:rsidRPr="00A2600C">
        <w:t xml:space="preserve">2/17, y </w:t>
      </w:r>
      <w:r w:rsidR="00467293">
        <w:t>e</w:t>
      </w:r>
      <w:r w:rsidRPr="00A2600C">
        <w:t>l Sr.</w:t>
      </w:r>
      <w:r w:rsidR="00B03EE2">
        <w:t> </w:t>
      </w:r>
      <w:r w:rsidRPr="00A2600C">
        <w:t>Ramy Ahmed Fathy, Presidente del GT</w:t>
      </w:r>
      <w:r w:rsidR="00B03EE2">
        <w:t> </w:t>
      </w:r>
      <w:r w:rsidRPr="00A2600C">
        <w:t>3/20, designados por la Comisión de Estudio</w:t>
      </w:r>
      <w:r w:rsidR="00B03EE2">
        <w:t> </w:t>
      </w:r>
      <w:r w:rsidRPr="00A2600C">
        <w:t>17 y la Comisión de Estudio</w:t>
      </w:r>
      <w:r w:rsidR="00B03EE2">
        <w:t> </w:t>
      </w:r>
      <w:r w:rsidRPr="00A2600C">
        <w:t>20, respectivamente.</w:t>
      </w:r>
    </w:p>
    <w:p w14:paraId="34E07AAF" w14:textId="3B5F6AD0" w:rsidR="00A2600C" w:rsidRPr="00A2600C" w:rsidRDefault="00A2600C" w:rsidP="00A2600C">
      <w:pPr>
        <w:pStyle w:val="enumlev1"/>
      </w:pPr>
      <w:r>
        <w:t>–</w:t>
      </w:r>
      <w:r>
        <w:tab/>
      </w:r>
      <w:r w:rsidRPr="00A2600C">
        <w:t>El</w:t>
      </w:r>
      <w:r w:rsidR="00467293">
        <w:t> </w:t>
      </w:r>
      <w:r w:rsidRPr="00A2600C">
        <w:t>JCG</w:t>
      </w:r>
      <w:r w:rsidR="00467293">
        <w:noBreakHyphen/>
      </w:r>
      <w:r w:rsidRPr="00A2600C">
        <w:t>IoTSec podrá proponer proyectos de revisión de su mandato, según sea necesario, para garantizar su pertinencia y su capacidad de respuesta a unas prioridades dinámicas.</w:t>
      </w:r>
    </w:p>
    <w:p w14:paraId="22CF4B31" w14:textId="3D0D90C9" w:rsidR="00A2600C" w:rsidRPr="00A2600C" w:rsidRDefault="00A2600C" w:rsidP="00A2600C">
      <w:pPr>
        <w:pStyle w:val="enumlev1"/>
      </w:pPr>
      <w:r>
        <w:t>–</w:t>
      </w:r>
      <w:r>
        <w:tab/>
      </w:r>
      <w:r w:rsidRPr="00A2600C">
        <w:t>El</w:t>
      </w:r>
      <w:r w:rsidR="00467293">
        <w:t> </w:t>
      </w:r>
      <w:r w:rsidRPr="00A2600C">
        <w:t>JCG</w:t>
      </w:r>
      <w:r w:rsidR="00467293">
        <w:noBreakHyphen/>
      </w:r>
      <w:r w:rsidRPr="00A2600C">
        <w:t>IoTSec permanecerá activo hasta que el</w:t>
      </w:r>
      <w:r w:rsidR="00B03EE2">
        <w:t> </w:t>
      </w:r>
      <w:r w:rsidRPr="00A2600C">
        <w:t>GANT alcance un acuerdo.</w:t>
      </w:r>
    </w:p>
    <w:p w14:paraId="05845273" w14:textId="30460EBC" w:rsidR="00A2600C" w:rsidRPr="00A2600C" w:rsidRDefault="00A2600C" w:rsidP="00A2600C">
      <w:pPr>
        <w:pStyle w:val="enumlev1"/>
      </w:pPr>
      <w:bookmarkStart w:id="6" w:name="_Hlk188452165"/>
      <w:r>
        <w:lastRenderedPageBreak/>
        <w:t>–</w:t>
      </w:r>
      <w:r>
        <w:tab/>
      </w:r>
      <w:r w:rsidRPr="00A2600C">
        <w:t>El</w:t>
      </w:r>
      <w:r w:rsidR="00467293">
        <w:t> </w:t>
      </w:r>
      <w:r w:rsidRPr="00A2600C">
        <w:t>JCG</w:t>
      </w:r>
      <w:r w:rsidR="00467293">
        <w:noBreakHyphen/>
      </w:r>
      <w:r w:rsidRPr="00A2600C">
        <w:t>IoTSec rendirá cuentas a las Comisiones de Estudio competentes y al</w:t>
      </w:r>
      <w:r w:rsidR="001C56C3">
        <w:t> </w:t>
      </w:r>
      <w:r w:rsidRPr="00A2600C">
        <w:t>GANT hasta que concluya su labor.</w:t>
      </w:r>
      <w:bookmarkEnd w:id="6"/>
    </w:p>
    <w:p w14:paraId="405BA95E" w14:textId="39DC01EC" w:rsidR="00A2600C" w:rsidRPr="00A2600C" w:rsidRDefault="00A2600C" w:rsidP="00A2600C">
      <w:pPr>
        <w:pStyle w:val="enumlev1"/>
      </w:pPr>
      <w:r>
        <w:t>–</w:t>
      </w:r>
      <w:r>
        <w:tab/>
      </w:r>
      <w:r w:rsidRPr="00A2600C">
        <w:t>El</w:t>
      </w:r>
      <w:r w:rsidR="00B03EE2">
        <w:t> </w:t>
      </w:r>
      <w:r w:rsidRPr="00A2600C">
        <w:t>GANT podrá ampliar las actividades del</w:t>
      </w:r>
      <w:r w:rsidR="00467293">
        <w:t> </w:t>
      </w:r>
      <w:r w:rsidRPr="00A2600C">
        <w:t>JCG</w:t>
      </w:r>
      <w:r w:rsidR="00467293">
        <w:noBreakHyphen/>
      </w:r>
      <w:r w:rsidRPr="00A2600C">
        <w:t>IoTSec, basándose en las contribuciones de las Comisiones de Estudio competentes.</w:t>
      </w:r>
    </w:p>
    <w:bookmarkEnd w:id="5"/>
    <w:p w14:paraId="3D2DDC62" w14:textId="77777777" w:rsidR="00A2600C" w:rsidRPr="00B03EE2" w:rsidRDefault="00A2600C" w:rsidP="00411C49">
      <w:pPr>
        <w:pStyle w:val="Reasons"/>
        <w:rPr>
          <w:lang w:val="es-ES"/>
        </w:rPr>
      </w:pPr>
    </w:p>
    <w:p w14:paraId="236C6230" w14:textId="77777777" w:rsidR="00A2600C" w:rsidRDefault="00A2600C">
      <w:pPr>
        <w:jc w:val="center"/>
      </w:pPr>
      <w:r>
        <w:t>______________</w:t>
      </w:r>
    </w:p>
    <w:sectPr w:rsidR="00A2600C" w:rsidSect="00B87E9E">
      <w:headerReference w:type="default" r:id="rId22"/>
      <w:footerReference w:type="first" r:id="rId23"/>
      <w:pgSz w:w="11907" w:h="16840" w:code="9"/>
      <w:pgMar w:top="1134" w:right="1134" w:bottom="1134" w:left="1134" w:header="567" w:footer="567" w:gutter="0"/>
      <w:paperSrc w:first="261" w:other="26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50270B" w14:textId="77777777" w:rsidR="00D97832" w:rsidRDefault="00D97832">
      <w:r>
        <w:separator/>
      </w:r>
    </w:p>
  </w:endnote>
  <w:endnote w:type="continuationSeparator" w:id="0">
    <w:p w14:paraId="0EF61A8E" w14:textId="77777777" w:rsidR="00D97832" w:rsidRDefault="00D978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Futura Lt BT">
    <w:altName w:val="Arial"/>
    <w:charset w:val="00"/>
    <w:family w:val="swiss"/>
    <w:pitch w:val="variable"/>
    <w:sig w:usb0="00000087" w:usb1="00000000" w:usb2="00000000" w:usb3="00000000" w:csb0="0000001B" w:csb1="00000000"/>
  </w:font>
  <w:font w:name="Times New Roman Bold">
    <w:altName w:val="Times New Roman"/>
    <w:panose1 w:val="02020803070505020304"/>
    <w:charset w:val="00"/>
    <w:family w:val="roman"/>
    <w:pitch w:val="variable"/>
    <w:sig w:usb0="00003A87" w:usb1="00000000" w:usb2="00000000" w:usb3="00000000" w:csb0="000000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C72DDA" w14:textId="2A7C35AE" w:rsidR="0014464D" w:rsidRPr="00D834E7" w:rsidRDefault="0014464D" w:rsidP="00FC416A">
    <w:pPr>
      <w:pStyle w:val="FirstFooter"/>
      <w:ind w:left="-397" w:right="-397"/>
      <w:jc w:val="center"/>
      <w:rPr>
        <w:color w:val="0070C0"/>
        <w:szCs w:val="18"/>
        <w:lang w:val="es-ES"/>
      </w:rPr>
    </w:pPr>
    <w:r w:rsidRPr="00D834E7">
      <w:rPr>
        <w:color w:val="0070C0"/>
        <w:szCs w:val="18"/>
        <w:lang w:val="es-ES"/>
      </w:rPr>
      <w:t>Unión Internacional de Telecomunicaciones • Place des Nations, CH</w:t>
    </w:r>
    <w:r w:rsidRPr="00D834E7">
      <w:rPr>
        <w:color w:val="0070C0"/>
        <w:szCs w:val="18"/>
        <w:lang w:val="es-ES"/>
      </w:rPr>
      <w:noBreakHyphen/>
      <w:t xml:space="preserve">1211 Ginebra 20, Suiza </w:t>
    </w:r>
    <w:r w:rsidRPr="00D834E7">
      <w:rPr>
        <w:color w:val="0070C0"/>
        <w:szCs w:val="18"/>
        <w:lang w:val="es-ES"/>
      </w:rPr>
      <w:br/>
      <w:t>Tel</w:t>
    </w:r>
    <w:r w:rsidR="00101541">
      <w:rPr>
        <w:color w:val="0070C0"/>
        <w:szCs w:val="18"/>
        <w:lang w:val="es-ES"/>
      </w:rPr>
      <w:t>.</w:t>
    </w:r>
    <w:r w:rsidRPr="00D834E7">
      <w:rPr>
        <w:color w:val="0070C0"/>
        <w:szCs w:val="18"/>
        <w:lang w:val="es-ES"/>
      </w:rPr>
      <w:t xml:space="preserve">: +41 22 730 5111 • Fax: +41 22 733 7256 • Correo-e: </w:t>
    </w:r>
    <w:hyperlink r:id="rId1" w:history="1">
      <w:r w:rsidRPr="00D834E7">
        <w:rPr>
          <w:rStyle w:val="Hyperlink"/>
          <w:color w:val="0070C0"/>
          <w:lang w:val="es-ES"/>
        </w:rPr>
        <w:t>itumail@itu.int</w:t>
      </w:r>
    </w:hyperlink>
    <w:r w:rsidRPr="00D834E7">
      <w:rPr>
        <w:color w:val="0070C0"/>
        <w:szCs w:val="18"/>
        <w:lang w:val="es-ES"/>
      </w:rPr>
      <w:t xml:space="preserve"> • </w:t>
    </w:r>
    <w:hyperlink r:id="rId2" w:history="1">
      <w:r w:rsidRPr="00D834E7">
        <w:rPr>
          <w:rStyle w:val="Hyperlink"/>
          <w:color w:val="0070C0"/>
          <w:lang w:val="es-ES"/>
        </w:rPr>
        <w:t>www.itu.int</w:t>
      </w:r>
    </w:hyperlink>
    <w:r w:rsidRPr="00D834E7">
      <w:rPr>
        <w:color w:val="0070C0"/>
        <w:szCs w:val="18"/>
        <w:lang w:val="es-ES"/>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B87F00" w14:textId="77777777" w:rsidR="00D97832" w:rsidRDefault="00D97832">
      <w:r>
        <w:t>____________________</w:t>
      </w:r>
    </w:p>
  </w:footnote>
  <w:footnote w:type="continuationSeparator" w:id="0">
    <w:p w14:paraId="63DA93B5" w14:textId="77777777" w:rsidR="00D97832" w:rsidRDefault="00D978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7ECB14" w14:textId="4E1E967D" w:rsidR="006969B4" w:rsidRDefault="006969B4">
    <w:pPr>
      <w:pStyle w:val="Header"/>
      <w:rPr>
        <w:rStyle w:val="PageNumber"/>
        <w:sz w:val="18"/>
        <w:szCs w:val="18"/>
      </w:rPr>
    </w:pPr>
    <w:r w:rsidRPr="00303D62">
      <w:rPr>
        <w:sz w:val="18"/>
        <w:szCs w:val="18"/>
      </w:rPr>
      <w:t xml:space="preserve">- </w:t>
    </w:r>
    <w:r w:rsidR="00B87E9E" w:rsidRPr="00303D62">
      <w:rPr>
        <w:rStyle w:val="PageNumber"/>
        <w:sz w:val="18"/>
        <w:szCs w:val="18"/>
      </w:rPr>
      <w:fldChar w:fldCharType="begin"/>
    </w:r>
    <w:r w:rsidRPr="00303D62">
      <w:rPr>
        <w:rStyle w:val="PageNumber"/>
        <w:sz w:val="18"/>
        <w:szCs w:val="18"/>
      </w:rPr>
      <w:instrText xml:space="preserve"> PAGE </w:instrText>
    </w:r>
    <w:r w:rsidR="00B87E9E" w:rsidRPr="00303D62">
      <w:rPr>
        <w:rStyle w:val="PageNumber"/>
        <w:sz w:val="18"/>
        <w:szCs w:val="18"/>
      </w:rPr>
      <w:fldChar w:fldCharType="separate"/>
    </w:r>
    <w:r w:rsidR="007B6316">
      <w:rPr>
        <w:rStyle w:val="PageNumber"/>
        <w:noProof/>
        <w:sz w:val="18"/>
        <w:szCs w:val="18"/>
      </w:rPr>
      <w:t>2</w:t>
    </w:r>
    <w:r w:rsidR="00B87E9E" w:rsidRPr="00303D62">
      <w:rPr>
        <w:rStyle w:val="PageNumber"/>
        <w:sz w:val="18"/>
        <w:szCs w:val="18"/>
      </w:rPr>
      <w:fldChar w:fldCharType="end"/>
    </w:r>
    <w:r w:rsidRPr="00303D62">
      <w:rPr>
        <w:rStyle w:val="PageNumber"/>
        <w:sz w:val="18"/>
        <w:szCs w:val="18"/>
      </w:rPr>
      <w:t xml:space="preserve"> -</w:t>
    </w:r>
  </w:p>
  <w:p w14:paraId="06800910" w14:textId="4452E1DC" w:rsidR="00101541" w:rsidRPr="00303D62" w:rsidRDefault="00101541">
    <w:pPr>
      <w:pStyle w:val="Header"/>
      <w:rPr>
        <w:sz w:val="18"/>
        <w:szCs w:val="18"/>
      </w:rPr>
    </w:pPr>
    <w:r w:rsidRPr="00101541">
      <w:rPr>
        <w:sz w:val="18"/>
        <w:szCs w:val="18"/>
      </w:rPr>
      <w:t xml:space="preserve">Circular TSB </w:t>
    </w:r>
    <w:r w:rsidR="00A2600C">
      <w:rPr>
        <w:sz w:val="18"/>
        <w:szCs w:val="18"/>
      </w:rPr>
      <w:t>67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757CC"/>
    <w:multiLevelType w:val="hybridMultilevel"/>
    <w:tmpl w:val="FF622066"/>
    <w:lvl w:ilvl="0" w:tplc="927AFBD0">
      <w:start w:val="1"/>
      <w:numFmt w:val="bullet"/>
      <w:lvlRestart w:val="0"/>
      <w:lvlText w:val="–"/>
      <w:lvlJc w:val="left"/>
      <w:pPr>
        <w:ind w:left="720" w:hanging="363"/>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4E4912"/>
    <w:multiLevelType w:val="hybridMultilevel"/>
    <w:tmpl w:val="0B1804B4"/>
    <w:lvl w:ilvl="0" w:tplc="927AFBD0">
      <w:start w:val="1"/>
      <w:numFmt w:val="bullet"/>
      <w:lvlRestart w:val="0"/>
      <w:lvlText w:val="–"/>
      <w:lvlJc w:val="left"/>
      <w:pPr>
        <w:ind w:left="720" w:hanging="363"/>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3345EBD"/>
    <w:multiLevelType w:val="singleLevel"/>
    <w:tmpl w:val="7E4A53FA"/>
    <w:lvl w:ilvl="0">
      <w:start w:val="1"/>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3" w15:restartNumberingAfterBreak="0">
    <w:nsid w:val="55781CBA"/>
    <w:multiLevelType w:val="singleLevel"/>
    <w:tmpl w:val="A9E8A218"/>
    <w:lvl w:ilvl="0">
      <w:start w:val="1"/>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4" w15:restartNumberingAfterBreak="0">
    <w:nsid w:val="68ED2616"/>
    <w:multiLevelType w:val="hybridMultilevel"/>
    <w:tmpl w:val="1B5E38B0"/>
    <w:lvl w:ilvl="0" w:tplc="361C44E4">
      <w:start w:val="1"/>
      <w:numFmt w:val="decimal"/>
      <w:lvlText w:val="%1."/>
      <w:lvlJc w:val="left"/>
      <w:pPr>
        <w:tabs>
          <w:tab w:val="num" w:pos="720"/>
        </w:tabs>
        <w:ind w:left="720" w:hanging="360"/>
      </w:pPr>
      <w:rPr>
        <w:rFonts w:hint="default"/>
        <w:sz w:val="16"/>
        <w:szCs w:val="16"/>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7F497AEF"/>
    <w:multiLevelType w:val="hybridMultilevel"/>
    <w:tmpl w:val="6CECF91E"/>
    <w:lvl w:ilvl="0" w:tplc="755A9736">
      <w:numFmt w:val="bullet"/>
      <w:lvlText w:val="-"/>
      <w:lvlJc w:val="left"/>
      <w:pPr>
        <w:tabs>
          <w:tab w:val="num" w:pos="417"/>
        </w:tabs>
        <w:ind w:left="417" w:hanging="360"/>
      </w:pPr>
      <w:rPr>
        <w:rFonts w:ascii="Times New Roman" w:eastAsia="Times New Roman" w:hAnsi="Times New Roman" w:cs="Times New Roman" w:hint="default"/>
      </w:rPr>
    </w:lvl>
    <w:lvl w:ilvl="1" w:tplc="04090003" w:tentative="1">
      <w:start w:val="1"/>
      <w:numFmt w:val="bullet"/>
      <w:lvlText w:val="o"/>
      <w:lvlJc w:val="left"/>
      <w:pPr>
        <w:tabs>
          <w:tab w:val="num" w:pos="1137"/>
        </w:tabs>
        <w:ind w:left="1137" w:hanging="360"/>
      </w:pPr>
      <w:rPr>
        <w:rFonts w:ascii="Courier New" w:hAnsi="Courier New" w:hint="default"/>
      </w:rPr>
    </w:lvl>
    <w:lvl w:ilvl="2" w:tplc="04090005" w:tentative="1">
      <w:start w:val="1"/>
      <w:numFmt w:val="bullet"/>
      <w:lvlText w:val=""/>
      <w:lvlJc w:val="left"/>
      <w:pPr>
        <w:tabs>
          <w:tab w:val="num" w:pos="1857"/>
        </w:tabs>
        <w:ind w:left="1857" w:hanging="360"/>
      </w:pPr>
      <w:rPr>
        <w:rFonts w:ascii="Wingdings" w:hAnsi="Wingdings" w:hint="default"/>
      </w:rPr>
    </w:lvl>
    <w:lvl w:ilvl="3" w:tplc="04090001" w:tentative="1">
      <w:start w:val="1"/>
      <w:numFmt w:val="bullet"/>
      <w:lvlText w:val=""/>
      <w:lvlJc w:val="left"/>
      <w:pPr>
        <w:tabs>
          <w:tab w:val="num" w:pos="2577"/>
        </w:tabs>
        <w:ind w:left="2577" w:hanging="360"/>
      </w:pPr>
      <w:rPr>
        <w:rFonts w:ascii="Symbol" w:hAnsi="Symbol" w:hint="default"/>
      </w:rPr>
    </w:lvl>
    <w:lvl w:ilvl="4" w:tplc="04090003" w:tentative="1">
      <w:start w:val="1"/>
      <w:numFmt w:val="bullet"/>
      <w:lvlText w:val="o"/>
      <w:lvlJc w:val="left"/>
      <w:pPr>
        <w:tabs>
          <w:tab w:val="num" w:pos="3297"/>
        </w:tabs>
        <w:ind w:left="3297" w:hanging="360"/>
      </w:pPr>
      <w:rPr>
        <w:rFonts w:ascii="Courier New" w:hAnsi="Courier New" w:hint="default"/>
      </w:rPr>
    </w:lvl>
    <w:lvl w:ilvl="5" w:tplc="04090005" w:tentative="1">
      <w:start w:val="1"/>
      <w:numFmt w:val="bullet"/>
      <w:lvlText w:val=""/>
      <w:lvlJc w:val="left"/>
      <w:pPr>
        <w:tabs>
          <w:tab w:val="num" w:pos="4017"/>
        </w:tabs>
        <w:ind w:left="4017" w:hanging="360"/>
      </w:pPr>
      <w:rPr>
        <w:rFonts w:ascii="Wingdings" w:hAnsi="Wingdings" w:hint="default"/>
      </w:rPr>
    </w:lvl>
    <w:lvl w:ilvl="6" w:tplc="04090001" w:tentative="1">
      <w:start w:val="1"/>
      <w:numFmt w:val="bullet"/>
      <w:lvlText w:val=""/>
      <w:lvlJc w:val="left"/>
      <w:pPr>
        <w:tabs>
          <w:tab w:val="num" w:pos="4737"/>
        </w:tabs>
        <w:ind w:left="4737" w:hanging="360"/>
      </w:pPr>
      <w:rPr>
        <w:rFonts w:ascii="Symbol" w:hAnsi="Symbol" w:hint="default"/>
      </w:rPr>
    </w:lvl>
    <w:lvl w:ilvl="7" w:tplc="04090003" w:tentative="1">
      <w:start w:val="1"/>
      <w:numFmt w:val="bullet"/>
      <w:lvlText w:val="o"/>
      <w:lvlJc w:val="left"/>
      <w:pPr>
        <w:tabs>
          <w:tab w:val="num" w:pos="5457"/>
        </w:tabs>
        <w:ind w:left="5457" w:hanging="360"/>
      </w:pPr>
      <w:rPr>
        <w:rFonts w:ascii="Courier New" w:hAnsi="Courier New" w:hint="default"/>
      </w:rPr>
    </w:lvl>
    <w:lvl w:ilvl="8" w:tplc="04090005" w:tentative="1">
      <w:start w:val="1"/>
      <w:numFmt w:val="bullet"/>
      <w:lvlText w:val=""/>
      <w:lvlJc w:val="left"/>
      <w:pPr>
        <w:tabs>
          <w:tab w:val="num" w:pos="6177"/>
        </w:tabs>
        <w:ind w:left="6177" w:hanging="360"/>
      </w:pPr>
      <w:rPr>
        <w:rFonts w:ascii="Wingdings" w:hAnsi="Wingdings" w:hint="default"/>
      </w:rPr>
    </w:lvl>
  </w:abstractNum>
  <w:num w:numId="1" w16cid:durableId="297730853">
    <w:abstractNumId w:val="2"/>
  </w:num>
  <w:num w:numId="2" w16cid:durableId="1345282128">
    <w:abstractNumId w:val="5"/>
  </w:num>
  <w:num w:numId="3" w16cid:durableId="1069613404">
    <w:abstractNumId w:val="4"/>
  </w:num>
  <w:num w:numId="4" w16cid:durableId="374936234">
    <w:abstractNumId w:val="3"/>
  </w:num>
  <w:num w:numId="5" w16cid:durableId="858465426">
    <w:abstractNumId w:val="1"/>
  </w:num>
  <w:num w:numId="6" w16cid:durableId="7336235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1158"/>
    <w:rsid w:val="00002529"/>
    <w:rsid w:val="00005EBD"/>
    <w:rsid w:val="00020CC0"/>
    <w:rsid w:val="00085662"/>
    <w:rsid w:val="000B1BA2"/>
    <w:rsid w:val="000C382F"/>
    <w:rsid w:val="00101541"/>
    <w:rsid w:val="00110B04"/>
    <w:rsid w:val="001173CC"/>
    <w:rsid w:val="001350B9"/>
    <w:rsid w:val="0014464D"/>
    <w:rsid w:val="001A54CC"/>
    <w:rsid w:val="001C56C3"/>
    <w:rsid w:val="00257FB4"/>
    <w:rsid w:val="002E496E"/>
    <w:rsid w:val="00303D62"/>
    <w:rsid w:val="00335367"/>
    <w:rsid w:val="00370C2D"/>
    <w:rsid w:val="003B0CBC"/>
    <w:rsid w:val="003C0BC5"/>
    <w:rsid w:val="003D1E8D"/>
    <w:rsid w:val="003D673B"/>
    <w:rsid w:val="003F2855"/>
    <w:rsid w:val="00401C20"/>
    <w:rsid w:val="00467293"/>
    <w:rsid w:val="004A7957"/>
    <w:rsid w:val="004C4144"/>
    <w:rsid w:val="0055719E"/>
    <w:rsid w:val="006969B4"/>
    <w:rsid w:val="006E4F7B"/>
    <w:rsid w:val="00766C41"/>
    <w:rsid w:val="00781E2A"/>
    <w:rsid w:val="007933A2"/>
    <w:rsid w:val="007B6316"/>
    <w:rsid w:val="00814503"/>
    <w:rsid w:val="008258C2"/>
    <w:rsid w:val="008505BD"/>
    <w:rsid w:val="00850C78"/>
    <w:rsid w:val="00876165"/>
    <w:rsid w:val="00884D12"/>
    <w:rsid w:val="008C17AD"/>
    <w:rsid w:val="008D02CD"/>
    <w:rsid w:val="0091370C"/>
    <w:rsid w:val="0095172A"/>
    <w:rsid w:val="009A0BA0"/>
    <w:rsid w:val="00A2600C"/>
    <w:rsid w:val="00A31158"/>
    <w:rsid w:val="00A54E47"/>
    <w:rsid w:val="00AB6E3A"/>
    <w:rsid w:val="00AE7093"/>
    <w:rsid w:val="00B03EE2"/>
    <w:rsid w:val="00B422BC"/>
    <w:rsid w:val="00B43F77"/>
    <w:rsid w:val="00B55A3E"/>
    <w:rsid w:val="00B87E9E"/>
    <w:rsid w:val="00B95F0A"/>
    <w:rsid w:val="00B96180"/>
    <w:rsid w:val="00BA6F31"/>
    <w:rsid w:val="00BB7F56"/>
    <w:rsid w:val="00BC3052"/>
    <w:rsid w:val="00C116FE"/>
    <w:rsid w:val="00C17AC0"/>
    <w:rsid w:val="00C34772"/>
    <w:rsid w:val="00C5465A"/>
    <w:rsid w:val="00D35B01"/>
    <w:rsid w:val="00D54642"/>
    <w:rsid w:val="00D834E7"/>
    <w:rsid w:val="00D92DAE"/>
    <w:rsid w:val="00D97832"/>
    <w:rsid w:val="00DD77C9"/>
    <w:rsid w:val="00DF3538"/>
    <w:rsid w:val="00E839B0"/>
    <w:rsid w:val="00E92C09"/>
    <w:rsid w:val="00F14380"/>
    <w:rsid w:val="00F6461F"/>
    <w:rsid w:val="00FB1474"/>
    <w:rsid w:val="00FC416A"/>
    <w:rsid w:val="00FD2B2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AB0B40"/>
  <w15:docId w15:val="{5B4F3BED-0458-4426-AA5D-B74EAC68B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E496E"/>
    <w:pPr>
      <w:tabs>
        <w:tab w:val="left" w:pos="794"/>
        <w:tab w:val="left" w:pos="1191"/>
        <w:tab w:val="left" w:pos="1588"/>
        <w:tab w:val="left" w:pos="1985"/>
      </w:tabs>
      <w:overflowPunct w:val="0"/>
      <w:autoSpaceDE w:val="0"/>
      <w:autoSpaceDN w:val="0"/>
      <w:adjustRightInd w:val="0"/>
      <w:spacing w:before="120"/>
      <w:textAlignment w:val="baseline"/>
    </w:pPr>
    <w:rPr>
      <w:rFonts w:asciiTheme="minorHAnsi" w:hAnsiTheme="minorHAnsi"/>
      <w:sz w:val="24"/>
      <w:lang w:val="es-ES_tradnl" w:eastAsia="en-US"/>
    </w:rPr>
  </w:style>
  <w:style w:type="paragraph" w:styleId="Heading1">
    <w:name w:val="heading 1"/>
    <w:basedOn w:val="Normal"/>
    <w:next w:val="Normal"/>
    <w:qFormat/>
    <w:pPr>
      <w:keepNext/>
      <w:keepLines/>
      <w:tabs>
        <w:tab w:val="clear" w:pos="1191"/>
        <w:tab w:val="clear" w:pos="1588"/>
        <w:tab w:val="clear" w:pos="1985"/>
        <w:tab w:val="left" w:pos="2127"/>
        <w:tab w:val="left" w:pos="2410"/>
        <w:tab w:val="left" w:pos="2921"/>
        <w:tab w:val="left" w:pos="3261"/>
      </w:tabs>
      <w:spacing w:before="480"/>
      <w:ind w:left="794" w:hanging="794"/>
      <w:outlineLvl w:val="0"/>
    </w:pPr>
    <w:rPr>
      <w:b/>
    </w:rPr>
  </w:style>
  <w:style w:type="paragraph" w:styleId="Heading2">
    <w:name w:val="heading 2"/>
    <w:basedOn w:val="Heading1"/>
    <w:next w:val="Normal"/>
    <w:qFormat/>
    <w:pPr>
      <w:spacing w:before="320"/>
      <w:outlineLvl w:val="1"/>
    </w:pPr>
  </w:style>
  <w:style w:type="paragraph" w:styleId="Heading3">
    <w:name w:val="heading 3"/>
    <w:basedOn w:val="Heading1"/>
    <w:next w:val="Normal"/>
    <w:qFormat/>
    <w:pPr>
      <w:spacing w:before="200"/>
      <w:outlineLvl w:val="2"/>
    </w:pPr>
  </w:style>
  <w:style w:type="paragraph" w:styleId="Heading4">
    <w:name w:val="heading 4"/>
    <w:basedOn w:val="Heading3"/>
    <w:next w:val="Normal"/>
    <w:qFormat/>
    <w:pPr>
      <w:tabs>
        <w:tab w:val="clear" w:pos="794"/>
        <w:tab w:val="left" w:pos="1191"/>
      </w:tabs>
      <w:ind w:left="993" w:hanging="993"/>
      <w:outlineLvl w:val="3"/>
    </w:pPr>
  </w:style>
  <w:style w:type="paragraph" w:styleId="Heading5">
    <w:name w:val="heading 5"/>
    <w:basedOn w:val="Heading3"/>
    <w:next w:val="Normal"/>
    <w:qFormat/>
    <w:pPr>
      <w:tabs>
        <w:tab w:val="clear" w:pos="794"/>
        <w:tab w:val="left" w:pos="1191"/>
      </w:tabs>
      <w:outlineLvl w:val="4"/>
    </w:pPr>
  </w:style>
  <w:style w:type="paragraph" w:styleId="Heading6">
    <w:name w:val="heading 6"/>
    <w:basedOn w:val="Heading3"/>
    <w:next w:val="Normal"/>
    <w:qFormat/>
    <w:pPr>
      <w:tabs>
        <w:tab w:val="clear" w:pos="794"/>
        <w:tab w:val="left" w:pos="1191"/>
      </w:tabs>
      <w:outlineLvl w:val="5"/>
    </w:pPr>
  </w:style>
  <w:style w:type="paragraph" w:styleId="Heading7">
    <w:name w:val="heading 7"/>
    <w:basedOn w:val="Heading3"/>
    <w:next w:val="Normal"/>
    <w:qFormat/>
    <w:pPr>
      <w:tabs>
        <w:tab w:val="clear" w:pos="794"/>
        <w:tab w:val="left" w:pos="1191"/>
      </w:tabs>
      <w:outlineLvl w:val="6"/>
    </w:pPr>
  </w:style>
  <w:style w:type="paragraph" w:styleId="Heading8">
    <w:name w:val="heading 8"/>
    <w:basedOn w:val="Heading3"/>
    <w:next w:val="Normal"/>
    <w:qFormat/>
    <w:pPr>
      <w:tabs>
        <w:tab w:val="clear" w:pos="794"/>
        <w:tab w:val="left" w:pos="1191"/>
      </w:tabs>
      <w:outlineLvl w:val="7"/>
    </w:pPr>
  </w:style>
  <w:style w:type="paragraph" w:styleId="Heading9">
    <w:name w:val="heading 9"/>
    <w:basedOn w:val="Heading3"/>
    <w:next w:val="Normal"/>
    <w:qFormat/>
    <w:pPr>
      <w:tabs>
        <w:tab w:val="clear" w:pos="794"/>
        <w:tab w:val="left" w:pos="1191"/>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ndnoteReference">
    <w:name w:val="endnote reference"/>
    <w:basedOn w:val="DefaultParagraphFont"/>
    <w:rPr>
      <w:vertAlign w:val="superscript"/>
    </w:rPr>
  </w:style>
  <w:style w:type="paragraph" w:styleId="TOC8">
    <w:name w:val="toc 8"/>
    <w:basedOn w:val="TOC3"/>
  </w:style>
  <w:style w:type="paragraph" w:styleId="TOC7">
    <w:name w:val="toc 7"/>
    <w:basedOn w:val="TOC3"/>
  </w:style>
  <w:style w:type="paragraph" w:styleId="TOC6">
    <w:name w:val="toc 6"/>
    <w:basedOn w:val="TOC3"/>
  </w:style>
  <w:style w:type="paragraph" w:styleId="TOC5">
    <w:name w:val="toc 5"/>
    <w:basedOn w:val="TOC3"/>
  </w:style>
  <w:style w:type="paragraph" w:styleId="TOC4">
    <w:name w:val="toc 4"/>
    <w:basedOn w:val="TOC3"/>
  </w:style>
  <w:style w:type="paragraph" w:styleId="TOC3">
    <w:name w:val="toc 3"/>
    <w:basedOn w:val="TOC2"/>
    <w:pPr>
      <w:spacing w:before="80"/>
    </w:pPr>
  </w:style>
  <w:style w:type="paragraph" w:styleId="TOC2">
    <w:name w:val="toc 2"/>
    <w:basedOn w:val="TOC1"/>
    <w:pPr>
      <w:spacing w:before="120"/>
    </w:pPr>
  </w:style>
  <w:style w:type="paragraph" w:styleId="TOC1">
    <w:name w:val="toc 1"/>
    <w:basedOn w:val="Normal"/>
    <w:pPr>
      <w:tabs>
        <w:tab w:val="clear" w:pos="794"/>
        <w:tab w:val="clear" w:pos="1191"/>
        <w:tab w:val="clear" w:pos="1588"/>
        <w:tab w:val="clear" w:pos="1985"/>
        <w:tab w:val="left" w:leader="dot" w:pos="8789"/>
        <w:tab w:val="right" w:pos="9555"/>
      </w:tabs>
      <w:spacing w:before="200"/>
      <w:ind w:left="794" w:hanging="794"/>
    </w:pPr>
  </w:style>
  <w:style w:type="paragraph" w:styleId="Index7">
    <w:name w:val="index 7"/>
    <w:basedOn w:val="Normal"/>
    <w:next w:val="Normal"/>
    <w:semiHidden/>
    <w:pPr>
      <w:ind w:left="1698"/>
    </w:pPr>
  </w:style>
  <w:style w:type="paragraph" w:styleId="Index6">
    <w:name w:val="index 6"/>
    <w:basedOn w:val="Normal"/>
    <w:next w:val="Normal"/>
    <w:semiHidden/>
    <w:pPr>
      <w:ind w:left="1415"/>
    </w:pPr>
  </w:style>
  <w:style w:type="paragraph" w:styleId="Index5">
    <w:name w:val="index 5"/>
    <w:basedOn w:val="Normal"/>
    <w:next w:val="Normal"/>
    <w:semiHidden/>
    <w:pPr>
      <w:ind w:left="1132"/>
    </w:pPr>
  </w:style>
  <w:style w:type="paragraph" w:styleId="Index4">
    <w:name w:val="index 4"/>
    <w:basedOn w:val="Normal"/>
    <w:next w:val="Normal"/>
    <w:semiHidden/>
    <w:pPr>
      <w:ind w:left="849"/>
    </w:pPr>
  </w:style>
  <w:style w:type="paragraph" w:styleId="Index3">
    <w:name w:val="index 3"/>
    <w:basedOn w:val="Normal"/>
    <w:next w:val="Normal"/>
    <w:pPr>
      <w:ind w:left="566"/>
    </w:pPr>
  </w:style>
  <w:style w:type="paragraph" w:styleId="Index2">
    <w:name w:val="index 2"/>
    <w:basedOn w:val="Normal"/>
    <w:next w:val="Normal"/>
    <w:pPr>
      <w:ind w:left="283"/>
    </w:pPr>
  </w:style>
  <w:style w:type="paragraph" w:styleId="Index1">
    <w:name w:val="index 1"/>
    <w:basedOn w:val="Normal"/>
    <w:next w:val="Normal"/>
  </w:style>
  <w:style w:type="character" w:styleId="LineNumber">
    <w:name w:val="line number"/>
    <w:basedOn w:val="DefaultParagraphFont"/>
  </w:style>
  <w:style w:type="paragraph" w:styleId="IndexHeading">
    <w:name w:val="index heading"/>
    <w:basedOn w:val="Normal"/>
    <w:next w:val="Index1"/>
    <w:semiHidden/>
  </w:style>
  <w:style w:type="paragraph" w:styleId="Footer">
    <w:name w:val="footer"/>
    <w:basedOn w:val="Normal"/>
    <w:link w:val="FooterChar"/>
    <w:pPr>
      <w:tabs>
        <w:tab w:val="clear" w:pos="794"/>
        <w:tab w:val="clear" w:pos="1191"/>
        <w:tab w:val="clear" w:pos="1588"/>
        <w:tab w:val="clear" w:pos="1985"/>
        <w:tab w:val="left" w:pos="5954"/>
        <w:tab w:val="right" w:pos="9639"/>
      </w:tabs>
      <w:spacing w:before="0"/>
    </w:pPr>
    <w:rPr>
      <w:caps/>
      <w:sz w:val="18"/>
    </w:rPr>
  </w:style>
  <w:style w:type="paragraph" w:styleId="Header">
    <w:name w:val="header"/>
    <w:aliases w:val="encabezado,Page No"/>
    <w:basedOn w:val="Normal"/>
    <w:link w:val="HeaderChar"/>
    <w:uiPriority w:val="99"/>
    <w:pPr>
      <w:tabs>
        <w:tab w:val="clear" w:pos="794"/>
        <w:tab w:val="clear" w:pos="1191"/>
        <w:tab w:val="clear" w:pos="1588"/>
        <w:tab w:val="clear" w:pos="1985"/>
      </w:tabs>
      <w:spacing w:before="0"/>
      <w:jc w:val="center"/>
    </w:pPr>
    <w:rPr>
      <w:sz w:val="22"/>
    </w:rPr>
  </w:style>
  <w:style w:type="character" w:styleId="FootnoteReference">
    <w:name w:val="footnote reference"/>
    <w:basedOn w:val="DefaultParagraphFont"/>
    <w:rPr>
      <w:position w:val="6"/>
      <w:sz w:val="16"/>
    </w:rPr>
  </w:style>
  <w:style w:type="paragraph" w:styleId="FootnoteText">
    <w:name w:val="footnote text"/>
    <w:basedOn w:val="Normal"/>
    <w:pPr>
      <w:keepLines/>
      <w:tabs>
        <w:tab w:val="left" w:pos="256"/>
      </w:tabs>
      <w:ind w:left="256" w:hanging="256"/>
    </w:pPr>
  </w:style>
  <w:style w:type="paragraph" w:styleId="NormalIndent">
    <w:name w:val="Normal Indent"/>
    <w:basedOn w:val="Normal"/>
    <w:pPr>
      <w:ind w:left="794"/>
    </w:pPr>
  </w:style>
  <w:style w:type="paragraph" w:customStyle="1" w:styleId="TableLegend">
    <w:name w:val="Table_Legend"/>
    <w:basedOn w:val="TableText"/>
    <w:pPr>
      <w:spacing w:before="120"/>
    </w:pPr>
  </w:style>
  <w:style w:type="paragraph" w:customStyle="1" w:styleId="TableText">
    <w:name w:val="Table_Text"/>
    <w:basedOn w:val="Normal"/>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TableTitle">
    <w:name w:val="Table_Title"/>
    <w:basedOn w:val="Table"/>
    <w:next w:val="TableText"/>
    <w:pPr>
      <w:keepLines/>
      <w:spacing w:before="0"/>
    </w:pPr>
    <w:rPr>
      <w:b/>
      <w:caps w:val="0"/>
    </w:rPr>
  </w:style>
  <w:style w:type="paragraph" w:customStyle="1" w:styleId="Table">
    <w:name w:val="Table_#"/>
    <w:basedOn w:val="Normal"/>
    <w:next w:val="TableTitle"/>
    <w:pPr>
      <w:keepNext/>
      <w:spacing w:before="560" w:after="120"/>
      <w:jc w:val="center"/>
    </w:pPr>
    <w:rPr>
      <w:caps/>
    </w:rPr>
  </w:style>
  <w:style w:type="paragraph" w:customStyle="1" w:styleId="enumlev1">
    <w:name w:val="enumlev1"/>
    <w:basedOn w:val="Normal"/>
    <w:pPr>
      <w:spacing w:before="80"/>
      <w:ind w:left="794" w:hanging="794"/>
    </w:pPr>
  </w:style>
  <w:style w:type="paragraph" w:customStyle="1" w:styleId="enumlev2">
    <w:name w:val="enumlev2"/>
    <w:basedOn w:val="enumlev1"/>
    <w:pPr>
      <w:ind w:left="1191" w:hanging="397"/>
    </w:pPr>
  </w:style>
  <w:style w:type="paragraph" w:customStyle="1" w:styleId="enumlev3">
    <w:name w:val="enumlev3"/>
    <w:basedOn w:val="enumlev2"/>
    <w:pPr>
      <w:ind w:left="1588"/>
    </w:pPr>
  </w:style>
  <w:style w:type="paragraph" w:customStyle="1" w:styleId="TableHead">
    <w:name w:val="Table_Head"/>
    <w:basedOn w:val="TableText"/>
    <w:pPr>
      <w:keepNext/>
      <w:spacing w:before="80" w:after="80"/>
      <w:jc w:val="center"/>
    </w:pPr>
    <w:rPr>
      <w:b/>
    </w:rPr>
  </w:style>
  <w:style w:type="paragraph" w:customStyle="1" w:styleId="FigureLegend">
    <w:name w:val="Figure_Legend"/>
    <w:basedOn w:val="Normal"/>
    <w:pPr>
      <w:keepNext/>
      <w:keepLines/>
      <w:tabs>
        <w:tab w:val="clear" w:pos="794"/>
        <w:tab w:val="clear" w:pos="1191"/>
        <w:tab w:val="clear" w:pos="1588"/>
        <w:tab w:val="clear" w:pos="1985"/>
      </w:tabs>
      <w:spacing w:before="20" w:after="20"/>
    </w:pPr>
    <w:rPr>
      <w:sz w:val="18"/>
    </w:rPr>
  </w:style>
  <w:style w:type="paragraph" w:customStyle="1" w:styleId="Figure">
    <w:name w:val="Figure_#"/>
    <w:basedOn w:val="Table"/>
    <w:next w:val="FigureTitle"/>
    <w:pPr>
      <w:spacing w:before="480"/>
    </w:pPr>
  </w:style>
  <w:style w:type="paragraph" w:customStyle="1" w:styleId="FigureTitle">
    <w:name w:val="Figure_Title"/>
    <w:basedOn w:val="TableTitle"/>
    <w:next w:val="Normal"/>
    <w:pPr>
      <w:keepNext w:val="0"/>
      <w:spacing w:after="480"/>
    </w:pPr>
  </w:style>
  <w:style w:type="paragraph" w:customStyle="1" w:styleId="Annex">
    <w:name w:val="Annex_#"/>
    <w:basedOn w:val="Normal"/>
    <w:next w:val="AnnexRef"/>
    <w:pPr>
      <w:keepNext/>
      <w:keepLines/>
      <w:spacing w:before="480" w:after="80"/>
      <w:jc w:val="center"/>
    </w:pPr>
    <w:rPr>
      <w:caps/>
    </w:rPr>
  </w:style>
  <w:style w:type="paragraph" w:customStyle="1" w:styleId="AnnexRef">
    <w:name w:val="Annex_Ref"/>
    <w:basedOn w:val="Normal"/>
    <w:next w:val="AnnexTitle"/>
    <w:pPr>
      <w:keepNext/>
      <w:keepLines/>
      <w:jc w:val="center"/>
    </w:pPr>
  </w:style>
  <w:style w:type="paragraph" w:customStyle="1" w:styleId="AnnexTitle">
    <w:name w:val="Annex_Title"/>
    <w:basedOn w:val="Normal"/>
    <w:next w:val="Normal"/>
    <w:pPr>
      <w:keepNext/>
      <w:keepLines/>
      <w:spacing w:before="240" w:after="280"/>
      <w:jc w:val="center"/>
    </w:pPr>
    <w:rPr>
      <w:b/>
    </w:rPr>
  </w:style>
  <w:style w:type="paragraph" w:customStyle="1" w:styleId="Appendix">
    <w:name w:val="Appendix_#"/>
    <w:basedOn w:val="Annex"/>
    <w:next w:val="AppendixRef"/>
  </w:style>
  <w:style w:type="paragraph" w:customStyle="1" w:styleId="AppendixRef">
    <w:name w:val="Appendix_Ref"/>
    <w:basedOn w:val="AnnexRef"/>
    <w:next w:val="AppendixTitle"/>
  </w:style>
  <w:style w:type="paragraph" w:customStyle="1" w:styleId="AppendixTitle">
    <w:name w:val="Appendix_Title"/>
    <w:basedOn w:val="AnnexTitle"/>
    <w:next w:val="Normal"/>
  </w:style>
  <w:style w:type="paragraph" w:customStyle="1" w:styleId="RefTitle">
    <w:name w:val="Ref_Title"/>
    <w:basedOn w:val="Normal"/>
    <w:next w:val="RefText"/>
    <w:pPr>
      <w:spacing w:before="480"/>
      <w:jc w:val="center"/>
    </w:pPr>
    <w:rPr>
      <w:caps/>
    </w:rPr>
  </w:style>
  <w:style w:type="paragraph" w:customStyle="1" w:styleId="RefText">
    <w:name w:val="Ref_Text"/>
    <w:basedOn w:val="Normal"/>
    <w:pPr>
      <w:ind w:left="794" w:hanging="794"/>
    </w:pPr>
  </w:style>
  <w:style w:type="paragraph" w:customStyle="1" w:styleId="Equation">
    <w:name w:val="Equation"/>
    <w:basedOn w:val="Normal"/>
    <w:pPr>
      <w:tabs>
        <w:tab w:val="clear" w:pos="1191"/>
        <w:tab w:val="clear" w:pos="1588"/>
        <w:tab w:val="clear" w:pos="1985"/>
        <w:tab w:val="center" w:pos="4876"/>
        <w:tab w:val="right" w:pos="9752"/>
      </w:tabs>
    </w:pPr>
  </w:style>
  <w:style w:type="paragraph" w:customStyle="1" w:styleId="Head">
    <w:name w:val="Head"/>
    <w:basedOn w:val="Normal"/>
    <w:pPr>
      <w:tabs>
        <w:tab w:val="clear" w:pos="794"/>
        <w:tab w:val="clear" w:pos="1191"/>
        <w:tab w:val="clear" w:pos="1588"/>
        <w:tab w:val="clear" w:pos="1985"/>
        <w:tab w:val="left" w:pos="6663"/>
      </w:tabs>
      <w:spacing w:before="0"/>
    </w:pPr>
  </w:style>
  <w:style w:type="paragraph" w:customStyle="1" w:styleId="RecTitle">
    <w:name w:val="Rec_Title"/>
    <w:basedOn w:val="Normal"/>
    <w:next w:val="Heading1"/>
    <w:pPr>
      <w:keepNext/>
      <w:keepLines/>
      <w:spacing w:before="240"/>
      <w:jc w:val="center"/>
    </w:pPr>
    <w:rPr>
      <w:b/>
      <w:caps/>
    </w:rPr>
  </w:style>
  <w:style w:type="paragraph" w:customStyle="1" w:styleId="Normalaftertitle">
    <w:name w:val="Normal after title"/>
    <w:basedOn w:val="Normal"/>
    <w:next w:val="Normal"/>
    <w:pPr>
      <w:spacing w:before="320"/>
    </w:pPr>
  </w:style>
  <w:style w:type="paragraph" w:customStyle="1" w:styleId="call">
    <w:name w:val="call"/>
    <w:basedOn w:val="Normal"/>
    <w:next w:val="Normal"/>
    <w:pPr>
      <w:keepNext/>
      <w:keepLines/>
      <w:spacing w:before="160"/>
      <w:ind w:left="794"/>
    </w:pPr>
    <w:rPr>
      <w:i/>
    </w:rPr>
  </w:style>
  <w:style w:type="paragraph" w:customStyle="1" w:styleId="Rec">
    <w:name w:val="Rec_#"/>
    <w:basedOn w:val="Normal"/>
    <w:next w:val="RecTitle"/>
    <w:pPr>
      <w:keepNext/>
      <w:keepLines/>
      <w:spacing w:before="480"/>
      <w:jc w:val="center"/>
    </w:pPr>
    <w:rPr>
      <w:caps/>
    </w:rPr>
  </w:style>
  <w:style w:type="paragraph" w:customStyle="1" w:styleId="toc0">
    <w:name w:val="toc 0"/>
    <w:basedOn w:val="Normal"/>
    <w:next w:val="TOC1"/>
    <w:pPr>
      <w:tabs>
        <w:tab w:val="clear" w:pos="794"/>
        <w:tab w:val="clear" w:pos="1191"/>
        <w:tab w:val="clear" w:pos="1588"/>
        <w:tab w:val="clear" w:pos="1985"/>
        <w:tab w:val="right" w:pos="9781"/>
      </w:tabs>
    </w:pPr>
    <w:rPr>
      <w:b/>
    </w:rPr>
  </w:style>
  <w:style w:type="paragraph" w:styleId="List">
    <w:name w:val="List"/>
    <w:basedOn w:val="Normal"/>
    <w:pPr>
      <w:tabs>
        <w:tab w:val="clear" w:pos="794"/>
        <w:tab w:val="clear" w:pos="1191"/>
        <w:tab w:val="clear" w:pos="1588"/>
        <w:tab w:val="clear" w:pos="1985"/>
        <w:tab w:val="left" w:pos="1701"/>
        <w:tab w:val="left" w:pos="2127"/>
      </w:tabs>
      <w:ind w:left="2127" w:hanging="2127"/>
    </w:pPr>
  </w:style>
  <w:style w:type="paragraph" w:customStyle="1" w:styleId="Infodoc">
    <w:name w:val="Infodoc"/>
    <w:basedOn w:val="Normal"/>
    <w:pPr>
      <w:tabs>
        <w:tab w:val="clear" w:pos="794"/>
        <w:tab w:val="clear" w:pos="1191"/>
        <w:tab w:val="clear" w:pos="1588"/>
        <w:tab w:val="clear" w:pos="1985"/>
        <w:tab w:val="left" w:pos="1418"/>
      </w:tabs>
      <w:spacing w:before="0"/>
      <w:ind w:left="1418" w:hanging="1418"/>
    </w:pPr>
  </w:style>
  <w:style w:type="paragraph" w:customStyle="1" w:styleId="Part">
    <w:name w:val="Part"/>
    <w:basedOn w:val="Normal"/>
    <w:pPr>
      <w:tabs>
        <w:tab w:val="clear" w:pos="794"/>
        <w:tab w:val="clear" w:pos="1191"/>
        <w:tab w:val="clear" w:pos="1588"/>
        <w:tab w:val="clear" w:pos="1985"/>
        <w:tab w:val="left" w:pos="1276"/>
        <w:tab w:val="left" w:pos="1701"/>
      </w:tabs>
      <w:spacing w:before="200"/>
      <w:ind w:left="1701" w:hanging="1701"/>
    </w:pPr>
    <w:rPr>
      <w:caps/>
    </w:rPr>
  </w:style>
  <w:style w:type="paragraph" w:customStyle="1" w:styleId="Address">
    <w:name w:val="Address"/>
    <w:basedOn w:val="Normal"/>
    <w:pPr>
      <w:tabs>
        <w:tab w:val="clear" w:pos="794"/>
        <w:tab w:val="clear" w:pos="1191"/>
        <w:tab w:val="clear" w:pos="1588"/>
        <w:tab w:val="clear" w:pos="1985"/>
        <w:tab w:val="left" w:pos="4820"/>
        <w:tab w:val="left" w:pos="5529"/>
      </w:tabs>
      <w:ind w:left="794"/>
    </w:pPr>
  </w:style>
  <w:style w:type="paragraph" w:customStyle="1" w:styleId="headingb">
    <w:name w:val="heading_b"/>
    <w:basedOn w:val="Heading3"/>
    <w:next w:val="Normal"/>
    <w:pPr>
      <w:spacing w:before="160"/>
      <w:ind w:left="0" w:firstLine="0"/>
      <w:outlineLvl w:val="9"/>
    </w:pPr>
  </w:style>
  <w:style w:type="paragraph" w:customStyle="1" w:styleId="Keywords">
    <w:name w:val="Keywords"/>
    <w:basedOn w:val="Normal"/>
    <w:pPr>
      <w:tabs>
        <w:tab w:val="clear" w:pos="1191"/>
        <w:tab w:val="clear" w:pos="1588"/>
      </w:tabs>
      <w:ind w:left="794" w:hanging="794"/>
    </w:pPr>
  </w:style>
  <w:style w:type="paragraph" w:customStyle="1" w:styleId="ASN1">
    <w:name w:val="ASN.1"/>
    <w:basedOn w:val="Normal"/>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b/>
      <w:noProof/>
      <w:sz w:val="20"/>
    </w:rPr>
  </w:style>
  <w:style w:type="paragraph" w:customStyle="1" w:styleId="EquationLegend">
    <w:name w:val="Equation_Legend"/>
    <w:basedOn w:val="Normal"/>
    <w:pPr>
      <w:tabs>
        <w:tab w:val="clear" w:pos="794"/>
        <w:tab w:val="clear" w:pos="1191"/>
        <w:tab w:val="clear" w:pos="1588"/>
        <w:tab w:val="clear" w:pos="1985"/>
        <w:tab w:val="right" w:pos="1531"/>
        <w:tab w:val="left" w:pos="1701"/>
      </w:tabs>
      <w:spacing w:before="80"/>
      <w:ind w:left="1701" w:hanging="1701"/>
    </w:pPr>
  </w:style>
  <w:style w:type="paragraph" w:styleId="Signature">
    <w:name w:val="Signature"/>
    <w:basedOn w:val="Normal"/>
    <w:pPr>
      <w:tabs>
        <w:tab w:val="clear" w:pos="794"/>
        <w:tab w:val="clear" w:pos="1191"/>
        <w:tab w:val="clear" w:pos="1588"/>
        <w:tab w:val="clear" w:pos="1985"/>
      </w:tabs>
      <w:spacing w:before="480"/>
      <w:ind w:left="4961"/>
    </w:pPr>
    <w:rPr>
      <w:rFonts w:ascii="Arial" w:hAnsi="Arial"/>
      <w:sz w:val="22"/>
    </w:rPr>
  </w:style>
  <w:style w:type="paragraph" w:customStyle="1" w:styleId="meeting">
    <w:name w:val="meeting"/>
    <w:basedOn w:val="Head"/>
    <w:next w:val="Head"/>
    <w:pPr>
      <w:tabs>
        <w:tab w:val="left" w:pos="7371"/>
      </w:tabs>
      <w:spacing w:after="560"/>
    </w:pPr>
  </w:style>
  <w:style w:type="paragraph" w:customStyle="1" w:styleId="BodyText">
    <w:name w:val="BodyText"/>
    <w:basedOn w:val="Normal"/>
    <w:pPr>
      <w:tabs>
        <w:tab w:val="clear" w:pos="794"/>
        <w:tab w:val="clear" w:pos="1191"/>
        <w:tab w:val="clear" w:pos="1588"/>
        <w:tab w:val="clear" w:pos="1985"/>
      </w:tabs>
      <w:spacing w:before="240"/>
    </w:pPr>
    <w:rPr>
      <w:rFonts w:ascii="Arial" w:hAnsi="Arial"/>
      <w:sz w:val="22"/>
    </w:rPr>
  </w:style>
  <w:style w:type="paragraph" w:customStyle="1" w:styleId="ITUadres">
    <w:name w:val="ITU_adres"/>
    <w:basedOn w:val="Normal"/>
    <w:pPr>
      <w:tabs>
        <w:tab w:val="clear" w:pos="794"/>
        <w:tab w:val="clear" w:pos="1191"/>
        <w:tab w:val="clear" w:pos="1588"/>
        <w:tab w:val="clear" w:pos="1985"/>
        <w:tab w:val="left" w:pos="737"/>
        <w:tab w:val="left" w:pos="1134"/>
      </w:tabs>
      <w:spacing w:before="0"/>
    </w:pPr>
    <w:rPr>
      <w:rFonts w:ascii="Univers" w:hAnsi="Univers"/>
      <w:sz w:val="16"/>
    </w:rPr>
  </w:style>
  <w:style w:type="paragraph" w:customStyle="1" w:styleId="ITUheader">
    <w:name w:val="ITU_header"/>
    <w:basedOn w:val="Normal"/>
    <w:pPr>
      <w:tabs>
        <w:tab w:val="clear" w:pos="794"/>
        <w:tab w:val="clear" w:pos="1191"/>
        <w:tab w:val="clear" w:pos="1588"/>
        <w:tab w:val="clear" w:pos="1985"/>
        <w:tab w:val="left" w:pos="737"/>
        <w:tab w:val="left" w:pos="1134"/>
      </w:tabs>
      <w:spacing w:before="397"/>
    </w:pPr>
    <w:rPr>
      <w:rFonts w:ascii="Univers" w:hAnsi="Univers"/>
      <w:b/>
      <w:sz w:val="28"/>
    </w:rPr>
  </w:style>
  <w:style w:type="paragraph" w:customStyle="1" w:styleId="Body">
    <w:name w:val="Body"/>
    <w:basedOn w:val="Normal"/>
    <w:pPr>
      <w:tabs>
        <w:tab w:val="clear" w:pos="794"/>
        <w:tab w:val="clear" w:pos="1191"/>
        <w:tab w:val="clear" w:pos="1588"/>
        <w:tab w:val="clear" w:pos="1985"/>
        <w:tab w:val="left" w:pos="737"/>
        <w:tab w:val="left" w:pos="1134"/>
      </w:tabs>
      <w:spacing w:before="227"/>
      <w:ind w:right="851"/>
      <w:jc w:val="both"/>
    </w:pPr>
    <w:rPr>
      <w:rFonts w:ascii="CG Times" w:hAnsi="CG Times"/>
      <w:sz w:val="20"/>
    </w:rPr>
  </w:style>
  <w:style w:type="paragraph" w:customStyle="1" w:styleId="ITUsignet">
    <w:name w:val="ITU_signet"/>
    <w:basedOn w:val="Normal"/>
    <w:pPr>
      <w:tabs>
        <w:tab w:val="clear" w:pos="794"/>
        <w:tab w:val="clear" w:pos="1191"/>
        <w:tab w:val="clear" w:pos="1588"/>
        <w:tab w:val="clear" w:pos="1985"/>
        <w:tab w:val="left" w:pos="737"/>
        <w:tab w:val="left" w:pos="1134"/>
      </w:tabs>
      <w:spacing w:before="170"/>
      <w:ind w:left="-1134"/>
    </w:pPr>
    <w:rPr>
      <w:rFonts w:ascii="CG Times" w:hAnsi="CG Times"/>
      <w:b/>
      <w:sz w:val="20"/>
    </w:rPr>
  </w:style>
  <w:style w:type="paragraph" w:customStyle="1" w:styleId="ITUref">
    <w:name w:val="ITU_ref"/>
    <w:basedOn w:val="Normal"/>
    <w:pPr>
      <w:tabs>
        <w:tab w:val="clear" w:pos="794"/>
        <w:tab w:val="clear" w:pos="1191"/>
        <w:tab w:val="clear" w:pos="1588"/>
        <w:tab w:val="clear" w:pos="1985"/>
        <w:tab w:val="left" w:pos="737"/>
        <w:tab w:val="left" w:pos="1134"/>
        <w:tab w:val="left" w:pos="5529"/>
      </w:tabs>
      <w:spacing w:before="0"/>
    </w:pPr>
    <w:rPr>
      <w:rFonts w:ascii="Univers" w:hAnsi="Univers"/>
      <w:sz w:val="18"/>
    </w:rPr>
  </w:style>
  <w:style w:type="paragraph" w:customStyle="1" w:styleId="ITUfillin">
    <w:name w:val="ITU_fillin"/>
    <w:basedOn w:val="ITUref"/>
    <w:rPr>
      <w:rFonts w:ascii="CG Times" w:hAnsi="CG Times"/>
      <w:sz w:val="20"/>
    </w:rPr>
  </w:style>
  <w:style w:type="paragraph" w:customStyle="1" w:styleId="ITUbureau">
    <w:name w:val="ITU_bureau"/>
    <w:basedOn w:val="Normal"/>
    <w:pPr>
      <w:tabs>
        <w:tab w:val="clear" w:pos="794"/>
        <w:tab w:val="clear" w:pos="1191"/>
        <w:tab w:val="clear" w:pos="1588"/>
        <w:tab w:val="clear" w:pos="1985"/>
        <w:tab w:val="left" w:pos="737"/>
        <w:tab w:val="left" w:pos="1134"/>
      </w:tabs>
      <w:spacing w:before="0" w:after="851"/>
    </w:pPr>
    <w:rPr>
      <w:rFonts w:ascii="Univers" w:hAnsi="Univers"/>
      <w:b/>
      <w:sz w:val="20"/>
    </w:rPr>
  </w:style>
  <w:style w:type="paragraph" w:customStyle="1" w:styleId="duties">
    <w:name w:val="duties"/>
    <w:basedOn w:val="Normal"/>
    <w:pPr>
      <w:tabs>
        <w:tab w:val="clear" w:pos="794"/>
        <w:tab w:val="clear" w:pos="1191"/>
        <w:tab w:val="clear" w:pos="1588"/>
        <w:tab w:val="clear" w:pos="1985"/>
        <w:tab w:val="left" w:pos="737"/>
        <w:tab w:val="left" w:pos="1134"/>
      </w:tabs>
      <w:spacing w:before="0" w:line="199" w:lineRule="exact"/>
    </w:pPr>
    <w:rPr>
      <w:rFonts w:ascii="CG Times" w:hAnsi="CG Times"/>
      <w:b/>
      <w:sz w:val="8"/>
    </w:rPr>
  </w:style>
  <w:style w:type="paragraph" w:customStyle="1" w:styleId="ITUintr">
    <w:name w:val="ITU_intr"/>
    <w:basedOn w:val="Normal"/>
    <w:next w:val="Body"/>
    <w:pPr>
      <w:tabs>
        <w:tab w:val="clear" w:pos="794"/>
        <w:tab w:val="clear" w:pos="1191"/>
        <w:tab w:val="clear" w:pos="1588"/>
        <w:tab w:val="clear" w:pos="1985"/>
        <w:tab w:val="left" w:pos="737"/>
        <w:tab w:val="left" w:pos="1134"/>
      </w:tabs>
      <w:spacing w:before="567" w:after="57"/>
    </w:pPr>
    <w:rPr>
      <w:rFonts w:ascii="CG Times" w:hAnsi="CG Times"/>
      <w:sz w:val="20"/>
    </w:rPr>
  </w:style>
  <w:style w:type="paragraph" w:customStyle="1" w:styleId="Tiret">
    <w:name w:val="Tiret"/>
    <w:basedOn w:val="Normal"/>
    <w:pPr>
      <w:tabs>
        <w:tab w:val="clear" w:pos="794"/>
        <w:tab w:val="clear" w:pos="1191"/>
        <w:tab w:val="clear" w:pos="1588"/>
        <w:tab w:val="clear" w:pos="1985"/>
      </w:tabs>
      <w:ind w:left="-680"/>
    </w:pPr>
    <w:rPr>
      <w:rFonts w:ascii="Univers" w:hAnsi="Univers"/>
      <w:sz w:val="22"/>
    </w:rPr>
  </w:style>
  <w:style w:type="paragraph" w:customStyle="1" w:styleId="details">
    <w:name w:val="details"/>
    <w:basedOn w:val="Normal"/>
    <w:next w:val="Tiret"/>
    <w:pPr>
      <w:tabs>
        <w:tab w:val="clear" w:pos="794"/>
        <w:tab w:val="clear" w:pos="1191"/>
        <w:tab w:val="clear" w:pos="1588"/>
        <w:tab w:val="clear" w:pos="1985"/>
        <w:tab w:val="left" w:pos="1361"/>
        <w:tab w:val="left" w:pos="1758"/>
        <w:tab w:val="left" w:pos="2155"/>
        <w:tab w:val="left" w:pos="2552"/>
      </w:tabs>
      <w:spacing w:before="0"/>
    </w:pPr>
    <w:rPr>
      <w:rFonts w:ascii="Univers" w:hAnsi="Univers"/>
      <w:sz w:val="22"/>
    </w:rPr>
  </w:style>
  <w:style w:type="paragraph" w:customStyle="1" w:styleId="LetterStart">
    <w:name w:val="Letter_Start"/>
    <w:basedOn w:val="Normal"/>
    <w:pPr>
      <w:tabs>
        <w:tab w:val="clear" w:pos="794"/>
        <w:tab w:val="clear" w:pos="1191"/>
        <w:tab w:val="clear" w:pos="1588"/>
        <w:tab w:val="clear" w:pos="1985"/>
        <w:tab w:val="left" w:pos="1361"/>
        <w:tab w:val="left" w:pos="1758"/>
        <w:tab w:val="left" w:pos="2155"/>
        <w:tab w:val="left" w:pos="2552"/>
      </w:tabs>
      <w:spacing w:before="284"/>
      <w:ind w:left="567"/>
    </w:pPr>
    <w:rPr>
      <w:rFonts w:ascii="Univers" w:hAnsi="Univers"/>
      <w:sz w:val="22"/>
    </w:rPr>
  </w:style>
  <w:style w:type="paragraph" w:customStyle="1" w:styleId="LetterText">
    <w:name w:val="Letter_Text"/>
    <w:basedOn w:val="LetterStart"/>
    <w:pPr>
      <w:tabs>
        <w:tab w:val="left" w:pos="1418"/>
        <w:tab w:val="left" w:pos="1985"/>
        <w:tab w:val="left" w:pos="2268"/>
      </w:tabs>
      <w:ind w:firstLine="1304"/>
    </w:pPr>
  </w:style>
  <w:style w:type="paragraph" w:customStyle="1" w:styleId="LetterEnd">
    <w:name w:val="Letter_End"/>
    <w:basedOn w:val="LetterText"/>
    <w:pPr>
      <w:tabs>
        <w:tab w:val="clear" w:pos="1418"/>
        <w:tab w:val="clear" w:pos="1985"/>
        <w:tab w:val="clear" w:pos="2268"/>
      </w:tabs>
      <w:ind w:firstLine="851"/>
    </w:pPr>
  </w:style>
  <w:style w:type="paragraph" w:customStyle="1" w:styleId="NormFoot">
    <w:name w:val="Norm_Foot"/>
    <w:basedOn w:val="Normal"/>
    <w:pPr>
      <w:tabs>
        <w:tab w:val="clear" w:pos="794"/>
        <w:tab w:val="clear" w:pos="1191"/>
        <w:tab w:val="clear" w:pos="1588"/>
        <w:tab w:val="clear" w:pos="1985"/>
        <w:tab w:val="left" w:pos="1361"/>
        <w:tab w:val="left" w:pos="1758"/>
        <w:tab w:val="left" w:pos="2155"/>
        <w:tab w:val="left" w:pos="2552"/>
      </w:tabs>
      <w:ind w:left="567"/>
    </w:pPr>
    <w:rPr>
      <w:rFonts w:ascii="Univers" w:hAnsi="Univers"/>
      <w:sz w:val="22"/>
    </w:rPr>
  </w:style>
  <w:style w:type="character" w:styleId="PageNumber">
    <w:name w:val="page number"/>
    <w:basedOn w:val="DefaultParagraphFont"/>
  </w:style>
  <w:style w:type="paragraph" w:customStyle="1" w:styleId="listitem">
    <w:name w:val="listitem"/>
    <w:basedOn w:val="Normal"/>
    <w:pPr>
      <w:keepLines/>
      <w:tabs>
        <w:tab w:val="left" w:pos="1361"/>
        <w:tab w:val="left" w:pos="1758"/>
        <w:tab w:val="left" w:pos="2155"/>
        <w:tab w:val="left" w:pos="2552"/>
      </w:tabs>
      <w:ind w:left="567"/>
    </w:pPr>
    <w:rPr>
      <w:rFonts w:ascii="Univers" w:hAnsi="Univers"/>
      <w:sz w:val="22"/>
    </w:rPr>
  </w:style>
  <w:style w:type="paragraph" w:customStyle="1" w:styleId="headingi">
    <w:name w:val="heading_i"/>
    <w:basedOn w:val="Heading3"/>
    <w:next w:val="Normal"/>
    <w:pPr>
      <w:spacing w:before="160"/>
      <w:ind w:left="0" w:firstLine="0"/>
      <w:outlineLvl w:val="9"/>
    </w:pPr>
    <w:rPr>
      <w:b w:val="0"/>
      <w:i/>
    </w:rPr>
  </w:style>
  <w:style w:type="paragraph" w:customStyle="1" w:styleId="Qlist">
    <w:name w:val="Qlist"/>
    <w:basedOn w:val="Normal"/>
    <w:pPr>
      <w:tabs>
        <w:tab w:val="clear" w:pos="794"/>
        <w:tab w:val="clear" w:pos="1191"/>
        <w:tab w:val="clear" w:pos="1588"/>
        <w:tab w:val="clear" w:pos="1985"/>
        <w:tab w:val="left" w:pos="1843"/>
        <w:tab w:val="left" w:pos="2268"/>
      </w:tabs>
      <w:ind w:left="2268" w:hanging="2268"/>
    </w:pPr>
    <w:rPr>
      <w:b/>
    </w:rPr>
  </w:style>
  <w:style w:type="paragraph" w:customStyle="1" w:styleId="Note">
    <w:name w:val="Note"/>
    <w:basedOn w:val="Normal"/>
    <w:pPr>
      <w:tabs>
        <w:tab w:val="left" w:pos="397"/>
      </w:tabs>
    </w:pPr>
  </w:style>
  <w:style w:type="paragraph" w:customStyle="1" w:styleId="FirstFooter">
    <w:name w:val="FirstFooter"/>
    <w:basedOn w:val="Footer"/>
    <w:pPr>
      <w:tabs>
        <w:tab w:val="clear" w:pos="5954"/>
        <w:tab w:val="clear" w:pos="9639"/>
      </w:tabs>
    </w:pPr>
    <w:rPr>
      <w:caps w:val="0"/>
    </w:rPr>
  </w:style>
  <w:style w:type="paragraph" w:styleId="TOC9">
    <w:name w:val="toc 9"/>
    <w:basedOn w:val="TOC3"/>
    <w:semiHidden/>
  </w:style>
  <w:style w:type="character" w:styleId="Hyperlink">
    <w:name w:val="Hyperlink"/>
    <w:aliases w:val="超级链接"/>
    <w:basedOn w:val="DefaultParagraphFont"/>
    <w:rsid w:val="00B43F77"/>
    <w:rPr>
      <w:color w:val="0000FF"/>
      <w:u w:val="single"/>
    </w:rPr>
  </w:style>
  <w:style w:type="character" w:styleId="FollowedHyperlink">
    <w:name w:val="FollowedHyperlink"/>
    <w:basedOn w:val="DefaultParagraphFont"/>
    <w:rsid w:val="00B43F77"/>
    <w:rPr>
      <w:color w:val="800080"/>
      <w:u w:val="single"/>
    </w:rPr>
  </w:style>
  <w:style w:type="paragraph" w:customStyle="1" w:styleId="AnnexNotitle">
    <w:name w:val="Annex_No &amp; title"/>
    <w:basedOn w:val="Normal"/>
    <w:next w:val="Normalaftertitle0"/>
    <w:rsid w:val="00C34772"/>
    <w:pPr>
      <w:keepNext/>
      <w:keepLines/>
      <w:spacing w:before="480"/>
      <w:jc w:val="center"/>
    </w:pPr>
    <w:rPr>
      <w:b/>
      <w:sz w:val="28"/>
    </w:rPr>
  </w:style>
  <w:style w:type="character" w:customStyle="1" w:styleId="Appdef">
    <w:name w:val="App_def"/>
    <w:rsid w:val="00C34772"/>
    <w:rPr>
      <w:rFonts w:ascii="Times New Roman" w:hAnsi="Times New Roman"/>
      <w:b/>
    </w:rPr>
  </w:style>
  <w:style w:type="character" w:customStyle="1" w:styleId="Appref">
    <w:name w:val="App_ref"/>
    <w:basedOn w:val="DefaultParagraphFont"/>
    <w:rsid w:val="00C34772"/>
  </w:style>
  <w:style w:type="paragraph" w:customStyle="1" w:styleId="AppendixNotitle">
    <w:name w:val="Appendix_No &amp; title"/>
    <w:basedOn w:val="AnnexNotitle"/>
    <w:next w:val="Normalaftertitle0"/>
    <w:rsid w:val="00C34772"/>
  </w:style>
  <w:style w:type="character" w:customStyle="1" w:styleId="Artdef">
    <w:name w:val="Art_def"/>
    <w:rsid w:val="00C34772"/>
    <w:rPr>
      <w:rFonts w:ascii="Times New Roman" w:hAnsi="Times New Roman"/>
      <w:b/>
    </w:rPr>
  </w:style>
  <w:style w:type="paragraph" w:customStyle="1" w:styleId="Artheading">
    <w:name w:val="Art_heading"/>
    <w:basedOn w:val="Normal"/>
    <w:next w:val="Normalaftertitle0"/>
    <w:rsid w:val="00C34772"/>
    <w:pPr>
      <w:spacing w:before="480"/>
      <w:jc w:val="center"/>
    </w:pPr>
    <w:rPr>
      <w:b/>
      <w:sz w:val="28"/>
    </w:rPr>
  </w:style>
  <w:style w:type="paragraph" w:customStyle="1" w:styleId="ArtNo">
    <w:name w:val="Art_No"/>
    <w:basedOn w:val="Normal"/>
    <w:next w:val="Arttitle"/>
    <w:rsid w:val="00C34772"/>
    <w:pPr>
      <w:keepNext/>
      <w:keepLines/>
      <w:spacing w:before="480"/>
      <w:jc w:val="center"/>
    </w:pPr>
    <w:rPr>
      <w:caps/>
      <w:sz w:val="28"/>
    </w:rPr>
  </w:style>
  <w:style w:type="character" w:customStyle="1" w:styleId="Artref">
    <w:name w:val="Art_ref"/>
    <w:basedOn w:val="DefaultParagraphFont"/>
    <w:rsid w:val="00C34772"/>
  </w:style>
  <w:style w:type="paragraph" w:customStyle="1" w:styleId="Arttitle">
    <w:name w:val="Art_title"/>
    <w:basedOn w:val="Normal"/>
    <w:next w:val="Normalaftertitle0"/>
    <w:rsid w:val="00C34772"/>
    <w:pPr>
      <w:keepNext/>
      <w:keepLines/>
      <w:spacing w:before="240"/>
      <w:jc w:val="center"/>
    </w:pPr>
    <w:rPr>
      <w:b/>
      <w:sz w:val="28"/>
    </w:rPr>
  </w:style>
  <w:style w:type="paragraph" w:customStyle="1" w:styleId="Call0">
    <w:name w:val="Call"/>
    <w:basedOn w:val="Normal"/>
    <w:next w:val="Normal"/>
    <w:rsid w:val="00C34772"/>
    <w:pPr>
      <w:keepNext/>
      <w:keepLines/>
      <w:spacing w:before="160"/>
      <w:ind w:left="794"/>
    </w:pPr>
    <w:rPr>
      <w:i/>
    </w:rPr>
  </w:style>
  <w:style w:type="paragraph" w:customStyle="1" w:styleId="ChapNo">
    <w:name w:val="Chap_No"/>
    <w:basedOn w:val="Normal"/>
    <w:next w:val="Chaptitle"/>
    <w:rsid w:val="00C34772"/>
    <w:pPr>
      <w:keepNext/>
      <w:keepLines/>
      <w:spacing w:before="480"/>
      <w:jc w:val="center"/>
    </w:pPr>
    <w:rPr>
      <w:b/>
      <w:caps/>
      <w:sz w:val="28"/>
    </w:rPr>
  </w:style>
  <w:style w:type="paragraph" w:customStyle="1" w:styleId="Chaptitle">
    <w:name w:val="Chap_title"/>
    <w:basedOn w:val="Normal"/>
    <w:next w:val="Normalaftertitle0"/>
    <w:rsid w:val="00C34772"/>
    <w:pPr>
      <w:keepNext/>
      <w:keepLines/>
      <w:spacing w:before="240"/>
      <w:jc w:val="center"/>
    </w:pPr>
    <w:rPr>
      <w:b/>
      <w:sz w:val="28"/>
    </w:rPr>
  </w:style>
  <w:style w:type="paragraph" w:customStyle="1" w:styleId="Equationlegend0">
    <w:name w:val="Equation_legend"/>
    <w:basedOn w:val="Normal"/>
    <w:rsid w:val="00C34772"/>
    <w:pPr>
      <w:tabs>
        <w:tab w:val="clear" w:pos="794"/>
        <w:tab w:val="clear" w:pos="1191"/>
        <w:tab w:val="clear" w:pos="1588"/>
        <w:tab w:val="right" w:pos="1814"/>
      </w:tabs>
      <w:spacing w:before="80"/>
      <w:ind w:left="1985" w:hanging="1985"/>
    </w:pPr>
  </w:style>
  <w:style w:type="paragraph" w:customStyle="1" w:styleId="Figure0">
    <w:name w:val="Figure"/>
    <w:basedOn w:val="Normal"/>
    <w:next w:val="FigureNotitle"/>
    <w:rsid w:val="00C34772"/>
    <w:pPr>
      <w:keepNext/>
      <w:keepLines/>
      <w:spacing w:before="240" w:after="120"/>
      <w:jc w:val="center"/>
    </w:pPr>
  </w:style>
  <w:style w:type="paragraph" w:customStyle="1" w:styleId="Figurelegend0">
    <w:name w:val="Figure_legend"/>
    <w:basedOn w:val="Normal"/>
    <w:rsid w:val="00C34772"/>
    <w:pPr>
      <w:keepNext/>
      <w:keepLines/>
      <w:tabs>
        <w:tab w:val="clear" w:pos="794"/>
        <w:tab w:val="clear" w:pos="1191"/>
        <w:tab w:val="clear" w:pos="1588"/>
        <w:tab w:val="clear" w:pos="1985"/>
      </w:tabs>
      <w:spacing w:before="20" w:after="20"/>
    </w:pPr>
    <w:rPr>
      <w:sz w:val="18"/>
    </w:rPr>
  </w:style>
  <w:style w:type="paragraph" w:customStyle="1" w:styleId="FigureNotitle">
    <w:name w:val="Figure_No &amp; title"/>
    <w:basedOn w:val="Normal"/>
    <w:next w:val="Normalaftertitle0"/>
    <w:rsid w:val="00C34772"/>
    <w:pPr>
      <w:keepLines/>
      <w:spacing w:before="240" w:after="120"/>
      <w:jc w:val="center"/>
    </w:pPr>
    <w:rPr>
      <w:b/>
    </w:rPr>
  </w:style>
  <w:style w:type="paragraph" w:customStyle="1" w:styleId="Figurewithouttitle">
    <w:name w:val="Figure_without_title"/>
    <w:basedOn w:val="Normal"/>
    <w:next w:val="Normalaftertitle0"/>
    <w:rsid w:val="00C34772"/>
    <w:pPr>
      <w:keepLines/>
      <w:spacing w:before="240" w:after="120"/>
      <w:jc w:val="center"/>
    </w:pPr>
  </w:style>
  <w:style w:type="paragraph" w:customStyle="1" w:styleId="FooterQP">
    <w:name w:val="Footer_QP"/>
    <w:basedOn w:val="Normal"/>
    <w:rsid w:val="00C34772"/>
    <w:pPr>
      <w:tabs>
        <w:tab w:val="clear" w:pos="794"/>
        <w:tab w:val="clear" w:pos="1191"/>
        <w:tab w:val="clear" w:pos="1588"/>
        <w:tab w:val="clear" w:pos="1985"/>
        <w:tab w:val="left" w:pos="907"/>
        <w:tab w:val="right" w:pos="8789"/>
        <w:tab w:val="right" w:pos="9639"/>
      </w:tabs>
      <w:spacing w:before="0"/>
    </w:pPr>
    <w:rPr>
      <w:b/>
      <w:sz w:val="22"/>
    </w:rPr>
  </w:style>
  <w:style w:type="paragraph" w:customStyle="1" w:styleId="Formal">
    <w:name w:val="Formal"/>
    <w:basedOn w:val="ASN1"/>
    <w:rsid w:val="00C34772"/>
    <w:pPr>
      <w:tabs>
        <w:tab w:val="left" w:pos="794"/>
        <w:tab w:val="left" w:pos="1191"/>
        <w:tab w:val="left" w:pos="1588"/>
        <w:tab w:val="left" w:pos="1985"/>
      </w:tabs>
    </w:pPr>
    <w:rPr>
      <w:rFonts w:ascii="Courier New" w:hAnsi="Courier New"/>
      <w:b w:val="0"/>
    </w:rPr>
  </w:style>
  <w:style w:type="paragraph" w:customStyle="1" w:styleId="Headingb0">
    <w:name w:val="Heading_b"/>
    <w:basedOn w:val="Normal"/>
    <w:next w:val="Normal"/>
    <w:rsid w:val="00C34772"/>
    <w:pPr>
      <w:keepNext/>
      <w:spacing w:before="160"/>
    </w:pPr>
    <w:rPr>
      <w:b/>
    </w:rPr>
  </w:style>
  <w:style w:type="paragraph" w:customStyle="1" w:styleId="Headingi0">
    <w:name w:val="Heading_i"/>
    <w:basedOn w:val="Normal"/>
    <w:next w:val="Normal"/>
    <w:rsid w:val="00C34772"/>
    <w:pPr>
      <w:keepNext/>
      <w:spacing w:before="160"/>
    </w:pPr>
    <w:rPr>
      <w:i/>
    </w:rPr>
  </w:style>
  <w:style w:type="paragraph" w:customStyle="1" w:styleId="Normalaftertitle0">
    <w:name w:val="Normal_after_title"/>
    <w:basedOn w:val="Normal"/>
    <w:next w:val="Normal"/>
    <w:rsid w:val="00C34772"/>
    <w:pPr>
      <w:spacing w:before="360"/>
    </w:pPr>
  </w:style>
  <w:style w:type="paragraph" w:customStyle="1" w:styleId="PartNo">
    <w:name w:val="Part_No"/>
    <w:basedOn w:val="Normal"/>
    <w:next w:val="Partref"/>
    <w:rsid w:val="00C34772"/>
    <w:pPr>
      <w:keepNext/>
      <w:keepLines/>
      <w:spacing w:before="480" w:after="80"/>
      <w:jc w:val="center"/>
    </w:pPr>
    <w:rPr>
      <w:caps/>
      <w:sz w:val="28"/>
    </w:rPr>
  </w:style>
  <w:style w:type="paragraph" w:customStyle="1" w:styleId="Partref">
    <w:name w:val="Part_ref"/>
    <w:basedOn w:val="Normal"/>
    <w:next w:val="Parttitle"/>
    <w:rsid w:val="00C34772"/>
    <w:pPr>
      <w:keepNext/>
      <w:keepLines/>
      <w:spacing w:before="280"/>
      <w:jc w:val="center"/>
    </w:pPr>
  </w:style>
  <w:style w:type="paragraph" w:customStyle="1" w:styleId="Parttitle">
    <w:name w:val="Part_title"/>
    <w:basedOn w:val="Normal"/>
    <w:next w:val="Normalaftertitle0"/>
    <w:rsid w:val="00C34772"/>
    <w:pPr>
      <w:keepNext/>
      <w:keepLines/>
      <w:spacing w:before="240" w:after="280"/>
      <w:jc w:val="center"/>
    </w:pPr>
    <w:rPr>
      <w:b/>
      <w:sz w:val="28"/>
    </w:rPr>
  </w:style>
  <w:style w:type="paragraph" w:customStyle="1" w:styleId="Recdate">
    <w:name w:val="Rec_date"/>
    <w:basedOn w:val="Normal"/>
    <w:next w:val="Normalaftertitle0"/>
    <w:rsid w:val="00C34772"/>
    <w:pPr>
      <w:keepNext/>
      <w:keepLines/>
      <w:tabs>
        <w:tab w:val="clear" w:pos="794"/>
        <w:tab w:val="clear" w:pos="1191"/>
        <w:tab w:val="clear" w:pos="1588"/>
        <w:tab w:val="clear" w:pos="1985"/>
      </w:tabs>
      <w:jc w:val="right"/>
    </w:pPr>
    <w:rPr>
      <w:i/>
      <w:sz w:val="22"/>
    </w:rPr>
  </w:style>
  <w:style w:type="paragraph" w:customStyle="1" w:styleId="Questiondate">
    <w:name w:val="Question_date"/>
    <w:basedOn w:val="Recdate"/>
    <w:next w:val="Normalaftertitle0"/>
    <w:rsid w:val="00C34772"/>
  </w:style>
  <w:style w:type="paragraph" w:customStyle="1" w:styleId="RecNo">
    <w:name w:val="Rec_No"/>
    <w:basedOn w:val="Normal"/>
    <w:next w:val="Rectitle0"/>
    <w:rsid w:val="00C34772"/>
    <w:pPr>
      <w:keepNext/>
      <w:keepLines/>
      <w:spacing w:before="0"/>
    </w:pPr>
    <w:rPr>
      <w:b/>
      <w:sz w:val="28"/>
    </w:rPr>
  </w:style>
  <w:style w:type="paragraph" w:customStyle="1" w:styleId="QuestionNo">
    <w:name w:val="Question_No"/>
    <w:basedOn w:val="RecNo"/>
    <w:next w:val="Questiontitle"/>
    <w:rsid w:val="00C34772"/>
  </w:style>
  <w:style w:type="paragraph" w:customStyle="1" w:styleId="RecNoBR">
    <w:name w:val="Rec_No_BR"/>
    <w:basedOn w:val="Normal"/>
    <w:next w:val="Rectitle0"/>
    <w:rsid w:val="00C34772"/>
    <w:pPr>
      <w:keepNext/>
      <w:keepLines/>
      <w:spacing w:before="480"/>
      <w:jc w:val="center"/>
    </w:pPr>
    <w:rPr>
      <w:caps/>
      <w:sz w:val="28"/>
    </w:rPr>
  </w:style>
  <w:style w:type="paragraph" w:customStyle="1" w:styleId="QuestionNoBR">
    <w:name w:val="Question_No_BR"/>
    <w:basedOn w:val="RecNoBR"/>
    <w:next w:val="Questiontitle"/>
    <w:rsid w:val="00C34772"/>
  </w:style>
  <w:style w:type="paragraph" w:customStyle="1" w:styleId="Recref">
    <w:name w:val="Rec_ref"/>
    <w:basedOn w:val="Normal"/>
    <w:next w:val="Recdate"/>
    <w:rsid w:val="00C34772"/>
    <w:pPr>
      <w:keepNext/>
      <w:keepLines/>
      <w:tabs>
        <w:tab w:val="clear" w:pos="794"/>
        <w:tab w:val="clear" w:pos="1191"/>
        <w:tab w:val="clear" w:pos="1588"/>
        <w:tab w:val="clear" w:pos="1985"/>
      </w:tabs>
      <w:jc w:val="center"/>
    </w:pPr>
    <w:rPr>
      <w:i/>
    </w:rPr>
  </w:style>
  <w:style w:type="paragraph" w:customStyle="1" w:styleId="Questionref">
    <w:name w:val="Question_ref"/>
    <w:basedOn w:val="Recref"/>
    <w:next w:val="Questiondate"/>
    <w:rsid w:val="00C34772"/>
  </w:style>
  <w:style w:type="paragraph" w:customStyle="1" w:styleId="Rectitle0">
    <w:name w:val="Rec_title"/>
    <w:basedOn w:val="Normal"/>
    <w:next w:val="Normalaftertitle0"/>
    <w:rsid w:val="00C34772"/>
    <w:pPr>
      <w:keepNext/>
      <w:keepLines/>
      <w:spacing w:before="360"/>
      <w:jc w:val="center"/>
    </w:pPr>
    <w:rPr>
      <w:b/>
      <w:sz w:val="28"/>
    </w:rPr>
  </w:style>
  <w:style w:type="paragraph" w:customStyle="1" w:styleId="Questiontitle">
    <w:name w:val="Question_title"/>
    <w:basedOn w:val="Rectitle0"/>
    <w:next w:val="Questionref"/>
    <w:rsid w:val="00C34772"/>
  </w:style>
  <w:style w:type="character" w:customStyle="1" w:styleId="Recdef">
    <w:name w:val="Rec_def"/>
    <w:rsid w:val="00C34772"/>
    <w:rPr>
      <w:b/>
    </w:rPr>
  </w:style>
  <w:style w:type="paragraph" w:customStyle="1" w:styleId="Reftext0">
    <w:name w:val="Ref_text"/>
    <w:basedOn w:val="Normal"/>
    <w:rsid w:val="00C34772"/>
    <w:pPr>
      <w:ind w:left="794" w:hanging="794"/>
    </w:pPr>
  </w:style>
  <w:style w:type="paragraph" w:customStyle="1" w:styleId="Reftitle0">
    <w:name w:val="Ref_title"/>
    <w:basedOn w:val="Normal"/>
    <w:next w:val="Reftext0"/>
    <w:rsid w:val="00C34772"/>
    <w:pPr>
      <w:spacing w:before="480"/>
      <w:jc w:val="center"/>
    </w:pPr>
    <w:rPr>
      <w:b/>
    </w:rPr>
  </w:style>
  <w:style w:type="paragraph" w:customStyle="1" w:styleId="Repdate">
    <w:name w:val="Rep_date"/>
    <w:basedOn w:val="Recdate"/>
    <w:next w:val="Normalaftertitle0"/>
    <w:rsid w:val="00C34772"/>
  </w:style>
  <w:style w:type="paragraph" w:customStyle="1" w:styleId="RepNo">
    <w:name w:val="Rep_No"/>
    <w:basedOn w:val="RecNo"/>
    <w:next w:val="Reptitle"/>
    <w:rsid w:val="00C34772"/>
  </w:style>
  <w:style w:type="paragraph" w:customStyle="1" w:styleId="RepNoBR">
    <w:name w:val="Rep_No_BR"/>
    <w:basedOn w:val="RecNoBR"/>
    <w:next w:val="Reptitle"/>
    <w:rsid w:val="00C34772"/>
  </w:style>
  <w:style w:type="paragraph" w:customStyle="1" w:styleId="Repref">
    <w:name w:val="Rep_ref"/>
    <w:basedOn w:val="Recref"/>
    <w:next w:val="Repdate"/>
    <w:rsid w:val="00C34772"/>
  </w:style>
  <w:style w:type="paragraph" w:customStyle="1" w:styleId="Reptitle">
    <w:name w:val="Rep_title"/>
    <w:basedOn w:val="Rectitle0"/>
    <w:next w:val="Repref"/>
    <w:rsid w:val="00C34772"/>
  </w:style>
  <w:style w:type="paragraph" w:customStyle="1" w:styleId="Resdate">
    <w:name w:val="Res_date"/>
    <w:basedOn w:val="Recdate"/>
    <w:next w:val="Normalaftertitle0"/>
    <w:rsid w:val="00C34772"/>
  </w:style>
  <w:style w:type="character" w:customStyle="1" w:styleId="Resdef">
    <w:name w:val="Res_def"/>
    <w:rsid w:val="00C34772"/>
    <w:rPr>
      <w:rFonts w:ascii="Times New Roman" w:hAnsi="Times New Roman"/>
      <w:b/>
    </w:rPr>
  </w:style>
  <w:style w:type="paragraph" w:customStyle="1" w:styleId="ResNo">
    <w:name w:val="Res_No"/>
    <w:basedOn w:val="RecNo"/>
    <w:next w:val="Restitle"/>
    <w:rsid w:val="00C34772"/>
  </w:style>
  <w:style w:type="paragraph" w:customStyle="1" w:styleId="ResNoBR">
    <w:name w:val="Res_No_BR"/>
    <w:basedOn w:val="RecNoBR"/>
    <w:next w:val="Restitle"/>
    <w:rsid w:val="00C34772"/>
  </w:style>
  <w:style w:type="paragraph" w:customStyle="1" w:styleId="Resref">
    <w:name w:val="Res_ref"/>
    <w:basedOn w:val="Recref"/>
    <w:next w:val="Resdate"/>
    <w:rsid w:val="00C34772"/>
  </w:style>
  <w:style w:type="paragraph" w:customStyle="1" w:styleId="Restitle">
    <w:name w:val="Res_title"/>
    <w:basedOn w:val="Rectitle0"/>
    <w:next w:val="Resref"/>
    <w:rsid w:val="00C34772"/>
  </w:style>
  <w:style w:type="paragraph" w:customStyle="1" w:styleId="Section1">
    <w:name w:val="Section_1"/>
    <w:basedOn w:val="Normal"/>
    <w:next w:val="Normal"/>
    <w:rsid w:val="00C34772"/>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C34772"/>
    <w:pPr>
      <w:tabs>
        <w:tab w:val="clear" w:pos="794"/>
        <w:tab w:val="clear" w:pos="1191"/>
        <w:tab w:val="clear" w:pos="1588"/>
        <w:tab w:val="clear" w:pos="1985"/>
      </w:tabs>
      <w:spacing w:before="240"/>
      <w:jc w:val="center"/>
    </w:pPr>
    <w:rPr>
      <w:i/>
    </w:rPr>
  </w:style>
  <w:style w:type="paragraph" w:customStyle="1" w:styleId="SectionNo">
    <w:name w:val="Section_No"/>
    <w:basedOn w:val="Normal"/>
    <w:next w:val="Sectiontitle"/>
    <w:rsid w:val="00C34772"/>
    <w:pPr>
      <w:keepNext/>
      <w:keepLines/>
      <w:spacing w:before="480" w:after="80"/>
      <w:jc w:val="center"/>
    </w:pPr>
    <w:rPr>
      <w:caps/>
      <w:sz w:val="28"/>
    </w:rPr>
  </w:style>
  <w:style w:type="paragraph" w:customStyle="1" w:styleId="Sectiontitle">
    <w:name w:val="Section_title"/>
    <w:basedOn w:val="Normal"/>
    <w:next w:val="Normalaftertitle0"/>
    <w:rsid w:val="00C34772"/>
    <w:pPr>
      <w:keepNext/>
      <w:keepLines/>
      <w:spacing w:before="480" w:after="280"/>
      <w:jc w:val="center"/>
    </w:pPr>
    <w:rPr>
      <w:b/>
      <w:sz w:val="28"/>
    </w:rPr>
  </w:style>
  <w:style w:type="paragraph" w:customStyle="1" w:styleId="Source">
    <w:name w:val="Source"/>
    <w:basedOn w:val="Normal"/>
    <w:next w:val="Normalaftertitle0"/>
    <w:rsid w:val="00C34772"/>
    <w:pPr>
      <w:spacing w:before="840" w:after="200"/>
      <w:jc w:val="center"/>
    </w:pPr>
    <w:rPr>
      <w:b/>
      <w:sz w:val="28"/>
    </w:rPr>
  </w:style>
  <w:style w:type="paragraph" w:customStyle="1" w:styleId="SpecialFooter">
    <w:name w:val="Special Footer"/>
    <w:basedOn w:val="Footer"/>
    <w:rsid w:val="00C34772"/>
    <w:pPr>
      <w:tabs>
        <w:tab w:val="left" w:pos="567"/>
        <w:tab w:val="left" w:pos="1134"/>
        <w:tab w:val="left" w:pos="1701"/>
        <w:tab w:val="left" w:pos="2268"/>
        <w:tab w:val="left" w:pos="2835"/>
      </w:tabs>
      <w:jc w:val="both"/>
    </w:pPr>
    <w:rPr>
      <w:caps w:val="0"/>
      <w:sz w:val="16"/>
    </w:rPr>
  </w:style>
  <w:style w:type="character" w:customStyle="1" w:styleId="Tablefreq">
    <w:name w:val="Table_freq"/>
    <w:rsid w:val="00C34772"/>
    <w:rPr>
      <w:b/>
      <w:color w:val="auto"/>
    </w:rPr>
  </w:style>
  <w:style w:type="paragraph" w:customStyle="1" w:styleId="Tablehead0">
    <w:name w:val="Table_head"/>
    <w:basedOn w:val="Normal"/>
    <w:next w:val="Tabletext0"/>
    <w:rsid w:val="00C34772"/>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legend0">
    <w:name w:val="Table_legend"/>
    <w:basedOn w:val="Normal"/>
    <w:rsid w:val="00C34772"/>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pPr>
    <w:rPr>
      <w:sz w:val="22"/>
    </w:rPr>
  </w:style>
  <w:style w:type="paragraph" w:customStyle="1" w:styleId="TableNotitle">
    <w:name w:val="Table_No &amp; title"/>
    <w:basedOn w:val="Normal"/>
    <w:next w:val="Tablehead0"/>
    <w:rsid w:val="00C34772"/>
    <w:pPr>
      <w:keepNext/>
      <w:keepLines/>
      <w:spacing w:before="360" w:after="120"/>
      <w:jc w:val="center"/>
    </w:pPr>
    <w:rPr>
      <w:b/>
    </w:rPr>
  </w:style>
  <w:style w:type="paragraph" w:customStyle="1" w:styleId="TableNoBR">
    <w:name w:val="Table_No_BR"/>
    <w:basedOn w:val="Normal"/>
    <w:next w:val="TabletitleBR"/>
    <w:rsid w:val="00C34772"/>
    <w:pPr>
      <w:keepNext/>
      <w:spacing w:before="560" w:after="120"/>
      <w:jc w:val="center"/>
    </w:pPr>
    <w:rPr>
      <w:caps/>
    </w:rPr>
  </w:style>
  <w:style w:type="paragraph" w:customStyle="1" w:styleId="Tableref">
    <w:name w:val="Table_ref"/>
    <w:basedOn w:val="Normal"/>
    <w:next w:val="TabletitleBR"/>
    <w:rsid w:val="00C34772"/>
    <w:pPr>
      <w:keepNext/>
      <w:spacing w:before="0" w:after="120"/>
      <w:jc w:val="center"/>
    </w:pPr>
  </w:style>
  <w:style w:type="paragraph" w:customStyle="1" w:styleId="Tabletext0">
    <w:name w:val="Table_text"/>
    <w:basedOn w:val="Normal"/>
    <w:rsid w:val="00C34772"/>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TabletitleBR">
    <w:name w:val="Table_title_BR"/>
    <w:basedOn w:val="Normal"/>
    <w:next w:val="Tablehead0"/>
    <w:rsid w:val="00C34772"/>
    <w:pPr>
      <w:keepNext/>
      <w:keepLines/>
      <w:spacing w:before="0" w:after="120"/>
      <w:jc w:val="center"/>
    </w:pPr>
    <w:rPr>
      <w:b/>
    </w:rPr>
  </w:style>
  <w:style w:type="paragraph" w:customStyle="1" w:styleId="Title1">
    <w:name w:val="Title 1"/>
    <w:basedOn w:val="Source"/>
    <w:next w:val="Title2"/>
    <w:rsid w:val="00C34772"/>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C34772"/>
  </w:style>
  <w:style w:type="paragraph" w:customStyle="1" w:styleId="Title3">
    <w:name w:val="Title 3"/>
    <w:basedOn w:val="Title2"/>
    <w:next w:val="Title4"/>
    <w:rsid w:val="00C34772"/>
    <w:rPr>
      <w:caps w:val="0"/>
    </w:rPr>
  </w:style>
  <w:style w:type="paragraph" w:customStyle="1" w:styleId="Title4">
    <w:name w:val="Title 4"/>
    <w:basedOn w:val="Title3"/>
    <w:next w:val="Heading1"/>
    <w:rsid w:val="00C34772"/>
    <w:rPr>
      <w:b/>
    </w:rPr>
  </w:style>
  <w:style w:type="paragraph" w:customStyle="1" w:styleId="FiguretitleBR">
    <w:name w:val="Figure_title_BR"/>
    <w:basedOn w:val="TabletitleBR"/>
    <w:next w:val="Figurewithouttitle"/>
    <w:rsid w:val="00C34772"/>
    <w:pPr>
      <w:keepNext w:val="0"/>
      <w:spacing w:after="480"/>
    </w:pPr>
  </w:style>
  <w:style w:type="paragraph" w:customStyle="1" w:styleId="FigureNoBR">
    <w:name w:val="Figure_No_BR"/>
    <w:basedOn w:val="Normal"/>
    <w:next w:val="FiguretitleBR"/>
    <w:rsid w:val="00C34772"/>
    <w:pPr>
      <w:keepNext/>
      <w:keepLines/>
      <w:spacing w:before="480" w:after="120"/>
      <w:jc w:val="center"/>
    </w:pPr>
    <w:rPr>
      <w:caps/>
    </w:rPr>
  </w:style>
  <w:style w:type="character" w:customStyle="1" w:styleId="FooterChar">
    <w:name w:val="Footer Char"/>
    <w:link w:val="Footer"/>
    <w:rsid w:val="00C34772"/>
    <w:rPr>
      <w:rFonts w:ascii="Times New Roman" w:hAnsi="Times New Roman"/>
      <w:caps/>
      <w:sz w:val="18"/>
      <w:lang w:val="es-ES_tradnl" w:eastAsia="en-US"/>
    </w:rPr>
  </w:style>
  <w:style w:type="character" w:customStyle="1" w:styleId="HeaderChar">
    <w:name w:val="Header Char"/>
    <w:aliases w:val="encabezado Char,Page No Char"/>
    <w:link w:val="Header"/>
    <w:uiPriority w:val="99"/>
    <w:rsid w:val="00C34772"/>
    <w:rPr>
      <w:rFonts w:ascii="Times New Roman" w:hAnsi="Times New Roman"/>
      <w:sz w:val="22"/>
      <w:lang w:val="es-ES_tradnl" w:eastAsia="en-US"/>
    </w:rPr>
  </w:style>
  <w:style w:type="paragraph" w:customStyle="1" w:styleId="itu">
    <w:name w:val="itu"/>
    <w:basedOn w:val="Normal"/>
    <w:rsid w:val="00C34772"/>
    <w:pPr>
      <w:tabs>
        <w:tab w:val="clear" w:pos="794"/>
        <w:tab w:val="clear" w:pos="1191"/>
        <w:tab w:val="clear" w:pos="1588"/>
        <w:tab w:val="clear" w:pos="1985"/>
        <w:tab w:val="left" w:pos="709"/>
        <w:tab w:val="left" w:pos="1134"/>
      </w:tabs>
      <w:overflowPunct/>
      <w:autoSpaceDE/>
      <w:autoSpaceDN/>
      <w:adjustRightInd/>
      <w:spacing w:before="0"/>
      <w:textAlignment w:val="auto"/>
    </w:pPr>
    <w:rPr>
      <w:rFonts w:ascii="Futura Lt BT" w:hAnsi="Futura Lt BT"/>
      <w:sz w:val="18"/>
      <w:lang w:val="en-GB"/>
    </w:rPr>
  </w:style>
  <w:style w:type="paragraph" w:styleId="BodyText2">
    <w:name w:val="Body Text 2"/>
    <w:basedOn w:val="Normal"/>
    <w:link w:val="BodyText2Char"/>
    <w:rsid w:val="00C34772"/>
    <w:pPr>
      <w:overflowPunct/>
      <w:autoSpaceDE/>
      <w:autoSpaceDN/>
      <w:adjustRightInd/>
      <w:spacing w:before="1701"/>
      <w:ind w:right="91"/>
      <w:textAlignment w:val="auto"/>
    </w:pPr>
  </w:style>
  <w:style w:type="character" w:customStyle="1" w:styleId="BodyText2Char">
    <w:name w:val="Body Text 2 Char"/>
    <w:basedOn w:val="DefaultParagraphFont"/>
    <w:link w:val="BodyText2"/>
    <w:rsid w:val="00C34772"/>
    <w:rPr>
      <w:rFonts w:ascii="Times New Roman" w:hAnsi="Times New Roman"/>
      <w:sz w:val="24"/>
      <w:lang w:val="es-ES_tradnl" w:eastAsia="en-US"/>
    </w:rPr>
  </w:style>
  <w:style w:type="character" w:styleId="UnresolvedMention">
    <w:name w:val="Unresolved Mention"/>
    <w:basedOn w:val="DefaultParagraphFont"/>
    <w:uiPriority w:val="99"/>
    <w:semiHidden/>
    <w:unhideWhenUsed/>
    <w:rsid w:val="00A2600C"/>
    <w:rPr>
      <w:color w:val="605E5C"/>
      <w:shd w:val="clear" w:color="auto" w:fill="E1DFDD"/>
    </w:rPr>
  </w:style>
  <w:style w:type="paragraph" w:customStyle="1" w:styleId="Reasons">
    <w:name w:val="Reasons"/>
    <w:basedOn w:val="Normal"/>
    <w:qFormat/>
    <w:rsid w:val="00A2600C"/>
    <w:pPr>
      <w:tabs>
        <w:tab w:val="clear" w:pos="794"/>
        <w:tab w:val="clear" w:pos="1191"/>
        <w:tab w:val="clear" w:pos="1588"/>
        <w:tab w:val="clear" w:pos="1985"/>
      </w:tabs>
      <w:overflowPunct/>
      <w:autoSpaceDE/>
      <w:autoSpaceDN/>
      <w:adjustRightInd/>
      <w:spacing w:before="0"/>
      <w:textAlignment w:val="auto"/>
    </w:pPr>
    <w:rPr>
      <w:rFonts w:ascii="Times New Roman" w:hAnsi="Times New Roman"/>
      <w:lang w:val="en-US"/>
    </w:rPr>
  </w:style>
  <w:style w:type="paragraph" w:styleId="Revision">
    <w:name w:val="Revision"/>
    <w:hidden/>
    <w:uiPriority w:val="99"/>
    <w:semiHidden/>
    <w:rsid w:val="003C0BC5"/>
    <w:rPr>
      <w:rFonts w:asciiTheme="minorHAnsi" w:hAnsiTheme="minorHAnsi"/>
      <w:sz w:val="24"/>
      <w:lang w:val="es-ES_trad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1598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jcgiotsec@lists.itu.int" TargetMode="External"/><Relationship Id="rId18" Type="http://schemas.openxmlformats.org/officeDocument/2006/relationships/hyperlink" Target="mailto:tsbjcgiotsec@itu.int" TargetMode="External"/><Relationship Id="rId3" Type="http://schemas.openxmlformats.org/officeDocument/2006/relationships/styles" Target="styles.xml"/><Relationship Id="rId21" Type="http://schemas.openxmlformats.org/officeDocument/2006/relationships/hyperlink" Target="mailto:jcgiotsec@lists.itu.int" TargetMode="External"/><Relationship Id="rId7" Type="http://schemas.openxmlformats.org/officeDocument/2006/relationships/endnotes" Target="endnotes.xml"/><Relationship Id="rId12" Type="http://schemas.openxmlformats.org/officeDocument/2006/relationships/hyperlink" Target="https://extranet.itu.int/sites/itu-t/jcg/iotsec" TargetMode="External"/><Relationship Id="rId17" Type="http://schemas.openxmlformats.org/officeDocument/2006/relationships/hyperlink" Target="https://www.itu.int/myworkspace/"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extranet.itu.int/sites/itu-t/jcg/trust/input/JCG-Trust-I-001.docx" TargetMode="External"/><Relationship Id="rId20" Type="http://schemas.openxmlformats.org/officeDocument/2006/relationships/hyperlink" Target="https://www.itu.int/md/T25-TSAG-R-0001/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tu.int/en/ITU-T/jcg/iotsec/"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itu.int/myworkspace/" TargetMode="External"/><Relationship Id="rId23" Type="http://schemas.openxmlformats.org/officeDocument/2006/relationships/footer" Target="footer1.xml"/><Relationship Id="rId10" Type="http://schemas.openxmlformats.org/officeDocument/2006/relationships/hyperlink" Target="https://www.itu.int/pub/T-REG-LIV.1-2024/es" TargetMode="External"/><Relationship Id="rId19"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mailto:tsbjcgiotsec@itu.int" TargetMode="External"/><Relationship Id="rId14" Type="http://schemas.openxmlformats.org/officeDocument/2006/relationships/hyperlink" Target="https://www.itu.int/net4/iwm/?p0=0&amp;p11=ITU&amp;p12=ITU-SEP-ITU-T-SEP-Other%20Groups-SEP-jcgiotsec&amp;p21=ITU&amp;p22=ITU" TargetMode="External"/><Relationship Id="rId22"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Q:\TEMPLATE\ITUOffice2007\POOL\POOL%20S%20-%20ITU\TSB\PS_TSB_Circular_Lett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E327D5-7057-4C1D-9DB1-7B326968DE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PS_TSB_Circular_Letter.dotx</Template>
  <TotalTime>1</TotalTime>
  <Pages>4</Pages>
  <Words>1092</Words>
  <Characters>6437</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UNIÓN INTERNACIONAL DE TELECOMUNICACIONES</vt:lpstr>
    </vt:vector>
  </TitlesOfParts>
  <Company>ITU</Company>
  <LinksUpToDate>false</LinksUpToDate>
  <CharactersWithSpaces>7514</CharactersWithSpaces>
  <SharedDoc>false</SharedDoc>
  <HLinks>
    <vt:vector size="12" baseType="variant">
      <vt:variant>
        <vt:i4>5832781</vt:i4>
      </vt:variant>
      <vt:variant>
        <vt:i4>3</vt:i4>
      </vt:variant>
      <vt:variant>
        <vt:i4>0</vt:i4>
      </vt:variant>
      <vt:variant>
        <vt:i4>5</vt:i4>
      </vt:variant>
      <vt:variant>
        <vt:lpwstr>http://www.itu.int/ITU-T/ipr/</vt:lpwstr>
      </vt:variant>
      <vt:variant>
        <vt:lpwstr/>
      </vt:variant>
      <vt:variant>
        <vt:i4>3932176</vt:i4>
      </vt:variant>
      <vt:variant>
        <vt:i4>0</vt:i4>
      </vt:variant>
      <vt:variant>
        <vt:i4>0</vt:i4>
      </vt:variant>
      <vt:variant>
        <vt:i4>5</vt:i4>
      </vt:variant>
      <vt:variant>
        <vt:lpwstr>mailto:tsbsg..@itu.int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UNIÓN INTERNACIONAL DE TELECOMUNICACIONES</dc:title>
  <dc:creator>Spanish83</dc:creator>
  <cp:lastModifiedBy>Maguire, Mairéad</cp:lastModifiedBy>
  <cp:revision>2</cp:revision>
  <cp:lastPrinted>2011-04-15T08:24:00Z</cp:lastPrinted>
  <dcterms:created xsi:type="dcterms:W3CDTF">2025-09-09T07:08:00Z</dcterms:created>
  <dcterms:modified xsi:type="dcterms:W3CDTF">2025-09-09T07:08:00Z</dcterms:modified>
</cp:coreProperties>
</file>