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279"/>
        <w:gridCol w:w="3242"/>
        <w:gridCol w:w="5208"/>
      </w:tblGrid>
      <w:tr w:rsidR="00EF6A23" w:rsidRPr="005B493B" w14:paraId="3FDAE1F3" w14:textId="77777777" w:rsidTr="003F083D">
        <w:trPr>
          <w:cantSplit/>
        </w:trPr>
        <w:tc>
          <w:tcPr>
            <w:tcW w:w="0" w:type="auto"/>
            <w:vAlign w:val="center"/>
          </w:tcPr>
          <w:p w14:paraId="3DE42CAA" w14:textId="77777777" w:rsidR="00EF6A23" w:rsidRPr="005B493B" w:rsidRDefault="00EF6A23" w:rsidP="00D14F31">
            <w:pPr>
              <w:tabs>
                <w:tab w:val="right" w:pos="8732"/>
              </w:tabs>
              <w:spacing w:before="0"/>
              <w:rPr>
                <w:b/>
                <w:bCs/>
                <w:iCs/>
                <w:color w:val="FFFFFF"/>
                <w:sz w:val="30"/>
                <w:szCs w:val="30"/>
              </w:rPr>
            </w:pPr>
            <w:r w:rsidRPr="005B493B">
              <w:rPr>
                <w:noProof/>
                <w:lang w:eastAsia="zh-CN"/>
              </w:rPr>
              <w:drawing>
                <wp:inline distT="0" distB="0" distL="0" distR="0" wp14:anchorId="05764050" wp14:editId="248DEEAB">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0" w:type="auto"/>
            <w:gridSpan w:val="2"/>
            <w:vAlign w:val="center"/>
          </w:tcPr>
          <w:p w14:paraId="75924CEF" w14:textId="77777777" w:rsidR="00EF6A23" w:rsidRPr="005B493B" w:rsidRDefault="00EF6A23" w:rsidP="00EF6A23">
            <w:pPr>
              <w:spacing w:before="0"/>
              <w:rPr>
                <w:rFonts w:cs="Times New Roman Bold"/>
                <w:b/>
                <w:bCs/>
                <w:iCs/>
                <w:smallCaps/>
                <w:sz w:val="34"/>
                <w:szCs w:val="34"/>
              </w:rPr>
            </w:pPr>
            <w:r w:rsidRPr="005B493B">
              <w:rPr>
                <w:rFonts w:cs="Times New Roman Bold"/>
                <w:b/>
                <w:bCs/>
                <w:iCs/>
                <w:smallCaps/>
                <w:sz w:val="34"/>
                <w:szCs w:val="34"/>
              </w:rPr>
              <w:t>Union internationale des télécommunications</w:t>
            </w:r>
          </w:p>
          <w:p w14:paraId="089E66D0" w14:textId="77777777" w:rsidR="00EF6A23" w:rsidRPr="005B493B" w:rsidRDefault="00EF6A23" w:rsidP="00EF6A23">
            <w:pPr>
              <w:spacing w:before="0"/>
              <w:rPr>
                <w:color w:val="FFFFFF"/>
                <w:sz w:val="26"/>
                <w:szCs w:val="26"/>
              </w:rPr>
            </w:pPr>
            <w:r w:rsidRPr="005B493B">
              <w:rPr>
                <w:rFonts w:cs="Times New Roman Bold"/>
                <w:b/>
                <w:bCs/>
                <w:iCs/>
                <w:smallCaps/>
                <w:sz w:val="28"/>
                <w:szCs w:val="28"/>
              </w:rPr>
              <w:t>B</w:t>
            </w:r>
            <w:r w:rsidRPr="005B493B">
              <w:rPr>
                <w:b/>
                <w:bCs/>
                <w:iCs/>
                <w:smallCaps/>
                <w:sz w:val="28"/>
                <w:szCs w:val="28"/>
              </w:rPr>
              <w:t>ureau de la Normalisation des Télécommunications</w:t>
            </w:r>
          </w:p>
        </w:tc>
      </w:tr>
      <w:tr w:rsidR="00036F4F" w:rsidRPr="005B493B" w14:paraId="18B25741" w14:textId="77777777" w:rsidTr="005B493B">
        <w:trPr>
          <w:cantSplit/>
        </w:trPr>
        <w:tc>
          <w:tcPr>
            <w:tcW w:w="0" w:type="auto"/>
          </w:tcPr>
          <w:p w14:paraId="4B1AFD72" w14:textId="77777777" w:rsidR="00036F4F" w:rsidRPr="005B493B" w:rsidRDefault="00036F4F" w:rsidP="00A5280F">
            <w:pPr>
              <w:tabs>
                <w:tab w:val="left" w:pos="4111"/>
              </w:tabs>
              <w:spacing w:before="10"/>
              <w:ind w:left="57"/>
            </w:pPr>
          </w:p>
        </w:tc>
        <w:tc>
          <w:tcPr>
            <w:tcW w:w="2974" w:type="dxa"/>
          </w:tcPr>
          <w:p w14:paraId="6579D3E8" w14:textId="77777777" w:rsidR="00036F4F" w:rsidRPr="005B493B" w:rsidRDefault="00036F4F" w:rsidP="00A5280F">
            <w:pPr>
              <w:tabs>
                <w:tab w:val="left" w:pos="4111"/>
              </w:tabs>
              <w:spacing w:before="10"/>
              <w:ind w:left="57"/>
              <w:rPr>
                <w:b/>
              </w:rPr>
            </w:pPr>
          </w:p>
        </w:tc>
        <w:tc>
          <w:tcPr>
            <w:tcW w:w="5476" w:type="dxa"/>
          </w:tcPr>
          <w:p w14:paraId="0DC34ECA" w14:textId="1222636D" w:rsidR="00036F4F" w:rsidRPr="005B493B" w:rsidRDefault="00036F4F" w:rsidP="00A5645A">
            <w:pPr>
              <w:tabs>
                <w:tab w:val="clear" w:pos="794"/>
                <w:tab w:val="clear" w:pos="1191"/>
                <w:tab w:val="clear" w:pos="1588"/>
                <w:tab w:val="clear" w:pos="1985"/>
                <w:tab w:val="left" w:pos="284"/>
              </w:tabs>
              <w:spacing w:after="120"/>
              <w:ind w:left="284" w:hanging="227"/>
            </w:pPr>
            <w:r w:rsidRPr="005B493B">
              <w:t>Genève, le</w:t>
            </w:r>
            <w:r w:rsidR="004419E9" w:rsidRPr="005B493B">
              <w:t xml:space="preserve"> </w:t>
            </w:r>
            <w:r w:rsidR="002C669A" w:rsidRPr="005B493B">
              <w:t>6 août 2025</w:t>
            </w:r>
          </w:p>
        </w:tc>
      </w:tr>
      <w:tr w:rsidR="002C669A" w:rsidRPr="005B493B" w14:paraId="16CDDFEF" w14:textId="77777777" w:rsidTr="005B493B">
        <w:trPr>
          <w:cantSplit/>
          <w:trHeight w:val="340"/>
        </w:trPr>
        <w:tc>
          <w:tcPr>
            <w:tcW w:w="0" w:type="auto"/>
          </w:tcPr>
          <w:p w14:paraId="3EFF375D" w14:textId="58556577" w:rsidR="002C669A" w:rsidRPr="005B493B" w:rsidRDefault="002C669A" w:rsidP="00307FB4">
            <w:pPr>
              <w:tabs>
                <w:tab w:val="left" w:pos="4111"/>
              </w:tabs>
              <w:spacing w:before="10"/>
              <w:ind w:left="57"/>
              <w:rPr>
                <w:b/>
                <w:bCs/>
              </w:rPr>
            </w:pPr>
            <w:r w:rsidRPr="005B493B">
              <w:rPr>
                <w:b/>
                <w:bCs/>
              </w:rPr>
              <w:t>Réf.:</w:t>
            </w:r>
          </w:p>
        </w:tc>
        <w:tc>
          <w:tcPr>
            <w:tcW w:w="2974" w:type="dxa"/>
          </w:tcPr>
          <w:p w14:paraId="5FFBBC9B" w14:textId="7E239605" w:rsidR="002C669A" w:rsidRPr="005B493B" w:rsidRDefault="002C669A" w:rsidP="00A5280F">
            <w:pPr>
              <w:tabs>
                <w:tab w:val="left" w:pos="4111"/>
              </w:tabs>
              <w:spacing w:before="10"/>
              <w:ind w:left="57"/>
              <w:rPr>
                <w:b/>
              </w:rPr>
            </w:pPr>
            <w:r w:rsidRPr="005B493B">
              <w:rPr>
                <w:b/>
              </w:rPr>
              <w:t>Circulaire TSB 67</w:t>
            </w:r>
          </w:p>
          <w:p w14:paraId="577F6DA2" w14:textId="5E183D4A" w:rsidR="002C669A" w:rsidRPr="005B493B" w:rsidRDefault="002C669A" w:rsidP="00307FB4">
            <w:pPr>
              <w:tabs>
                <w:tab w:val="left" w:pos="4111"/>
              </w:tabs>
              <w:spacing w:before="10"/>
              <w:ind w:left="57"/>
              <w:rPr>
                <w:b/>
                <w:bCs/>
              </w:rPr>
            </w:pPr>
            <w:r w:rsidRPr="005B493B">
              <w:rPr>
                <w:b/>
                <w:bCs/>
              </w:rPr>
              <w:t>CB</w:t>
            </w:r>
          </w:p>
        </w:tc>
        <w:tc>
          <w:tcPr>
            <w:tcW w:w="5476" w:type="dxa"/>
            <w:vMerge w:val="restart"/>
          </w:tcPr>
          <w:p w14:paraId="2535B481" w14:textId="06A74022" w:rsidR="002C669A" w:rsidRPr="005B493B" w:rsidRDefault="002C669A" w:rsidP="005B493B">
            <w:pPr>
              <w:tabs>
                <w:tab w:val="left" w:pos="4111"/>
              </w:tabs>
              <w:spacing w:before="10"/>
              <w:ind w:left="420" w:hanging="420"/>
            </w:pPr>
            <w:bookmarkStart w:id="0" w:name="Addressee_F"/>
            <w:bookmarkEnd w:id="0"/>
            <w:r w:rsidRPr="005B493B">
              <w:t>–</w:t>
            </w:r>
            <w:r w:rsidRPr="005B493B">
              <w:tab/>
              <w:t>Aux Administrations des États Membres de l'Union;</w:t>
            </w:r>
          </w:p>
          <w:p w14:paraId="185A830C" w14:textId="0884939F" w:rsidR="002C669A" w:rsidRPr="005B493B" w:rsidRDefault="002C669A" w:rsidP="002C669A">
            <w:pPr>
              <w:tabs>
                <w:tab w:val="left" w:pos="4111"/>
              </w:tabs>
              <w:spacing w:before="0"/>
              <w:ind w:left="420" w:hanging="420"/>
            </w:pPr>
            <w:r w:rsidRPr="005B493B">
              <w:t>–</w:t>
            </w:r>
            <w:r w:rsidRPr="005B493B">
              <w:tab/>
              <w:t>Aux Membres du Secteur de l'UIT-T;</w:t>
            </w:r>
          </w:p>
          <w:p w14:paraId="63621017" w14:textId="229019FD" w:rsidR="002C669A" w:rsidRPr="005B493B" w:rsidRDefault="002C669A" w:rsidP="002C669A">
            <w:pPr>
              <w:tabs>
                <w:tab w:val="left" w:pos="4111"/>
              </w:tabs>
              <w:spacing w:before="0"/>
              <w:ind w:left="420" w:hanging="420"/>
            </w:pPr>
            <w:r w:rsidRPr="005B493B">
              <w:t>–</w:t>
            </w:r>
            <w:r w:rsidRPr="005B493B">
              <w:tab/>
              <w:t>À l'État de Palestine (Rés. 99 (Rév. Dubaï, 2018));</w:t>
            </w:r>
          </w:p>
          <w:p w14:paraId="44102D0E" w14:textId="2D56C6C6" w:rsidR="002C669A" w:rsidRPr="005B493B" w:rsidRDefault="002C669A" w:rsidP="002C669A">
            <w:pPr>
              <w:tabs>
                <w:tab w:val="left" w:pos="4111"/>
              </w:tabs>
              <w:spacing w:before="0"/>
              <w:ind w:left="420" w:hanging="420"/>
            </w:pPr>
            <w:r w:rsidRPr="005B493B">
              <w:t>–</w:t>
            </w:r>
            <w:r w:rsidRPr="005B493B">
              <w:tab/>
              <w:t>Aux Associés de l'UIT-T;</w:t>
            </w:r>
          </w:p>
          <w:p w14:paraId="0A71F109" w14:textId="77777777" w:rsidR="002C669A" w:rsidRPr="005B493B" w:rsidRDefault="002C669A" w:rsidP="002C669A">
            <w:pPr>
              <w:tabs>
                <w:tab w:val="left" w:pos="4111"/>
              </w:tabs>
              <w:spacing w:before="0"/>
              <w:ind w:left="420" w:hanging="420"/>
            </w:pPr>
            <w:r w:rsidRPr="005B493B">
              <w:t>–</w:t>
            </w:r>
            <w:r w:rsidRPr="005B493B">
              <w:tab/>
              <w:t>Aux établissements universitaires participant aux travaux de l'UIT</w:t>
            </w:r>
          </w:p>
          <w:p w14:paraId="5038940D" w14:textId="77777777" w:rsidR="002C669A" w:rsidRPr="005B493B" w:rsidRDefault="002C669A" w:rsidP="002C669A">
            <w:pPr>
              <w:tabs>
                <w:tab w:val="clear" w:pos="794"/>
                <w:tab w:val="left" w:pos="226"/>
                <w:tab w:val="left" w:pos="4111"/>
              </w:tabs>
              <w:spacing w:before="0"/>
              <w:ind w:left="420" w:hanging="420"/>
              <w:rPr>
                <w:b/>
                <w:bCs/>
              </w:rPr>
            </w:pPr>
            <w:r w:rsidRPr="005B493B">
              <w:rPr>
                <w:b/>
                <w:bCs/>
              </w:rPr>
              <w:t>Copie:</w:t>
            </w:r>
          </w:p>
          <w:p w14:paraId="25948FE4" w14:textId="77777777" w:rsidR="002C669A" w:rsidRPr="005B493B" w:rsidRDefault="002C669A" w:rsidP="002C669A">
            <w:pPr>
              <w:tabs>
                <w:tab w:val="clear" w:pos="794"/>
                <w:tab w:val="left" w:pos="4111"/>
              </w:tabs>
              <w:spacing w:before="0"/>
              <w:ind w:left="420" w:hanging="420"/>
            </w:pPr>
            <w:r w:rsidRPr="005B493B">
              <w:t>–</w:t>
            </w:r>
            <w:r w:rsidRPr="005B493B">
              <w:tab/>
              <w:t>Aux Présidents et Vice-Présidents des Commissions d'études;</w:t>
            </w:r>
          </w:p>
          <w:p w14:paraId="4F60D726" w14:textId="77777777" w:rsidR="002C669A" w:rsidRPr="005B493B" w:rsidRDefault="002C669A" w:rsidP="002C669A">
            <w:pPr>
              <w:tabs>
                <w:tab w:val="clear" w:pos="794"/>
                <w:tab w:val="left" w:pos="4111"/>
              </w:tabs>
              <w:spacing w:before="0"/>
              <w:ind w:left="420" w:hanging="420"/>
            </w:pPr>
            <w:r w:rsidRPr="005B493B">
              <w:t>–</w:t>
            </w:r>
            <w:r w:rsidRPr="005B493B">
              <w:tab/>
              <w:t>Au Directeur du Bureau de développement des télécommunications;</w:t>
            </w:r>
          </w:p>
          <w:p w14:paraId="61C5FE23" w14:textId="1E73242E" w:rsidR="002C669A" w:rsidRPr="005B493B" w:rsidRDefault="002C669A" w:rsidP="002C669A">
            <w:pPr>
              <w:tabs>
                <w:tab w:val="left" w:pos="4111"/>
              </w:tabs>
              <w:spacing w:before="0"/>
              <w:ind w:left="420" w:hanging="420"/>
            </w:pPr>
            <w:r w:rsidRPr="005B493B">
              <w:t>–</w:t>
            </w:r>
            <w:r w:rsidRPr="005B493B">
              <w:tab/>
              <w:t>Au Directeur du Bureau des radiocommunications</w:t>
            </w:r>
            <w:r w:rsidR="005D4F2A">
              <w:t>;</w:t>
            </w:r>
          </w:p>
          <w:p w14:paraId="461460AE" w14:textId="1C83F34B" w:rsidR="005B493B" w:rsidRPr="005B493B" w:rsidRDefault="005B493B" w:rsidP="005D4F2A">
            <w:pPr>
              <w:tabs>
                <w:tab w:val="left" w:pos="4111"/>
              </w:tabs>
              <w:spacing w:before="0" w:after="120"/>
              <w:ind w:left="420" w:hanging="420"/>
            </w:pPr>
            <w:r w:rsidRPr="005B493B">
              <w:t>–</w:t>
            </w:r>
            <w:r w:rsidRPr="005B493B">
              <w:tab/>
              <w:t>Aux Directeurs des Bureaux régionaux de l</w:t>
            </w:r>
            <w:r w:rsidR="00F01717">
              <w:t>'</w:t>
            </w:r>
            <w:r w:rsidRPr="005B493B">
              <w:t>UIT</w:t>
            </w:r>
          </w:p>
        </w:tc>
      </w:tr>
      <w:tr w:rsidR="002C669A" w:rsidRPr="005B493B" w14:paraId="06A3F0E7" w14:textId="77777777" w:rsidTr="005B493B">
        <w:trPr>
          <w:cantSplit/>
          <w:trHeight w:val="416"/>
        </w:trPr>
        <w:tc>
          <w:tcPr>
            <w:tcW w:w="0" w:type="auto"/>
          </w:tcPr>
          <w:p w14:paraId="5CF43A7B" w14:textId="5FA7BA50" w:rsidR="002C669A" w:rsidRPr="005B493B" w:rsidRDefault="002C669A" w:rsidP="00A5280F">
            <w:pPr>
              <w:tabs>
                <w:tab w:val="left" w:pos="4111"/>
              </w:tabs>
              <w:spacing w:before="10"/>
              <w:ind w:left="57"/>
            </w:pPr>
            <w:r w:rsidRPr="005B493B">
              <w:t>Tél.:</w:t>
            </w:r>
          </w:p>
        </w:tc>
        <w:tc>
          <w:tcPr>
            <w:tcW w:w="2974" w:type="dxa"/>
          </w:tcPr>
          <w:p w14:paraId="2074781F" w14:textId="6ED6E451" w:rsidR="002C669A" w:rsidRPr="005B493B" w:rsidRDefault="002C669A" w:rsidP="00A5280F">
            <w:pPr>
              <w:tabs>
                <w:tab w:val="left" w:pos="4111"/>
              </w:tabs>
              <w:spacing w:before="0"/>
              <w:ind w:left="57"/>
              <w:rPr>
                <w:b/>
              </w:rPr>
            </w:pPr>
            <w:r w:rsidRPr="005B493B">
              <w:t>+41 22 730 6301</w:t>
            </w:r>
          </w:p>
        </w:tc>
        <w:tc>
          <w:tcPr>
            <w:tcW w:w="5476" w:type="dxa"/>
            <w:vMerge/>
          </w:tcPr>
          <w:p w14:paraId="2F310545" w14:textId="2E3D8DB4" w:rsidR="002C669A" w:rsidRPr="005B493B" w:rsidRDefault="002C669A" w:rsidP="00307FB4">
            <w:pPr>
              <w:tabs>
                <w:tab w:val="left" w:pos="4111"/>
              </w:tabs>
              <w:spacing w:before="0"/>
              <w:ind w:left="426" w:hanging="426"/>
            </w:pPr>
          </w:p>
        </w:tc>
      </w:tr>
      <w:tr w:rsidR="002C669A" w:rsidRPr="005B493B" w14:paraId="030F9AE5" w14:textId="77777777" w:rsidTr="005B493B">
        <w:trPr>
          <w:cantSplit/>
          <w:trHeight w:val="422"/>
        </w:trPr>
        <w:tc>
          <w:tcPr>
            <w:tcW w:w="0" w:type="auto"/>
          </w:tcPr>
          <w:p w14:paraId="7B417C4C" w14:textId="77777777" w:rsidR="002C669A" w:rsidRPr="005B493B" w:rsidRDefault="002C669A" w:rsidP="00A5280F">
            <w:pPr>
              <w:tabs>
                <w:tab w:val="left" w:pos="4111"/>
              </w:tabs>
              <w:spacing w:before="10"/>
              <w:ind w:left="57"/>
              <w:rPr>
                <w:sz w:val="20"/>
              </w:rPr>
            </w:pPr>
            <w:r w:rsidRPr="005B493B">
              <w:t>Télécopie:</w:t>
            </w:r>
          </w:p>
        </w:tc>
        <w:tc>
          <w:tcPr>
            <w:tcW w:w="2974" w:type="dxa"/>
          </w:tcPr>
          <w:p w14:paraId="1A4A5F7B" w14:textId="77777777" w:rsidR="002C669A" w:rsidRPr="005B493B" w:rsidRDefault="002C669A" w:rsidP="00A5280F">
            <w:pPr>
              <w:tabs>
                <w:tab w:val="left" w:pos="4111"/>
              </w:tabs>
              <w:spacing w:before="0"/>
              <w:ind w:left="57"/>
            </w:pPr>
            <w:r w:rsidRPr="005B493B">
              <w:t>+41 22 730 5853</w:t>
            </w:r>
          </w:p>
        </w:tc>
        <w:tc>
          <w:tcPr>
            <w:tcW w:w="5476" w:type="dxa"/>
            <w:vMerge/>
          </w:tcPr>
          <w:p w14:paraId="323DAC81" w14:textId="71200541" w:rsidR="002C669A" w:rsidRPr="005B493B" w:rsidRDefault="002C669A" w:rsidP="00307FB4">
            <w:pPr>
              <w:tabs>
                <w:tab w:val="left" w:pos="4111"/>
              </w:tabs>
              <w:spacing w:before="0"/>
              <w:ind w:left="426" w:hanging="426"/>
              <w:rPr>
                <w:b/>
              </w:rPr>
            </w:pPr>
          </w:p>
        </w:tc>
      </w:tr>
      <w:tr w:rsidR="002C669A" w:rsidRPr="005B493B" w14:paraId="640FB6B9" w14:textId="77777777" w:rsidTr="005B493B">
        <w:trPr>
          <w:cantSplit/>
        </w:trPr>
        <w:tc>
          <w:tcPr>
            <w:tcW w:w="0" w:type="auto"/>
          </w:tcPr>
          <w:p w14:paraId="15527369" w14:textId="0865F49A" w:rsidR="002C669A" w:rsidRPr="005B493B" w:rsidRDefault="002C669A" w:rsidP="00A5280F">
            <w:pPr>
              <w:tabs>
                <w:tab w:val="left" w:pos="4111"/>
              </w:tabs>
              <w:spacing w:before="10"/>
              <w:ind w:left="57"/>
            </w:pPr>
            <w:r w:rsidRPr="005B493B">
              <w:t>Courriel:</w:t>
            </w:r>
          </w:p>
        </w:tc>
        <w:tc>
          <w:tcPr>
            <w:tcW w:w="2974" w:type="dxa"/>
          </w:tcPr>
          <w:p w14:paraId="172249CE" w14:textId="177C00EF" w:rsidR="002C669A" w:rsidRPr="005B493B" w:rsidRDefault="002C669A" w:rsidP="00A5280F">
            <w:pPr>
              <w:tabs>
                <w:tab w:val="left" w:pos="4111"/>
              </w:tabs>
              <w:spacing w:before="0"/>
              <w:ind w:left="57"/>
            </w:pPr>
            <w:hyperlink r:id="rId9" w:history="1">
              <w:r w:rsidRPr="005B493B">
                <w:rPr>
                  <w:rStyle w:val="Hyperlink"/>
                </w:rPr>
                <w:t>tsbjcgiotsec@itu.int</w:t>
              </w:r>
            </w:hyperlink>
          </w:p>
        </w:tc>
        <w:tc>
          <w:tcPr>
            <w:tcW w:w="5476" w:type="dxa"/>
            <w:vMerge/>
          </w:tcPr>
          <w:p w14:paraId="19762254" w14:textId="01214A50" w:rsidR="002C669A" w:rsidRPr="005B493B" w:rsidRDefault="002C669A" w:rsidP="00307FB4">
            <w:pPr>
              <w:tabs>
                <w:tab w:val="clear" w:pos="794"/>
                <w:tab w:val="left" w:pos="4111"/>
              </w:tabs>
              <w:spacing w:before="0"/>
              <w:ind w:left="426" w:hanging="426"/>
            </w:pPr>
          </w:p>
        </w:tc>
      </w:tr>
      <w:tr w:rsidR="00517A03" w:rsidRPr="005B493B" w14:paraId="5435C04A" w14:textId="77777777" w:rsidTr="00C41B89">
        <w:trPr>
          <w:cantSplit/>
          <w:trHeight w:val="397"/>
        </w:trPr>
        <w:tc>
          <w:tcPr>
            <w:tcW w:w="0" w:type="auto"/>
          </w:tcPr>
          <w:p w14:paraId="2A0B9B4F" w14:textId="77777777" w:rsidR="00517A03" w:rsidRPr="005B493B" w:rsidRDefault="00517A03" w:rsidP="00307FB4">
            <w:pPr>
              <w:tabs>
                <w:tab w:val="left" w:pos="4111"/>
              </w:tabs>
              <w:ind w:left="57"/>
              <w:rPr>
                <w:b/>
                <w:bCs/>
                <w:szCs w:val="22"/>
              </w:rPr>
            </w:pPr>
            <w:r w:rsidRPr="005B493B">
              <w:rPr>
                <w:b/>
                <w:bCs/>
                <w:szCs w:val="22"/>
              </w:rPr>
              <w:t>Objet:</w:t>
            </w:r>
          </w:p>
        </w:tc>
        <w:tc>
          <w:tcPr>
            <w:tcW w:w="0" w:type="auto"/>
            <w:gridSpan w:val="2"/>
          </w:tcPr>
          <w:p w14:paraId="1A51EE75" w14:textId="121FE559" w:rsidR="00517A03" w:rsidRPr="005B493B" w:rsidRDefault="002C669A" w:rsidP="0048088B">
            <w:pPr>
              <w:tabs>
                <w:tab w:val="left" w:pos="4111"/>
              </w:tabs>
              <w:spacing w:after="120"/>
              <w:ind w:left="57"/>
              <w:rPr>
                <w:b/>
                <w:bCs/>
                <w:szCs w:val="22"/>
              </w:rPr>
            </w:pPr>
            <w:r w:rsidRPr="005B493B">
              <w:rPr>
                <w:b/>
                <w:bCs/>
                <w:szCs w:val="22"/>
              </w:rPr>
              <w:t>Création du Groupe mixte de travail par correspondance sur la sécurité de l</w:t>
            </w:r>
            <w:r w:rsidR="008161DD" w:rsidRPr="005B493B">
              <w:rPr>
                <w:b/>
                <w:bCs/>
                <w:szCs w:val="22"/>
              </w:rPr>
              <w:t>'</w:t>
            </w:r>
            <w:r w:rsidRPr="005B493B">
              <w:rPr>
                <w:b/>
                <w:bCs/>
                <w:szCs w:val="22"/>
              </w:rPr>
              <w:t>Internet des objets (IoT) (JCG-IoTSec) et tenue de sa première réunion (Genève, 17 septembre 2025)</w:t>
            </w:r>
          </w:p>
        </w:tc>
      </w:tr>
    </w:tbl>
    <w:p w14:paraId="2D1EC328" w14:textId="77777777" w:rsidR="00517A03" w:rsidRPr="005B493B" w:rsidRDefault="00517A03" w:rsidP="0048088B">
      <w:pPr>
        <w:spacing w:before="360"/>
      </w:pPr>
      <w:bookmarkStart w:id="1" w:name="StartTyping_F"/>
      <w:bookmarkEnd w:id="1"/>
      <w:r w:rsidRPr="005B493B">
        <w:t>Madame, Monsieur,</w:t>
      </w:r>
    </w:p>
    <w:p w14:paraId="017C196A" w14:textId="75ED0805" w:rsidR="0072655E" w:rsidRPr="005B493B" w:rsidRDefault="0072655E" w:rsidP="0072655E">
      <w:pPr>
        <w:rPr>
          <w:bCs/>
        </w:rPr>
      </w:pPr>
      <w:r w:rsidRPr="005B493B">
        <w:rPr>
          <w:bCs/>
        </w:rPr>
        <w:t>1</w:t>
      </w:r>
      <w:r w:rsidRPr="005B493B">
        <w:rPr>
          <w:bCs/>
        </w:rPr>
        <w:tab/>
        <w:t>À la suite de l'accord donné par le Groupe consultatif de la normalisation des télécommunications (GCNT) de l'Union internationale des télécommunications (UIT) à sa réunion qui s</w:t>
      </w:r>
      <w:r w:rsidR="008161DD" w:rsidRPr="005B493B">
        <w:rPr>
          <w:bCs/>
        </w:rPr>
        <w:t>'</w:t>
      </w:r>
      <w:r w:rsidRPr="005B493B">
        <w:rPr>
          <w:bCs/>
        </w:rPr>
        <w:t>est tenue du 26 au 30 mai 2025, j'ai l'honneur de vous annoncer la création du Groupe mixte de travail par correspondance sur la sécurité de l'IoT (JCG-IoTSec). La présente lettre donne également des informations sur les moyens mis en place pour son fonctionnement, ainsi que des détails sur sa première réunion.</w:t>
      </w:r>
    </w:p>
    <w:p w14:paraId="10E79CD3" w14:textId="599E5E19" w:rsidR="0072655E" w:rsidRPr="005B493B" w:rsidRDefault="0072655E" w:rsidP="0072655E">
      <w:pPr>
        <w:rPr>
          <w:bCs/>
        </w:rPr>
      </w:pPr>
      <w:r w:rsidRPr="005B493B">
        <w:rPr>
          <w:bCs/>
        </w:rPr>
        <w:t>2</w:t>
      </w:r>
      <w:r w:rsidRPr="005B493B">
        <w:rPr>
          <w:bCs/>
        </w:rPr>
        <w:tab/>
        <w:t>Le Groupe JCG-IoTSec a pour objet de débattre de la question de la sécurité de l</w:t>
      </w:r>
      <w:r w:rsidR="008161DD" w:rsidRPr="005B493B">
        <w:rPr>
          <w:bCs/>
        </w:rPr>
        <w:t>'</w:t>
      </w:r>
      <w:r w:rsidRPr="005B493B">
        <w:rPr>
          <w:bCs/>
        </w:rPr>
        <w:t>Internet des objets, en application de la mesure 7 de l</w:t>
      </w:r>
      <w:r w:rsidR="008161DD" w:rsidRPr="005B493B">
        <w:rPr>
          <w:bCs/>
        </w:rPr>
        <w:t>'</w:t>
      </w:r>
      <w:r w:rsidRPr="005B493B">
        <w:rPr>
          <w:bCs/>
        </w:rPr>
        <w:t xml:space="preserve">AMNT-24 (voir </w:t>
      </w:r>
      <w:hyperlink r:id="rId10" w:history="1">
        <w:r w:rsidRPr="005B493B">
          <w:rPr>
            <w:rStyle w:val="Hyperlink"/>
            <w:bCs/>
          </w:rPr>
          <w:t>les Actes de l</w:t>
        </w:r>
        <w:r w:rsidR="008161DD" w:rsidRPr="005B493B">
          <w:rPr>
            <w:rStyle w:val="Hyperlink"/>
            <w:bCs/>
          </w:rPr>
          <w:t>'</w:t>
        </w:r>
        <w:r w:rsidRPr="005B493B">
          <w:rPr>
            <w:rStyle w:val="Hyperlink"/>
            <w:bCs/>
          </w:rPr>
          <w:t>AMNT-24, Partie II</w:t>
        </w:r>
      </w:hyperlink>
      <w:r w:rsidRPr="005B493B">
        <w:rPr>
          <w:bCs/>
        </w:rPr>
        <w:t>). Toutes les entités habilitées à participer aux activités de normalisation des Commissions</w:t>
      </w:r>
      <w:r w:rsidR="005D4F2A">
        <w:rPr>
          <w:bCs/>
        </w:rPr>
        <w:t xml:space="preserve"> </w:t>
      </w:r>
      <w:r w:rsidRPr="005B493B">
        <w:rPr>
          <w:bCs/>
        </w:rPr>
        <w:t>d</w:t>
      </w:r>
      <w:r w:rsidR="008161DD" w:rsidRPr="005B493B">
        <w:rPr>
          <w:bCs/>
        </w:rPr>
        <w:t>'</w:t>
      </w:r>
      <w:r w:rsidRPr="005B493B">
        <w:rPr>
          <w:bCs/>
        </w:rPr>
        <w:t>études</w:t>
      </w:r>
      <w:r w:rsidR="005D4F2A">
        <w:rPr>
          <w:bCs/>
        </w:rPr>
        <w:t> </w:t>
      </w:r>
      <w:r w:rsidRPr="005B493B">
        <w:rPr>
          <w:bCs/>
        </w:rPr>
        <w:t>17 et 20 de l</w:t>
      </w:r>
      <w:r w:rsidR="008161DD" w:rsidRPr="005B493B">
        <w:rPr>
          <w:bCs/>
        </w:rPr>
        <w:t>'</w:t>
      </w:r>
      <w:r w:rsidRPr="005B493B">
        <w:rPr>
          <w:bCs/>
        </w:rPr>
        <w:t xml:space="preserve">UIT-T peuvent intégrer ce </w:t>
      </w:r>
      <w:r w:rsidR="00C13B8C">
        <w:rPr>
          <w:bCs/>
        </w:rPr>
        <w:t>g</w:t>
      </w:r>
      <w:r w:rsidRPr="005B493B">
        <w:rPr>
          <w:bCs/>
        </w:rPr>
        <w:t>roupe. Le mandat de ce dernier est défini dans</w:t>
      </w:r>
      <w:r w:rsidR="005D4F2A">
        <w:rPr>
          <w:bCs/>
        </w:rPr>
        <w:t> </w:t>
      </w:r>
      <w:r w:rsidRPr="005B493B">
        <w:rPr>
          <w:bCs/>
        </w:rPr>
        <w:t>l'</w:t>
      </w:r>
      <w:r w:rsidRPr="005B493B">
        <w:rPr>
          <w:b/>
        </w:rPr>
        <w:t>Annexe A</w:t>
      </w:r>
      <w:r w:rsidRPr="005B493B">
        <w:rPr>
          <w:bCs/>
        </w:rPr>
        <w:t>.</w:t>
      </w:r>
    </w:p>
    <w:p w14:paraId="20780FAA" w14:textId="2A9D71E5" w:rsidR="0072655E" w:rsidRPr="005B493B" w:rsidRDefault="0072655E" w:rsidP="0072655E">
      <w:pPr>
        <w:rPr>
          <w:bCs/>
        </w:rPr>
      </w:pPr>
      <w:r w:rsidRPr="005B493B">
        <w:rPr>
          <w:bCs/>
        </w:rPr>
        <w:t>3</w:t>
      </w:r>
      <w:r w:rsidRPr="005B493B">
        <w:rPr>
          <w:bCs/>
        </w:rPr>
        <w:tab/>
        <w:t>Le GCNT a nommé M. Bret Jordan, Président du GT 2/17, et M. Ramy Ahmed Fathy, Président du GT 3/20, désignés respectivement par les Commissions d</w:t>
      </w:r>
      <w:r w:rsidR="008161DD" w:rsidRPr="005B493B">
        <w:rPr>
          <w:bCs/>
        </w:rPr>
        <w:t>'</w:t>
      </w:r>
      <w:r w:rsidRPr="005B493B">
        <w:rPr>
          <w:bCs/>
        </w:rPr>
        <w:t xml:space="preserve">études 17 et 20, en tant que </w:t>
      </w:r>
      <w:r w:rsidR="00D85816">
        <w:rPr>
          <w:bCs/>
        </w:rPr>
        <w:t>C</w:t>
      </w:r>
      <w:r w:rsidRPr="005B493B">
        <w:rPr>
          <w:bCs/>
        </w:rPr>
        <w:t>oresponsables du Groupe JCG-IoTSec.</w:t>
      </w:r>
    </w:p>
    <w:p w14:paraId="38FDB6E6" w14:textId="3E6BB756" w:rsidR="0072655E" w:rsidRPr="005B493B" w:rsidRDefault="0072655E" w:rsidP="0072655E">
      <w:pPr>
        <w:rPr>
          <w:bCs/>
        </w:rPr>
      </w:pPr>
      <w:r w:rsidRPr="005B493B">
        <w:rPr>
          <w:bCs/>
        </w:rPr>
        <w:t>4</w:t>
      </w:r>
      <w:r w:rsidRPr="005B493B">
        <w:rPr>
          <w:bCs/>
        </w:rPr>
        <w:tab/>
        <w:t>Une page web consacrée au Groupe JCG-IoTSec peut être consultée à l</w:t>
      </w:r>
      <w:r w:rsidR="008161DD" w:rsidRPr="005B493B">
        <w:rPr>
          <w:bCs/>
        </w:rPr>
        <w:t>'</w:t>
      </w:r>
      <w:r w:rsidRPr="005B493B">
        <w:rPr>
          <w:bCs/>
        </w:rPr>
        <w:t xml:space="preserve">adresse </w:t>
      </w:r>
      <w:hyperlink r:id="rId11" w:anchor="/fr" w:history="1">
        <w:r w:rsidRPr="005B493B">
          <w:rPr>
            <w:rStyle w:val="Hyperlink"/>
            <w:bCs/>
          </w:rPr>
          <w:t>https://www.itu.int/en/ITU-T/jcg/iotsec</w:t>
        </w:r>
      </w:hyperlink>
      <w:r w:rsidRPr="005B493B">
        <w:rPr>
          <w:bCs/>
        </w:rPr>
        <w:t xml:space="preserve"> et vous pouvez accéder à un espace de collaboration documentaire à l</w:t>
      </w:r>
      <w:r w:rsidR="008161DD" w:rsidRPr="005B493B">
        <w:rPr>
          <w:bCs/>
        </w:rPr>
        <w:t>'</w:t>
      </w:r>
      <w:r w:rsidRPr="005B493B">
        <w:rPr>
          <w:bCs/>
        </w:rPr>
        <w:t xml:space="preserve">adresse </w:t>
      </w:r>
      <w:hyperlink r:id="rId12" w:history="1">
        <w:r w:rsidRPr="005B493B">
          <w:rPr>
            <w:rStyle w:val="Hyperlink"/>
            <w:bCs/>
          </w:rPr>
          <w:t>https://extranet.itu.int/sites/itu-t/jcg/iotsec</w:t>
        </w:r>
      </w:hyperlink>
      <w:r w:rsidRPr="005B493B">
        <w:rPr>
          <w:bCs/>
        </w:rPr>
        <w:t>. Il convient pour ce faire de disposer d'un compte UIT avec accès TIES.</w:t>
      </w:r>
    </w:p>
    <w:p w14:paraId="785E7858" w14:textId="2E404EAF" w:rsidR="0072655E" w:rsidRPr="005B493B" w:rsidRDefault="0072655E" w:rsidP="0072655E">
      <w:pPr>
        <w:keepNext/>
        <w:keepLines/>
        <w:rPr>
          <w:bCs/>
        </w:rPr>
      </w:pPr>
      <w:r w:rsidRPr="005B493B">
        <w:rPr>
          <w:bCs/>
        </w:rPr>
        <w:lastRenderedPageBreak/>
        <w:t>5</w:t>
      </w:r>
      <w:r w:rsidRPr="005B493B">
        <w:rPr>
          <w:bCs/>
        </w:rPr>
        <w:tab/>
        <w:t>Les travaux du Groupe JCG-IoTSec seront principalement menés par le biais de sa liste de diffusion, mais ils pourront également inclure des réunions physiques ou virtuelles au moyen d</w:t>
      </w:r>
      <w:r w:rsidR="008161DD" w:rsidRPr="005B493B">
        <w:rPr>
          <w:bCs/>
        </w:rPr>
        <w:t>'</w:t>
      </w:r>
      <w:r w:rsidRPr="005B493B">
        <w:rPr>
          <w:bCs/>
        </w:rPr>
        <w:t>instruments pris en charge par le Bureau de la normalisation des télécommunications (TSB). Pour pouvoir participer à ses discussions, vous êtes priés de vous inscrire à la liste de diffusion qui y est consacrée (</w:t>
      </w:r>
      <w:hyperlink r:id="rId13" w:history="1">
        <w:r w:rsidRPr="005B493B">
          <w:rPr>
            <w:rStyle w:val="Hyperlink"/>
            <w:bCs/>
          </w:rPr>
          <w:t>jcgiotsec@lists.itu.int</w:t>
        </w:r>
      </w:hyperlink>
      <w:r w:rsidRPr="005B493B">
        <w:rPr>
          <w:bCs/>
        </w:rPr>
        <w:t xml:space="preserve">), via </w:t>
      </w:r>
      <w:hyperlink r:id="rId14" w:history="1">
        <w:r w:rsidRPr="005B493B">
          <w:rPr>
            <w:rStyle w:val="Hyperlink"/>
            <w:bCs/>
          </w:rPr>
          <w:t>ce lien</w:t>
        </w:r>
      </w:hyperlink>
      <w:r w:rsidRPr="005B493B">
        <w:rPr>
          <w:bCs/>
        </w:rPr>
        <w:t>, ou l</w:t>
      </w:r>
      <w:r w:rsidR="008161DD" w:rsidRPr="005B493B">
        <w:rPr>
          <w:bCs/>
        </w:rPr>
        <w:t>'</w:t>
      </w:r>
      <w:hyperlink r:id="rId15" w:history="1">
        <w:r w:rsidRPr="005B493B">
          <w:rPr>
            <w:rStyle w:val="Hyperlink"/>
            <w:bCs/>
          </w:rPr>
          <w:t>application MyWorkspace</w:t>
        </w:r>
      </w:hyperlink>
      <w:r w:rsidRPr="005B493B">
        <w:rPr>
          <w:bCs/>
        </w:rPr>
        <w:t>.</w:t>
      </w:r>
    </w:p>
    <w:p w14:paraId="5B3BC7F2" w14:textId="55F44B6B" w:rsidR="0072655E" w:rsidRPr="005B493B" w:rsidRDefault="0072655E" w:rsidP="0072655E">
      <w:pPr>
        <w:rPr>
          <w:bCs/>
        </w:rPr>
      </w:pPr>
      <w:r w:rsidRPr="005B493B">
        <w:rPr>
          <w:bCs/>
        </w:rPr>
        <w:t>6</w:t>
      </w:r>
      <w:r w:rsidRPr="005B493B">
        <w:rPr>
          <w:bCs/>
        </w:rPr>
        <w:tab/>
        <w:t>La première réunion du Groupe JCG-IoTSec se tiendra au siège de l</w:t>
      </w:r>
      <w:r w:rsidR="008161DD" w:rsidRPr="005B493B">
        <w:rPr>
          <w:bCs/>
        </w:rPr>
        <w:t>'</w:t>
      </w:r>
      <w:r w:rsidRPr="005B493B">
        <w:rPr>
          <w:bCs/>
        </w:rPr>
        <w:t>UIT à Genève, le </w:t>
      </w:r>
      <w:r w:rsidRPr="005B493B">
        <w:rPr>
          <w:b/>
        </w:rPr>
        <w:t xml:space="preserve">17 septembre 2025 </w:t>
      </w:r>
      <w:r w:rsidRPr="00C13B8C">
        <w:rPr>
          <w:bCs/>
        </w:rPr>
        <w:t xml:space="preserve">de </w:t>
      </w:r>
      <w:r w:rsidRPr="005B493B">
        <w:rPr>
          <w:b/>
        </w:rPr>
        <w:t>13 h</w:t>
      </w:r>
      <w:r w:rsidR="004F485D">
        <w:rPr>
          <w:b/>
        </w:rPr>
        <w:t>eures</w:t>
      </w:r>
      <w:r w:rsidRPr="005B493B">
        <w:rPr>
          <w:b/>
        </w:rPr>
        <w:t xml:space="preserve"> à 14 </w:t>
      </w:r>
      <w:r w:rsidR="004F485D">
        <w:rPr>
          <w:b/>
        </w:rPr>
        <w:t>heures</w:t>
      </w:r>
      <w:r w:rsidRPr="005B493B">
        <w:rPr>
          <w:b/>
        </w:rPr>
        <w:t xml:space="preserve"> (heure de Genève)</w:t>
      </w:r>
      <w:r w:rsidRPr="005B493B">
        <w:rPr>
          <w:bCs/>
        </w:rPr>
        <w:t>. Elle aura lieu à l'occasion de la réunion de la Commission d</w:t>
      </w:r>
      <w:r w:rsidR="008161DD" w:rsidRPr="005B493B">
        <w:rPr>
          <w:bCs/>
        </w:rPr>
        <w:t>'</w:t>
      </w:r>
      <w:r w:rsidRPr="005B493B">
        <w:rPr>
          <w:bCs/>
        </w:rPr>
        <w:t>études 20 de l</w:t>
      </w:r>
      <w:r w:rsidR="008161DD" w:rsidRPr="005B493B">
        <w:rPr>
          <w:bCs/>
        </w:rPr>
        <w:t>'</w:t>
      </w:r>
      <w:r w:rsidRPr="005B493B">
        <w:rPr>
          <w:bCs/>
        </w:rPr>
        <w:t>UIT-T sur l</w:t>
      </w:r>
      <w:r w:rsidR="008161DD" w:rsidRPr="005B493B">
        <w:rPr>
          <w:bCs/>
        </w:rPr>
        <w:t>'</w:t>
      </w:r>
      <w:r w:rsidRPr="005B493B">
        <w:rPr>
          <w:bCs/>
        </w:rPr>
        <w:t>Internet des objets, les jumeaux numériques et les villes et communautés intelligentes et durables, qui se tiendra du 15 au 25 septembre 2025.</w:t>
      </w:r>
    </w:p>
    <w:p w14:paraId="1F72720C" w14:textId="0FDD47E3" w:rsidR="0072655E" w:rsidRPr="005B493B" w:rsidRDefault="0072655E" w:rsidP="0072655E">
      <w:pPr>
        <w:rPr>
          <w:bCs/>
        </w:rPr>
      </w:pPr>
      <w:r w:rsidRPr="005B493B">
        <w:rPr>
          <w:bCs/>
        </w:rPr>
        <w:t>7</w:t>
      </w:r>
      <w:r w:rsidRPr="005B493B">
        <w:rPr>
          <w:bCs/>
        </w:rPr>
        <w:tab/>
        <w:t>Le projet d</w:t>
      </w:r>
      <w:r w:rsidR="008161DD" w:rsidRPr="005B493B">
        <w:rPr>
          <w:bCs/>
        </w:rPr>
        <w:t>'</w:t>
      </w:r>
      <w:r w:rsidRPr="005B493B">
        <w:rPr>
          <w:bCs/>
        </w:rPr>
        <w:t xml:space="preserve">ordre du jour de la réunion peut être consulté sur le lien </w:t>
      </w:r>
      <w:hyperlink r:id="rId16" w:history="1">
        <w:r w:rsidRPr="005B493B">
          <w:rPr>
            <w:rStyle w:val="Hyperlink"/>
            <w:bCs/>
          </w:rPr>
          <w:t>JCG-IoTSec-I-Doc001</w:t>
        </w:r>
      </w:hyperlink>
      <w:r w:rsidRPr="005B493B">
        <w:rPr>
          <w:bCs/>
        </w:rPr>
        <w:t>.</w:t>
      </w:r>
    </w:p>
    <w:p w14:paraId="048DF5C1" w14:textId="33C508FD" w:rsidR="0072655E" w:rsidRPr="005B493B" w:rsidRDefault="0072655E" w:rsidP="0072655E">
      <w:pPr>
        <w:rPr>
          <w:bCs/>
        </w:rPr>
      </w:pPr>
      <w:r w:rsidRPr="005B493B">
        <w:rPr>
          <w:bCs/>
        </w:rPr>
        <w:t>8</w:t>
      </w:r>
      <w:r w:rsidRPr="005B493B">
        <w:rPr>
          <w:bCs/>
        </w:rPr>
        <w:tab/>
        <w:t xml:space="preserve">La participation à distance sera possible via </w:t>
      </w:r>
      <w:hyperlink r:id="rId17" w:history="1">
        <w:r w:rsidRPr="005B493B">
          <w:rPr>
            <w:rStyle w:val="Hyperlink"/>
            <w:bCs/>
          </w:rPr>
          <w:t>MyMeetings</w:t>
        </w:r>
      </w:hyperlink>
      <w:r w:rsidRPr="005B493B">
        <w:rPr>
          <w:bCs/>
        </w:rPr>
        <w:t>. Veuillez soumettre vos contributions à cette première réunion par courrier électronique à son secrétariat, à l</w:t>
      </w:r>
      <w:r w:rsidR="008161DD" w:rsidRPr="005B493B">
        <w:rPr>
          <w:bCs/>
        </w:rPr>
        <w:t>'</w:t>
      </w:r>
      <w:r w:rsidRPr="005B493B">
        <w:rPr>
          <w:bCs/>
        </w:rPr>
        <w:t>adresse</w:t>
      </w:r>
      <w:r w:rsidR="00425B91">
        <w:t> </w:t>
      </w:r>
      <w:hyperlink r:id="rId18" w:history="1">
        <w:r w:rsidR="00425B91" w:rsidRPr="008A229A">
          <w:rPr>
            <w:rStyle w:val="Hyperlink"/>
            <w:bCs/>
          </w:rPr>
          <w:t>tsbjcgiotsec@itu.int</w:t>
        </w:r>
      </w:hyperlink>
      <w:r w:rsidRPr="005B493B">
        <w:rPr>
          <w:bCs/>
        </w:rPr>
        <w:t xml:space="preserve">, le </w:t>
      </w:r>
      <w:r w:rsidRPr="005B493B">
        <w:rPr>
          <w:b/>
        </w:rPr>
        <w:t>10 septembre 2025</w:t>
      </w:r>
      <w:r w:rsidRPr="005B493B">
        <w:rPr>
          <w:bCs/>
        </w:rPr>
        <w:t xml:space="preserve"> au plus tard.</w:t>
      </w:r>
    </w:p>
    <w:p w14:paraId="0A63BF17" w14:textId="4592947B" w:rsidR="0072655E" w:rsidRPr="005B493B" w:rsidRDefault="0072655E" w:rsidP="0072655E">
      <w:pPr>
        <w:spacing w:after="120"/>
        <w:rPr>
          <w:bCs/>
        </w:rPr>
      </w:pPr>
      <w:r w:rsidRPr="005B493B">
        <w:rPr>
          <w:bCs/>
        </w:rPr>
        <w:t>Je vous souhaite une réunion constructive et agréable.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773"/>
      </w:tblGrid>
      <w:tr w:rsidR="0072655E" w:rsidRPr="005B493B" w14:paraId="48ED3AF4" w14:textId="77777777" w:rsidTr="00425B91">
        <w:trPr>
          <w:cantSplit/>
          <w:trHeight w:val="2532"/>
        </w:trPr>
        <w:tc>
          <w:tcPr>
            <w:tcW w:w="6946" w:type="dxa"/>
          </w:tcPr>
          <w:p w14:paraId="7466E714" w14:textId="77777777" w:rsidR="009E484B" w:rsidRPr="005B493B" w:rsidRDefault="009E484B" w:rsidP="009E484B">
            <w:pPr>
              <w:ind w:left="-113"/>
              <w:rPr>
                <w:bCs/>
              </w:rPr>
            </w:pPr>
            <w:r w:rsidRPr="005B493B">
              <w:rPr>
                <w:bCs/>
              </w:rPr>
              <w:t>Veuillez agréer, Madame, Monsieur, l'assurance de ma considération distinguée.</w:t>
            </w:r>
          </w:p>
          <w:p w14:paraId="2ABBEF44" w14:textId="77777777" w:rsidR="009E484B" w:rsidRPr="005B493B" w:rsidRDefault="009E484B" w:rsidP="009E484B">
            <w:pPr>
              <w:spacing w:before="480" w:after="480"/>
              <w:ind w:left="-113"/>
              <w:rPr>
                <w:bCs/>
              </w:rPr>
            </w:pPr>
            <w:r w:rsidRPr="005B493B">
              <w:rPr>
                <w:bCs/>
              </w:rPr>
              <w:t>(</w:t>
            </w:r>
            <w:r w:rsidRPr="005B493B">
              <w:rPr>
                <w:bCs/>
                <w:i/>
              </w:rPr>
              <w:t>signé</w:t>
            </w:r>
            <w:r w:rsidRPr="005B493B">
              <w:rPr>
                <w:bCs/>
              </w:rPr>
              <w:t>)</w:t>
            </w:r>
          </w:p>
          <w:p w14:paraId="6D65D0A4" w14:textId="789F95F6" w:rsidR="0072655E" w:rsidRPr="005B493B" w:rsidRDefault="009E484B" w:rsidP="009E484B">
            <w:pPr>
              <w:ind w:left="-113"/>
              <w:rPr>
                <w:bCs/>
              </w:rPr>
            </w:pPr>
            <w:r w:rsidRPr="005B493B">
              <w:rPr>
                <w:bCs/>
              </w:rPr>
              <w:t>Seizo Onoe</w:t>
            </w:r>
            <w:r w:rsidRPr="005B493B">
              <w:rPr>
                <w:bCs/>
              </w:rPr>
              <w:br/>
              <w:t>Directeur du Bureau de la normalisation</w:t>
            </w:r>
            <w:r w:rsidRPr="005B493B">
              <w:rPr>
                <w:bCs/>
              </w:rPr>
              <w:br/>
              <w:t>des télécommunications</w:t>
            </w:r>
          </w:p>
        </w:tc>
        <w:tc>
          <w:tcPr>
            <w:tcW w:w="2773" w:type="dxa"/>
            <w:textDirection w:val="btLr"/>
            <w:vAlign w:val="bottom"/>
          </w:tcPr>
          <w:p w14:paraId="76021504" w14:textId="0C8F7500" w:rsidR="0072655E" w:rsidRPr="005B493B" w:rsidRDefault="009E484B" w:rsidP="00425B91">
            <w:pPr>
              <w:ind w:left="113" w:right="113"/>
              <w:jc w:val="center"/>
              <w:rPr>
                <w:bCs/>
              </w:rPr>
            </w:pPr>
            <w:r w:rsidRPr="005B493B">
              <w:rPr>
                <w:noProof/>
                <w:szCs w:val="18"/>
              </w:rPr>
              <w:drawing>
                <wp:inline distT="0" distB="0" distL="0" distR="0" wp14:anchorId="34398A85" wp14:editId="1E83E9DC">
                  <wp:extent cx="1436914" cy="1436914"/>
                  <wp:effectExtent l="0" t="0" r="0" b="0"/>
                  <wp:docPr id="1883331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0269" cy="1440269"/>
                          </a:xfrm>
                          <a:prstGeom prst="rect">
                            <a:avLst/>
                          </a:prstGeom>
                          <a:noFill/>
                          <a:ln>
                            <a:noFill/>
                          </a:ln>
                        </pic:spPr>
                      </pic:pic>
                    </a:graphicData>
                  </a:graphic>
                </wp:inline>
              </w:drawing>
            </w:r>
            <w:r w:rsidRPr="005B493B">
              <w:rPr>
                <w:rFonts w:cstheme="minorHAnsi"/>
                <w:szCs w:val="22"/>
              </w:rPr>
              <w:t>Plus d'informations</w:t>
            </w:r>
          </w:p>
        </w:tc>
      </w:tr>
    </w:tbl>
    <w:p w14:paraId="558FB742" w14:textId="314A0D8A" w:rsidR="002937DB" w:rsidRPr="005B493B" w:rsidRDefault="009E484B" w:rsidP="009E484B">
      <w:pPr>
        <w:spacing w:before="480"/>
        <w:rPr>
          <w:bCs/>
        </w:rPr>
      </w:pPr>
      <w:r w:rsidRPr="005B493B">
        <w:rPr>
          <w:b/>
        </w:rPr>
        <w:t>Annexe</w:t>
      </w:r>
      <w:r w:rsidRPr="005B493B">
        <w:rPr>
          <w:bCs/>
        </w:rPr>
        <w:t>:</w:t>
      </w:r>
      <w:r w:rsidRPr="005B493B">
        <w:rPr>
          <w:bCs/>
        </w:rPr>
        <w:tab/>
        <w:t>1</w:t>
      </w:r>
    </w:p>
    <w:p w14:paraId="601A1E45" w14:textId="77777777" w:rsidR="002937DB" w:rsidRPr="005B493B" w:rsidRDefault="002937DB">
      <w:pPr>
        <w:tabs>
          <w:tab w:val="clear" w:pos="794"/>
          <w:tab w:val="clear" w:pos="1191"/>
          <w:tab w:val="clear" w:pos="1588"/>
          <w:tab w:val="clear" w:pos="1985"/>
        </w:tabs>
        <w:overflowPunct/>
        <w:autoSpaceDE/>
        <w:autoSpaceDN/>
        <w:adjustRightInd/>
        <w:spacing w:before="0"/>
        <w:textAlignment w:val="auto"/>
        <w:rPr>
          <w:bCs/>
        </w:rPr>
      </w:pPr>
      <w:r w:rsidRPr="005B493B">
        <w:rPr>
          <w:bCs/>
        </w:rPr>
        <w:br w:type="page"/>
      </w:r>
    </w:p>
    <w:p w14:paraId="457FCD16" w14:textId="569F2756" w:rsidR="009E484B" w:rsidRPr="005B493B" w:rsidRDefault="009E484B" w:rsidP="009E484B">
      <w:pPr>
        <w:pStyle w:val="AnnexTitle"/>
      </w:pPr>
      <w:r w:rsidRPr="00425B91">
        <w:rPr>
          <w:sz w:val="28"/>
          <w:szCs w:val="22"/>
        </w:rPr>
        <w:lastRenderedPageBreak/>
        <w:t>ANNEXE A</w:t>
      </w:r>
      <w:r w:rsidRPr="00425B91">
        <w:rPr>
          <w:sz w:val="28"/>
          <w:szCs w:val="22"/>
        </w:rPr>
        <w:br/>
      </w:r>
      <w:r w:rsidRPr="00425B91">
        <w:rPr>
          <w:sz w:val="28"/>
          <w:szCs w:val="22"/>
        </w:rPr>
        <w:br/>
        <w:t>Mandat du Groupe mixte de travail par correspondance</w:t>
      </w:r>
      <w:r w:rsidR="005D4F2A" w:rsidRPr="00425B91">
        <w:rPr>
          <w:sz w:val="28"/>
          <w:szCs w:val="22"/>
        </w:rPr>
        <w:br/>
      </w:r>
      <w:r w:rsidRPr="00425B91">
        <w:rPr>
          <w:sz w:val="28"/>
          <w:szCs w:val="22"/>
        </w:rPr>
        <w:t>sur</w:t>
      </w:r>
      <w:r w:rsidR="005D4F2A" w:rsidRPr="00425B91">
        <w:rPr>
          <w:sz w:val="28"/>
          <w:szCs w:val="22"/>
        </w:rPr>
        <w:t xml:space="preserve"> </w:t>
      </w:r>
      <w:r w:rsidRPr="00425B91">
        <w:rPr>
          <w:sz w:val="28"/>
          <w:szCs w:val="22"/>
        </w:rPr>
        <w:t>la sécurité de l</w:t>
      </w:r>
      <w:r w:rsidR="008161DD" w:rsidRPr="00425B91">
        <w:rPr>
          <w:sz w:val="28"/>
          <w:szCs w:val="22"/>
        </w:rPr>
        <w:t>'</w:t>
      </w:r>
      <w:r w:rsidRPr="00425B91">
        <w:rPr>
          <w:sz w:val="28"/>
          <w:szCs w:val="22"/>
        </w:rPr>
        <w:t>IoT (JCG-IoTSec)</w:t>
      </w:r>
    </w:p>
    <w:p w14:paraId="52EB8E0C" w14:textId="55ACB03F" w:rsidR="009E484B" w:rsidRPr="005B493B" w:rsidRDefault="009E484B" w:rsidP="009E484B">
      <w:pPr>
        <w:pStyle w:val="AnnexRef"/>
      </w:pPr>
      <w:r w:rsidRPr="005B493B">
        <w:t xml:space="preserve">(Annexe D du </w:t>
      </w:r>
      <w:hyperlink r:id="rId20" w:history="1">
        <w:r w:rsidRPr="005B493B">
          <w:rPr>
            <w:rStyle w:val="Hyperlink"/>
          </w:rPr>
          <w:t>Document TSAG-R1</w:t>
        </w:r>
      </w:hyperlink>
      <w:r w:rsidRPr="005B493B">
        <w:t>; Genève, 30 mai 2025)</w:t>
      </w:r>
    </w:p>
    <w:p w14:paraId="31B54005" w14:textId="77777777" w:rsidR="009E484B" w:rsidRPr="005B493B" w:rsidRDefault="009E484B" w:rsidP="009E484B">
      <w:pPr>
        <w:pStyle w:val="Heading1"/>
      </w:pPr>
      <w:r w:rsidRPr="005B493B">
        <w:t>Domaine d'application et objectifs</w:t>
      </w:r>
    </w:p>
    <w:p w14:paraId="1165DB9B" w14:textId="35138AB9" w:rsidR="009E484B" w:rsidRPr="005B493B" w:rsidRDefault="009E484B" w:rsidP="009E484B">
      <w:pPr>
        <w:rPr>
          <w:bCs/>
        </w:rPr>
      </w:pPr>
      <w:r w:rsidRPr="005B493B">
        <w:rPr>
          <w:bCs/>
        </w:rPr>
        <w:t>La Mesure 7 (Sécurité de l</w:t>
      </w:r>
      <w:r w:rsidR="008161DD" w:rsidRPr="005B493B">
        <w:rPr>
          <w:bCs/>
        </w:rPr>
        <w:t>'</w:t>
      </w:r>
      <w:r w:rsidRPr="005B493B">
        <w:rPr>
          <w:bCs/>
        </w:rPr>
        <w:t>IoT) de l</w:t>
      </w:r>
      <w:r w:rsidR="008161DD" w:rsidRPr="005B493B">
        <w:rPr>
          <w:bCs/>
        </w:rPr>
        <w:t>'</w:t>
      </w:r>
      <w:r w:rsidRPr="005B493B">
        <w:rPr>
          <w:bCs/>
        </w:rPr>
        <w:t>AMNT-24 (New Delhi, 15-24 octobre 2024) a été approuvée en ces termes:</w:t>
      </w:r>
    </w:p>
    <w:p w14:paraId="0BA69058" w14:textId="5F22EBFC" w:rsidR="009E484B" w:rsidRPr="005B493B" w:rsidRDefault="009E484B" w:rsidP="009E484B">
      <w:pPr>
        <w:pStyle w:val="enumlev1"/>
      </w:pPr>
      <w:r w:rsidRPr="005B493B">
        <w:tab/>
        <w:t>L'AMNT-24 charge les Commissions d'études 17 et 20 de créer un mécanisme conjoint de coordination ou d'accord entre les commissions d'études, afin de définir la portée des travaux sur la sécurité de l'Internet des objets (IoT), ainsi que de rendre compte au GCNT.</w:t>
      </w:r>
    </w:p>
    <w:p w14:paraId="0FFC3AF1" w14:textId="6FF89E8E" w:rsidR="009E484B" w:rsidRPr="005B493B" w:rsidRDefault="009E484B" w:rsidP="009E484B">
      <w:pPr>
        <w:rPr>
          <w:bCs/>
        </w:rPr>
      </w:pPr>
      <w:r w:rsidRPr="005B493B">
        <w:rPr>
          <w:bCs/>
        </w:rPr>
        <w:t>Le Groupe mixte de travail par correspondance sur la sécurité de l</w:t>
      </w:r>
      <w:r w:rsidR="008161DD" w:rsidRPr="005B493B">
        <w:rPr>
          <w:bCs/>
        </w:rPr>
        <w:t>'</w:t>
      </w:r>
      <w:r w:rsidRPr="005B493B">
        <w:rPr>
          <w:bCs/>
        </w:rPr>
        <w:t>IoT (JCG-IoTSec) examinera la question de la sécurité de l</w:t>
      </w:r>
      <w:r w:rsidR="008161DD" w:rsidRPr="005B493B">
        <w:rPr>
          <w:bCs/>
        </w:rPr>
        <w:t>'</w:t>
      </w:r>
      <w:r w:rsidRPr="005B493B">
        <w:rPr>
          <w:bCs/>
        </w:rPr>
        <w:t>IoT, afin de mettre en œuvre les mesures sollicitées par l</w:t>
      </w:r>
      <w:r w:rsidR="008161DD" w:rsidRPr="005B493B">
        <w:rPr>
          <w:bCs/>
        </w:rPr>
        <w:t>'</w:t>
      </w:r>
      <w:r w:rsidRPr="005B493B">
        <w:rPr>
          <w:bCs/>
        </w:rPr>
        <w:t>AMNT-24. Il s'agirait en particulier d'étudier les aspects suivants:</w:t>
      </w:r>
    </w:p>
    <w:p w14:paraId="5A6DE127" w14:textId="1C7B687C" w:rsidR="009E484B" w:rsidRPr="005B493B" w:rsidRDefault="009E484B" w:rsidP="009E484B">
      <w:pPr>
        <w:pStyle w:val="enumlev1"/>
      </w:pPr>
      <w:r w:rsidRPr="005B493B">
        <w:t>–</w:t>
      </w:r>
      <w:r w:rsidRPr="005B493B">
        <w:tab/>
      </w:r>
      <w:r w:rsidR="005B493B" w:rsidRPr="005B493B">
        <w:t>e</w:t>
      </w:r>
      <w:r w:rsidRPr="005B493B">
        <w:t>xaminer et analyser la portée actuelle des activités liées à la sécurité de l</w:t>
      </w:r>
      <w:r w:rsidR="008161DD" w:rsidRPr="005B493B">
        <w:t>'</w:t>
      </w:r>
      <w:r w:rsidRPr="005B493B">
        <w:t>IoT au sein des</w:t>
      </w:r>
      <w:r w:rsidR="00C13B8C">
        <w:t> </w:t>
      </w:r>
      <w:r w:rsidRPr="005B493B">
        <w:t>CE</w:t>
      </w:r>
      <w:r w:rsidR="00C13B8C">
        <w:t> </w:t>
      </w:r>
      <w:r w:rsidRPr="005B493B">
        <w:t>17 et 20</w:t>
      </w:r>
      <w:r w:rsidR="005B493B" w:rsidRPr="005B493B">
        <w:t>;</w:t>
      </w:r>
    </w:p>
    <w:p w14:paraId="44637873" w14:textId="05372844" w:rsidR="009E484B" w:rsidRPr="005B493B" w:rsidRDefault="009E484B" w:rsidP="009E484B">
      <w:pPr>
        <w:pStyle w:val="enumlev1"/>
      </w:pPr>
      <w:r w:rsidRPr="005B493B">
        <w:t>–</w:t>
      </w:r>
      <w:r w:rsidRPr="005B493B">
        <w:tab/>
      </w:r>
      <w:r w:rsidR="005B493B" w:rsidRPr="005B493B">
        <w:t>d</w:t>
      </w:r>
      <w:r w:rsidRPr="005B493B">
        <w:t>étecter les chevauchements, les synergies et les éventuelles lacunes dans les activités de normalisation sur la sécurité de l</w:t>
      </w:r>
      <w:r w:rsidR="008161DD" w:rsidRPr="005B493B">
        <w:t>'</w:t>
      </w:r>
      <w:r w:rsidRPr="005B493B">
        <w:t>IoT</w:t>
      </w:r>
      <w:r w:rsidR="005B493B" w:rsidRPr="005B493B">
        <w:t>;</w:t>
      </w:r>
    </w:p>
    <w:p w14:paraId="3710A11B" w14:textId="7FABA28C" w:rsidR="009E484B" w:rsidRPr="005B493B" w:rsidRDefault="009E484B" w:rsidP="009E484B">
      <w:pPr>
        <w:pStyle w:val="enumlev1"/>
      </w:pPr>
      <w:r w:rsidRPr="005B493B">
        <w:t>–</w:t>
      </w:r>
      <w:r w:rsidRPr="005B493B">
        <w:tab/>
      </w:r>
      <w:r w:rsidR="005B493B" w:rsidRPr="005B493B">
        <w:t>é</w:t>
      </w:r>
      <w:r w:rsidR="008161DD" w:rsidRPr="005B493B">
        <w:t>tablir</w:t>
      </w:r>
      <w:r w:rsidRPr="005B493B">
        <w:t xml:space="preserve"> une ligne de démarcation entre les responsabilités de la CE 17 et celles de la CE 20 en matière de sécurité de l</w:t>
      </w:r>
      <w:r w:rsidR="008161DD" w:rsidRPr="005B493B">
        <w:t>'</w:t>
      </w:r>
      <w:r w:rsidRPr="005B493B">
        <w:t>IoT</w:t>
      </w:r>
      <w:r w:rsidR="005B493B" w:rsidRPr="005B493B">
        <w:t>; et</w:t>
      </w:r>
    </w:p>
    <w:p w14:paraId="14014DAC" w14:textId="50AA1F27" w:rsidR="009E484B" w:rsidRPr="005B493B" w:rsidRDefault="009E484B" w:rsidP="009E484B">
      <w:pPr>
        <w:pStyle w:val="enumlev1"/>
      </w:pPr>
      <w:r w:rsidRPr="005B493B">
        <w:t>–</w:t>
      </w:r>
      <w:r w:rsidRPr="005B493B">
        <w:tab/>
      </w:r>
      <w:r w:rsidR="005B493B" w:rsidRPr="005B493B">
        <w:t>p</w:t>
      </w:r>
      <w:r w:rsidRPr="005B493B">
        <w:t>roposer, si nécessaire, des mécanismes de coordination et des méthodes de travail au GCNT.</w:t>
      </w:r>
    </w:p>
    <w:p w14:paraId="110D7031" w14:textId="38FEDB45" w:rsidR="009E484B" w:rsidRPr="005B493B" w:rsidRDefault="009E484B" w:rsidP="009E484B">
      <w:pPr>
        <w:rPr>
          <w:bCs/>
        </w:rPr>
      </w:pPr>
      <w:r w:rsidRPr="005B493B">
        <w:rPr>
          <w:bCs/>
        </w:rPr>
        <w:t>Il s'agit d</w:t>
      </w:r>
      <w:r w:rsidR="008161DD" w:rsidRPr="005B493B">
        <w:rPr>
          <w:bCs/>
        </w:rPr>
        <w:t>'</w:t>
      </w:r>
      <w:r w:rsidRPr="005B493B">
        <w:rPr>
          <w:bCs/>
        </w:rPr>
        <w:t xml:space="preserve">aider les </w:t>
      </w:r>
      <w:r w:rsidR="005D4F2A">
        <w:rPr>
          <w:bCs/>
        </w:rPr>
        <w:t>p</w:t>
      </w:r>
      <w:r w:rsidRPr="005B493B">
        <w:rPr>
          <w:bCs/>
        </w:rPr>
        <w:t>résidents des Commissions d</w:t>
      </w:r>
      <w:r w:rsidR="008161DD" w:rsidRPr="005B493B">
        <w:rPr>
          <w:bCs/>
        </w:rPr>
        <w:t>'</w:t>
      </w:r>
      <w:r w:rsidRPr="005B493B">
        <w:rPr>
          <w:bCs/>
        </w:rPr>
        <w:t>études 17 et 20 à élaborer un rapport à l</w:t>
      </w:r>
      <w:r w:rsidR="008161DD" w:rsidRPr="005B493B">
        <w:rPr>
          <w:bCs/>
        </w:rPr>
        <w:t>'</w:t>
      </w:r>
      <w:r w:rsidRPr="005B493B">
        <w:rPr>
          <w:bCs/>
        </w:rPr>
        <w:t>intention du GCNT sur la ligne de démarcation pour la sécurité de l</w:t>
      </w:r>
      <w:r w:rsidR="008161DD" w:rsidRPr="005B493B">
        <w:rPr>
          <w:bCs/>
        </w:rPr>
        <w:t>'</w:t>
      </w:r>
      <w:r w:rsidRPr="005B493B">
        <w:rPr>
          <w:bCs/>
        </w:rPr>
        <w:t>IoT.</w:t>
      </w:r>
    </w:p>
    <w:p w14:paraId="4B95BDD3" w14:textId="77777777" w:rsidR="009E484B" w:rsidRPr="005B493B" w:rsidRDefault="009E484B" w:rsidP="009E484B">
      <w:pPr>
        <w:pStyle w:val="Heading1"/>
      </w:pPr>
      <w:r w:rsidRPr="005B493B">
        <w:t>Méthodes de travail</w:t>
      </w:r>
    </w:p>
    <w:p w14:paraId="4AA02011" w14:textId="59B5B7D4" w:rsidR="009E484B" w:rsidRPr="005B493B" w:rsidRDefault="009E484B" w:rsidP="009E484B">
      <w:pPr>
        <w:pStyle w:val="enumlev1"/>
      </w:pPr>
      <w:r w:rsidRPr="005B493B">
        <w:t>–</w:t>
      </w:r>
      <w:r w:rsidRPr="005B493B">
        <w:tab/>
        <w:t>L</w:t>
      </w:r>
      <w:r w:rsidR="008161DD" w:rsidRPr="005B493B">
        <w:t>'</w:t>
      </w:r>
      <w:r w:rsidRPr="005B493B">
        <w:t>entité mère dont relève le Groupe JCG-IoTSec est le GCNT.</w:t>
      </w:r>
    </w:p>
    <w:p w14:paraId="7BFB12E6" w14:textId="3E38B6C5" w:rsidR="009E484B" w:rsidRPr="005B493B" w:rsidRDefault="009E484B" w:rsidP="009E484B">
      <w:pPr>
        <w:pStyle w:val="enumlev1"/>
      </w:pPr>
      <w:r w:rsidRPr="005B493B">
        <w:t>–</w:t>
      </w:r>
      <w:r w:rsidRPr="005B493B">
        <w:tab/>
        <w:t>Le Groupe JCG-IoTSec est ouvert aux organisations participant aux travaux des CE 17 et 20 de l</w:t>
      </w:r>
      <w:r w:rsidR="008161DD" w:rsidRPr="005B493B">
        <w:t>'</w:t>
      </w:r>
      <w:r w:rsidRPr="005B493B">
        <w:t>UIT-T.</w:t>
      </w:r>
    </w:p>
    <w:p w14:paraId="6A1102E1" w14:textId="384904D5" w:rsidR="009E484B" w:rsidRPr="005B493B" w:rsidRDefault="009E484B" w:rsidP="009E484B">
      <w:pPr>
        <w:pStyle w:val="enumlev1"/>
      </w:pPr>
      <w:r w:rsidRPr="005B493B">
        <w:t>–</w:t>
      </w:r>
      <w:r w:rsidRPr="005B493B">
        <w:tab/>
        <w:t xml:space="preserve">Les résultats des activités du </w:t>
      </w:r>
      <w:r w:rsidR="009000A2">
        <w:t>g</w:t>
      </w:r>
      <w:r w:rsidRPr="005B493B">
        <w:t>roupe feront l</w:t>
      </w:r>
      <w:r w:rsidR="008161DD" w:rsidRPr="005B493B">
        <w:t>'</w:t>
      </w:r>
      <w:r w:rsidRPr="005B493B">
        <w:t>objet d</w:t>
      </w:r>
      <w:r w:rsidR="008161DD" w:rsidRPr="005B493B">
        <w:t>'</w:t>
      </w:r>
      <w:r w:rsidRPr="005B493B">
        <w:t>un rapport un mois avant chaque réunion de la CE 17 et de la CE 20, respectivement.</w:t>
      </w:r>
    </w:p>
    <w:p w14:paraId="29A85F5C" w14:textId="0177FA80" w:rsidR="009E484B" w:rsidRPr="005B493B" w:rsidRDefault="009E484B" w:rsidP="009E484B">
      <w:pPr>
        <w:pStyle w:val="enumlev1"/>
      </w:pPr>
      <w:r w:rsidRPr="005B493B">
        <w:t>–</w:t>
      </w:r>
      <w:r w:rsidRPr="005B493B">
        <w:tab/>
        <w:t>Lesdites activités seront menées principalement par le biais de la liste de diffusion qui y est consacrée (</w:t>
      </w:r>
      <w:hyperlink r:id="rId21" w:history="1">
        <w:r w:rsidRPr="005B493B">
          <w:rPr>
            <w:rStyle w:val="Hyperlink"/>
          </w:rPr>
          <w:t>jcgiotsec@lists.itu.int</w:t>
        </w:r>
      </w:hyperlink>
      <w:r w:rsidRPr="005B493B">
        <w:t>), mais elles pourront également inclure des réunions virtuelles dont il aura été convenu. Ces réunions seront organisées à l</w:t>
      </w:r>
      <w:r w:rsidR="008161DD" w:rsidRPr="005B493B">
        <w:t>'</w:t>
      </w:r>
      <w:r w:rsidRPr="005B493B">
        <w:t>aide d'instruments pris en charge par le TSB.</w:t>
      </w:r>
    </w:p>
    <w:p w14:paraId="3B5F1C4C" w14:textId="143775EE" w:rsidR="009E484B" w:rsidRPr="005B493B" w:rsidRDefault="009E484B" w:rsidP="009E484B">
      <w:pPr>
        <w:pStyle w:val="enumlev1"/>
      </w:pPr>
      <w:r w:rsidRPr="005B493B">
        <w:t>–</w:t>
      </w:r>
      <w:r w:rsidRPr="005B493B">
        <w:tab/>
        <w:t>L'annonce des réunions, y compris du projet d</w:t>
      </w:r>
      <w:r w:rsidR="008161DD" w:rsidRPr="005B493B">
        <w:t>'</w:t>
      </w:r>
      <w:r w:rsidRPr="005B493B">
        <w:t>ordre du jour, se fera par courrier électronique au moins une semaine à l</w:t>
      </w:r>
      <w:r w:rsidR="008161DD" w:rsidRPr="005B493B">
        <w:t>'</w:t>
      </w:r>
      <w:r w:rsidRPr="005B493B">
        <w:t>avance.</w:t>
      </w:r>
    </w:p>
    <w:p w14:paraId="4ACD5B36" w14:textId="30E558CC" w:rsidR="009E484B" w:rsidRPr="005B493B" w:rsidRDefault="009E484B" w:rsidP="009E484B">
      <w:pPr>
        <w:pStyle w:val="enumlev1"/>
      </w:pPr>
      <w:r w:rsidRPr="005B493B">
        <w:t>–</w:t>
      </w:r>
      <w:r w:rsidRPr="005B493B">
        <w:tab/>
        <w:t>Les Coresponsables du Groupe JCG-IoTSec sont M. Bret Jordan, Président du GT 2/17, et</w:t>
      </w:r>
      <w:r w:rsidR="009000A2">
        <w:t> </w:t>
      </w:r>
      <w:r w:rsidRPr="005B493B">
        <w:t>M. Ramy Ahmed Fathy, Président du GT 3/20, nommés respectivement par la Commission d</w:t>
      </w:r>
      <w:r w:rsidR="008161DD" w:rsidRPr="005B493B">
        <w:t>'</w:t>
      </w:r>
      <w:r w:rsidRPr="005B493B">
        <w:t>études 17 et la Commission d</w:t>
      </w:r>
      <w:r w:rsidR="008161DD" w:rsidRPr="005B493B">
        <w:t>'</w:t>
      </w:r>
      <w:r w:rsidRPr="005B493B">
        <w:t>études 20.</w:t>
      </w:r>
    </w:p>
    <w:p w14:paraId="43310B05" w14:textId="49FA31EA" w:rsidR="009E484B" w:rsidRPr="005B493B" w:rsidRDefault="009E484B" w:rsidP="009E484B">
      <w:pPr>
        <w:pStyle w:val="enumlev1"/>
      </w:pPr>
      <w:r w:rsidRPr="005B493B">
        <w:lastRenderedPageBreak/>
        <w:t>–</w:t>
      </w:r>
      <w:r w:rsidRPr="005B493B">
        <w:tab/>
        <w:t xml:space="preserve">Le </w:t>
      </w:r>
      <w:r w:rsidR="009000A2">
        <w:t>g</w:t>
      </w:r>
      <w:r w:rsidRPr="005B493B">
        <w:t>roupe peut proposer des modifications de son mandat, selon les besoins, pour veiller en permanence à ce que son action soit opportune et adaptée à l</w:t>
      </w:r>
      <w:r w:rsidR="008161DD" w:rsidRPr="005B493B">
        <w:t>'</w:t>
      </w:r>
      <w:r w:rsidRPr="005B493B">
        <w:t>évolution des priorités.</w:t>
      </w:r>
    </w:p>
    <w:p w14:paraId="4B80A7F1" w14:textId="73AC88F7" w:rsidR="009E484B" w:rsidRPr="005B493B" w:rsidRDefault="009E484B" w:rsidP="009E484B">
      <w:pPr>
        <w:pStyle w:val="enumlev1"/>
      </w:pPr>
      <w:r w:rsidRPr="005B493B">
        <w:t>–</w:t>
      </w:r>
      <w:r w:rsidRPr="005B493B">
        <w:tab/>
        <w:t xml:space="preserve">Le </w:t>
      </w:r>
      <w:r w:rsidR="009000A2">
        <w:t>g</w:t>
      </w:r>
      <w:r w:rsidRPr="005B493B">
        <w:t>roupe poursuivra ses activités jusqu</w:t>
      </w:r>
      <w:r w:rsidR="008161DD" w:rsidRPr="005B493B">
        <w:t>'</w:t>
      </w:r>
      <w:r w:rsidRPr="005B493B">
        <w:t>à ce qu</w:t>
      </w:r>
      <w:r w:rsidR="008161DD" w:rsidRPr="005B493B">
        <w:t>'</w:t>
      </w:r>
      <w:r w:rsidRPr="005B493B">
        <w:t>un accord soit trouvé par le GCNT.</w:t>
      </w:r>
    </w:p>
    <w:p w14:paraId="21B79C53" w14:textId="554A67F9" w:rsidR="009E484B" w:rsidRPr="005B493B" w:rsidRDefault="009E484B" w:rsidP="009E484B">
      <w:pPr>
        <w:pStyle w:val="enumlev1"/>
      </w:pPr>
      <w:r w:rsidRPr="005B493B">
        <w:t>–</w:t>
      </w:r>
      <w:r w:rsidRPr="005B493B">
        <w:tab/>
        <w:t>Il rendra compte de son action aux commissions d</w:t>
      </w:r>
      <w:r w:rsidR="008161DD" w:rsidRPr="005B493B">
        <w:t>'</w:t>
      </w:r>
      <w:r w:rsidRPr="005B493B">
        <w:t>études respectives et au GCNT jusqu</w:t>
      </w:r>
      <w:r w:rsidR="008161DD" w:rsidRPr="005B493B">
        <w:t>'</w:t>
      </w:r>
      <w:r w:rsidRPr="005B493B">
        <w:t>à la conclusion de ses travaux.</w:t>
      </w:r>
    </w:p>
    <w:p w14:paraId="3B647157" w14:textId="1317084D" w:rsidR="00517A03" w:rsidRPr="005B493B" w:rsidRDefault="009E484B" w:rsidP="009E484B">
      <w:pPr>
        <w:pStyle w:val="enumlev1"/>
      </w:pPr>
      <w:r w:rsidRPr="005B493B">
        <w:t>–</w:t>
      </w:r>
      <w:r w:rsidRPr="005B493B">
        <w:tab/>
        <w:t>Le GCNT décidera de l</w:t>
      </w:r>
      <w:r w:rsidR="008161DD" w:rsidRPr="005B493B">
        <w:t>'</w:t>
      </w:r>
      <w:r w:rsidRPr="005B493B">
        <w:t xml:space="preserve">extension éventuelle des travaux du </w:t>
      </w:r>
      <w:r w:rsidR="009000A2">
        <w:t>g</w:t>
      </w:r>
      <w:r w:rsidRPr="005B493B">
        <w:t>roupe sur la base des contributions des commissions d</w:t>
      </w:r>
      <w:r w:rsidR="008161DD" w:rsidRPr="005B493B">
        <w:t>'</w:t>
      </w:r>
      <w:r w:rsidRPr="005B493B">
        <w:t>études associées.</w:t>
      </w:r>
    </w:p>
    <w:p w14:paraId="7BB0697C" w14:textId="77777777" w:rsidR="009E484B" w:rsidRPr="005B493B" w:rsidRDefault="009E484B">
      <w:pPr>
        <w:jc w:val="center"/>
      </w:pPr>
      <w:r w:rsidRPr="005B493B">
        <w:t>______________</w:t>
      </w:r>
    </w:p>
    <w:sectPr w:rsidR="009E484B" w:rsidRPr="005B493B" w:rsidSect="00A15179">
      <w:headerReference w:type="default" r:id="rId22"/>
      <w:footerReference w:type="first" r:id="rId23"/>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87419" w14:textId="77777777" w:rsidR="004419E9" w:rsidRDefault="004419E9">
      <w:r>
        <w:separator/>
      </w:r>
    </w:p>
  </w:endnote>
  <w:endnote w:type="continuationSeparator" w:id="0">
    <w:p w14:paraId="31479BA6" w14:textId="77777777" w:rsidR="004419E9" w:rsidRDefault="0044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F0993" w14:textId="4DDD74F2" w:rsidR="00425B91"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t>Tél</w:t>
    </w:r>
    <w:r w:rsidR="00085F5A" w:rsidRPr="003E66AD">
      <w:rPr>
        <w:color w:val="0070C0"/>
        <w:sz w:val="18"/>
        <w:szCs w:val="18"/>
        <w:lang w:val="fr-CH"/>
      </w:rPr>
      <w:t>.</w:t>
    </w:r>
    <w:r w:rsidRPr="003E66AD">
      <w:rPr>
        <w:color w:val="0070C0"/>
        <w:sz w:val="18"/>
        <w:szCs w:val="18"/>
        <w:lang w:val="fr-CH"/>
      </w:rPr>
      <w:t xml:space="preserve">: +41 22 730 5111 • Fax: +41 22 733 7256 • </w:t>
    </w:r>
    <w:r w:rsidR="00085F5A" w:rsidRPr="003E66AD">
      <w:rPr>
        <w:color w:val="0070C0"/>
        <w:sz w:val="18"/>
        <w:szCs w:val="18"/>
        <w:lang w:val="fr-CH"/>
      </w:rPr>
      <w:t>Courriel</w:t>
    </w:r>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9D309" w14:textId="77777777" w:rsidR="004419E9" w:rsidRDefault="004419E9">
      <w:r>
        <w:t>____________________</w:t>
      </w:r>
    </w:p>
  </w:footnote>
  <w:footnote w:type="continuationSeparator" w:id="0">
    <w:p w14:paraId="5828E93A" w14:textId="77777777" w:rsidR="004419E9" w:rsidRDefault="00441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5492" w14:textId="3B6060D6" w:rsidR="00697BC1" w:rsidRPr="00697BC1" w:rsidRDefault="0036157A" w:rsidP="00697BC1">
    <w:pPr>
      <w:pStyle w:val="Header"/>
      <w:rPr>
        <w:sz w:val="18"/>
        <w:szCs w:val="16"/>
      </w:rPr>
    </w:pPr>
    <w:sdt>
      <w:sdtPr>
        <w:rPr>
          <w:sz w:val="18"/>
          <w:szCs w:val="16"/>
        </w:rPr>
        <w:id w:val="526448189"/>
        <w:docPartObj>
          <w:docPartGallery w:val="Page Numbers (Top of Page)"/>
          <w:docPartUnique/>
        </w:docPartObj>
      </w:sdtPr>
      <w:sdtEndPr>
        <w:rPr>
          <w:noProof/>
        </w:rPr>
      </w:sdtEndPr>
      <w:sdtContent>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036F4F">
          <w:rPr>
            <w:noProof/>
            <w:sz w:val="18"/>
            <w:szCs w:val="16"/>
          </w:rPr>
          <w:t>2</w:t>
        </w:r>
        <w:r w:rsidR="00697BC1" w:rsidRPr="00697BC1">
          <w:rPr>
            <w:noProof/>
            <w:sz w:val="18"/>
            <w:szCs w:val="16"/>
          </w:rPr>
          <w:fldChar w:fldCharType="end"/>
        </w:r>
      </w:sdtContent>
    </w:sdt>
    <w:r w:rsidR="00AF0D7D">
      <w:rPr>
        <w:noProof/>
        <w:sz w:val="18"/>
        <w:szCs w:val="16"/>
      </w:rPr>
      <w:br/>
      <w:t xml:space="preserve">Circulaire TSB </w:t>
    </w:r>
    <w:r w:rsidR="002C669A">
      <w:rPr>
        <w:noProof/>
        <w:sz w:val="18"/>
        <w:szCs w:val="16"/>
      </w:rPr>
      <w:t>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5120867">
    <w:abstractNumId w:val="1"/>
  </w:num>
  <w:num w:numId="2" w16cid:durableId="2119984868">
    <w:abstractNumId w:val="3"/>
  </w:num>
  <w:num w:numId="3" w16cid:durableId="2075545744">
    <w:abstractNumId w:val="2"/>
  </w:num>
  <w:num w:numId="4" w16cid:durableId="1871449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E9"/>
    <w:rsid w:val="000039EE"/>
    <w:rsid w:val="00005622"/>
    <w:rsid w:val="0002519E"/>
    <w:rsid w:val="00035B43"/>
    <w:rsid w:val="00036F4F"/>
    <w:rsid w:val="000758B3"/>
    <w:rsid w:val="00085F5A"/>
    <w:rsid w:val="000B0D96"/>
    <w:rsid w:val="000B59D8"/>
    <w:rsid w:val="000C1F6B"/>
    <w:rsid w:val="000C25CC"/>
    <w:rsid w:val="000C56BE"/>
    <w:rsid w:val="001026FD"/>
    <w:rsid w:val="001077FD"/>
    <w:rsid w:val="00115DD7"/>
    <w:rsid w:val="00167472"/>
    <w:rsid w:val="00167F92"/>
    <w:rsid w:val="00173738"/>
    <w:rsid w:val="001B79A3"/>
    <w:rsid w:val="001C481A"/>
    <w:rsid w:val="002152A3"/>
    <w:rsid w:val="0023667A"/>
    <w:rsid w:val="00257BF0"/>
    <w:rsid w:val="002937DB"/>
    <w:rsid w:val="002C669A"/>
    <w:rsid w:val="002E395D"/>
    <w:rsid w:val="00307FB4"/>
    <w:rsid w:val="003131F0"/>
    <w:rsid w:val="00333A80"/>
    <w:rsid w:val="00341117"/>
    <w:rsid w:val="0036157A"/>
    <w:rsid w:val="00364E95"/>
    <w:rsid w:val="00372875"/>
    <w:rsid w:val="003742F8"/>
    <w:rsid w:val="003B1E80"/>
    <w:rsid w:val="003B66E8"/>
    <w:rsid w:val="003E66AD"/>
    <w:rsid w:val="004033F1"/>
    <w:rsid w:val="00414B0C"/>
    <w:rsid w:val="00423C21"/>
    <w:rsid w:val="004257AC"/>
    <w:rsid w:val="00425B91"/>
    <w:rsid w:val="0043711B"/>
    <w:rsid w:val="004419E9"/>
    <w:rsid w:val="00445B68"/>
    <w:rsid w:val="0048088B"/>
    <w:rsid w:val="004977C9"/>
    <w:rsid w:val="004B732E"/>
    <w:rsid w:val="004D51F4"/>
    <w:rsid w:val="004D64E0"/>
    <w:rsid w:val="004F485D"/>
    <w:rsid w:val="005120A2"/>
    <w:rsid w:val="0051210D"/>
    <w:rsid w:val="005136D2"/>
    <w:rsid w:val="00517A03"/>
    <w:rsid w:val="005A3DD9"/>
    <w:rsid w:val="005B1DFC"/>
    <w:rsid w:val="005B493B"/>
    <w:rsid w:val="005D4F2A"/>
    <w:rsid w:val="00601682"/>
    <w:rsid w:val="00603470"/>
    <w:rsid w:val="00625E79"/>
    <w:rsid w:val="006333F7"/>
    <w:rsid w:val="006427A1"/>
    <w:rsid w:val="00644741"/>
    <w:rsid w:val="00697BC1"/>
    <w:rsid w:val="006A6FFE"/>
    <w:rsid w:val="006C5A91"/>
    <w:rsid w:val="006F52F7"/>
    <w:rsid w:val="00716BBC"/>
    <w:rsid w:val="0072655E"/>
    <w:rsid w:val="007321BC"/>
    <w:rsid w:val="00760063"/>
    <w:rsid w:val="00775E4B"/>
    <w:rsid w:val="0079553B"/>
    <w:rsid w:val="00795679"/>
    <w:rsid w:val="007A40FE"/>
    <w:rsid w:val="00810105"/>
    <w:rsid w:val="008157E0"/>
    <w:rsid w:val="008161DD"/>
    <w:rsid w:val="00850477"/>
    <w:rsid w:val="00854E1D"/>
    <w:rsid w:val="00887FA6"/>
    <w:rsid w:val="008C4397"/>
    <w:rsid w:val="008C465A"/>
    <w:rsid w:val="008F2C9B"/>
    <w:rsid w:val="009000A2"/>
    <w:rsid w:val="00923CD6"/>
    <w:rsid w:val="00935AA8"/>
    <w:rsid w:val="00971C9A"/>
    <w:rsid w:val="009D51FA"/>
    <w:rsid w:val="009E484B"/>
    <w:rsid w:val="009F1E23"/>
    <w:rsid w:val="00A15179"/>
    <w:rsid w:val="00A51537"/>
    <w:rsid w:val="00A5280F"/>
    <w:rsid w:val="00A5645A"/>
    <w:rsid w:val="00A60FC1"/>
    <w:rsid w:val="00A97C37"/>
    <w:rsid w:val="00AA131B"/>
    <w:rsid w:val="00AC37B5"/>
    <w:rsid w:val="00AD752F"/>
    <w:rsid w:val="00AF08A4"/>
    <w:rsid w:val="00AF0D7D"/>
    <w:rsid w:val="00B27B41"/>
    <w:rsid w:val="00B42659"/>
    <w:rsid w:val="00B46F2D"/>
    <w:rsid w:val="00B60868"/>
    <w:rsid w:val="00B8573E"/>
    <w:rsid w:val="00BB24C0"/>
    <w:rsid w:val="00BD6ECF"/>
    <w:rsid w:val="00C13B8C"/>
    <w:rsid w:val="00C26F2E"/>
    <w:rsid w:val="00C302E3"/>
    <w:rsid w:val="00C41B89"/>
    <w:rsid w:val="00C45376"/>
    <w:rsid w:val="00C9028F"/>
    <w:rsid w:val="00CA0416"/>
    <w:rsid w:val="00CB1125"/>
    <w:rsid w:val="00CB4E80"/>
    <w:rsid w:val="00CD042E"/>
    <w:rsid w:val="00CF2560"/>
    <w:rsid w:val="00CF5B46"/>
    <w:rsid w:val="00D35B01"/>
    <w:rsid w:val="00D46B68"/>
    <w:rsid w:val="00D542A5"/>
    <w:rsid w:val="00D85816"/>
    <w:rsid w:val="00DC3D47"/>
    <w:rsid w:val="00DD77DA"/>
    <w:rsid w:val="00E06C61"/>
    <w:rsid w:val="00E13DB3"/>
    <w:rsid w:val="00E2408B"/>
    <w:rsid w:val="00E62CEA"/>
    <w:rsid w:val="00E72AE1"/>
    <w:rsid w:val="00ED6A7A"/>
    <w:rsid w:val="00EE4C36"/>
    <w:rsid w:val="00EF6A23"/>
    <w:rsid w:val="00F01717"/>
    <w:rsid w:val="00F14C3A"/>
    <w:rsid w:val="00F346CE"/>
    <w:rsid w:val="00F34F98"/>
    <w:rsid w:val="00F40540"/>
    <w:rsid w:val="00F62A88"/>
    <w:rsid w:val="00F67402"/>
    <w:rsid w:val="00F766A2"/>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4031F"/>
  <w15:docId w15:val="{C0C524F5-3929-45CC-8FD1-E984F510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UnresolvedMention">
    <w:name w:val="Unresolved Mention"/>
    <w:basedOn w:val="DefaultParagraphFont"/>
    <w:uiPriority w:val="99"/>
    <w:semiHidden/>
    <w:unhideWhenUsed/>
    <w:rsid w:val="00307FB4"/>
    <w:rPr>
      <w:color w:val="605E5C"/>
      <w:shd w:val="clear" w:color="auto" w:fill="E1DFDD"/>
    </w:rPr>
  </w:style>
  <w:style w:type="character" w:styleId="FollowedHyperlink">
    <w:name w:val="FollowedHyperlink"/>
    <w:basedOn w:val="DefaultParagraphFont"/>
    <w:semiHidden/>
    <w:unhideWhenUsed/>
    <w:rsid w:val="00307FB4"/>
    <w:rPr>
      <w:color w:val="800080" w:themeColor="followedHyperlink"/>
      <w:u w:val="single"/>
    </w:rPr>
  </w:style>
  <w:style w:type="table" w:styleId="TableGrid">
    <w:name w:val="Table Grid"/>
    <w:basedOn w:val="TableNormal"/>
    <w:rsid w:val="00726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9E484B"/>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cgiotsec@lists.itu.int" TargetMode="External"/><Relationship Id="rId18" Type="http://schemas.openxmlformats.org/officeDocument/2006/relationships/hyperlink" Target="mailto:tsbjcgiotsec@itu.int" TargetMode="External"/><Relationship Id="rId3" Type="http://schemas.openxmlformats.org/officeDocument/2006/relationships/styles" Target="styles.xml"/><Relationship Id="rId21" Type="http://schemas.openxmlformats.org/officeDocument/2006/relationships/hyperlink" Target="mailto:jcgiotsec@lists.itu.int" TargetMode="External"/><Relationship Id="rId7" Type="http://schemas.openxmlformats.org/officeDocument/2006/relationships/endnotes" Target="endnotes.xml"/><Relationship Id="rId12" Type="http://schemas.openxmlformats.org/officeDocument/2006/relationships/hyperlink" Target="https://extranet.itu.int/sites/itu-t/jcg/iotsec/SitePages/Home.aspx" TargetMode="External"/><Relationship Id="rId17" Type="http://schemas.openxmlformats.org/officeDocument/2006/relationships/hyperlink" Target="https://login.itu.int/my.polic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xtranet.itu.int/sites/itu-t/jcg/trust/input/JCG-Trust-I-001.docx" TargetMode="External"/><Relationship Id="rId20" Type="http://schemas.openxmlformats.org/officeDocument/2006/relationships/hyperlink" Target="https://www.itu.int/md/T25-TSAG-R-0001/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jcg/iotsec/Pages/default.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itu.int/my.policy" TargetMode="External"/><Relationship Id="rId23" Type="http://schemas.openxmlformats.org/officeDocument/2006/relationships/footer" Target="footer1.xml"/><Relationship Id="rId10" Type="http://schemas.openxmlformats.org/officeDocument/2006/relationships/hyperlink" Target="https://www.itu.int/pub/T-REG-LIV.1-2024/fr"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tsbjcgiotsec@itu.int" TargetMode="External"/><Relationship Id="rId14" Type="http://schemas.openxmlformats.org/officeDocument/2006/relationships/hyperlink" Target="https://www.itu.int/net4/iwm/?p0=0&amp;p11=ITU&amp;p12=ITU-SEP-ITU-T-SEP-Other%20Groups-SEP-jcgiotsec&amp;p21=ITU&amp;p22=ITU"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824F-16C0-45D0-B266-61AC5B6D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PF_TSB_Circular.dotx</Template>
  <TotalTime>0</TotalTime>
  <Pages>4</Pages>
  <Words>1039</Words>
  <Characters>6432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7457</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Maguire, Mairéad</cp:lastModifiedBy>
  <cp:revision>2</cp:revision>
  <cp:lastPrinted>2011-04-15T08:01:00Z</cp:lastPrinted>
  <dcterms:created xsi:type="dcterms:W3CDTF">2025-09-09T07:08:00Z</dcterms:created>
  <dcterms:modified xsi:type="dcterms:W3CDTF">2025-09-09T07:08:00Z</dcterms:modified>
</cp:coreProperties>
</file>