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4" w:type="dxa"/>
        <w:tblInd w:w="-180" w:type="dxa"/>
        <w:tblLayout w:type="fixed"/>
        <w:tblLook w:val="0000" w:firstRow="0" w:lastRow="0" w:firstColumn="0" w:lastColumn="0" w:noHBand="0" w:noVBand="0"/>
      </w:tblPr>
      <w:tblGrid>
        <w:gridCol w:w="1597"/>
        <w:gridCol w:w="3470"/>
        <w:gridCol w:w="5327"/>
      </w:tblGrid>
      <w:tr w:rsidR="007B6316" w14:paraId="57C19FE3" w14:textId="77777777" w:rsidTr="000B569F">
        <w:trPr>
          <w:cantSplit/>
          <w:trHeight w:val="340"/>
        </w:trPr>
        <w:tc>
          <w:tcPr>
            <w:tcW w:w="1597" w:type="dxa"/>
          </w:tcPr>
          <w:p w14:paraId="4073FDEF"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AF7EF1A" wp14:editId="149CAE9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7" w:type="dxa"/>
            <w:gridSpan w:val="2"/>
            <w:vAlign w:val="center"/>
          </w:tcPr>
          <w:p w14:paraId="3CE1A10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6EA5B69"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0B569F" w14:paraId="29942F58" w14:textId="77777777" w:rsidTr="000B569F">
        <w:trPr>
          <w:cantSplit/>
          <w:trHeight w:val="340"/>
        </w:trPr>
        <w:tc>
          <w:tcPr>
            <w:tcW w:w="1597" w:type="dxa"/>
          </w:tcPr>
          <w:p w14:paraId="3A1FB203" w14:textId="77777777" w:rsidR="007B6316" w:rsidRPr="000B569F" w:rsidRDefault="007B6316" w:rsidP="00101541">
            <w:pPr>
              <w:spacing w:after="120"/>
              <w:rPr>
                <w:sz w:val="22"/>
                <w:szCs w:val="18"/>
              </w:rPr>
            </w:pPr>
          </w:p>
        </w:tc>
        <w:tc>
          <w:tcPr>
            <w:tcW w:w="3470" w:type="dxa"/>
          </w:tcPr>
          <w:p w14:paraId="6CFD022A" w14:textId="77777777" w:rsidR="007B6316" w:rsidRPr="000B569F" w:rsidRDefault="007B6316" w:rsidP="00101541">
            <w:pPr>
              <w:rPr>
                <w:sz w:val="22"/>
                <w:szCs w:val="18"/>
              </w:rPr>
            </w:pPr>
          </w:p>
        </w:tc>
        <w:tc>
          <w:tcPr>
            <w:tcW w:w="5327" w:type="dxa"/>
          </w:tcPr>
          <w:p w14:paraId="414906BC" w14:textId="23C15142" w:rsidR="007B6316" w:rsidRPr="000B569F" w:rsidRDefault="00A46881" w:rsidP="00101541">
            <w:pPr>
              <w:rPr>
                <w:sz w:val="22"/>
                <w:szCs w:val="18"/>
              </w:rPr>
            </w:pPr>
            <w:r w:rsidRPr="000B569F">
              <w:rPr>
                <w:sz w:val="22"/>
                <w:szCs w:val="18"/>
              </w:rPr>
              <w:t>Ginebra, 28 de julio de 2025</w:t>
            </w:r>
          </w:p>
        </w:tc>
      </w:tr>
      <w:tr w:rsidR="001350B9" w:rsidRPr="000B569F" w14:paraId="2099D7D1" w14:textId="77777777" w:rsidTr="000B569F">
        <w:trPr>
          <w:cantSplit/>
          <w:trHeight w:val="340"/>
        </w:trPr>
        <w:tc>
          <w:tcPr>
            <w:tcW w:w="1597" w:type="dxa"/>
          </w:tcPr>
          <w:p w14:paraId="6931DA5A" w14:textId="1C97CDAF" w:rsidR="001350B9" w:rsidRPr="000B569F" w:rsidRDefault="001350B9" w:rsidP="00101541">
            <w:pPr>
              <w:spacing w:before="40" w:after="40"/>
              <w:rPr>
                <w:sz w:val="22"/>
                <w:szCs w:val="18"/>
              </w:rPr>
            </w:pPr>
            <w:r w:rsidRPr="000B569F">
              <w:rPr>
                <w:sz w:val="22"/>
                <w:szCs w:val="18"/>
              </w:rPr>
              <w:t>Ref.:</w:t>
            </w:r>
          </w:p>
        </w:tc>
        <w:tc>
          <w:tcPr>
            <w:tcW w:w="3470" w:type="dxa"/>
          </w:tcPr>
          <w:p w14:paraId="38928B4F" w14:textId="33EC9329" w:rsidR="001350B9" w:rsidRPr="000B569F" w:rsidRDefault="001350B9" w:rsidP="00101541">
            <w:pPr>
              <w:spacing w:before="40"/>
              <w:rPr>
                <w:b/>
                <w:bCs/>
                <w:sz w:val="22"/>
                <w:szCs w:val="18"/>
              </w:rPr>
            </w:pPr>
            <w:r w:rsidRPr="000B569F">
              <w:rPr>
                <w:b/>
                <w:bCs/>
                <w:sz w:val="22"/>
                <w:szCs w:val="18"/>
              </w:rPr>
              <w:t xml:space="preserve">Circular TSB </w:t>
            </w:r>
            <w:r w:rsidR="00A46881" w:rsidRPr="000B569F">
              <w:rPr>
                <w:b/>
                <w:bCs/>
                <w:sz w:val="22"/>
                <w:szCs w:val="18"/>
              </w:rPr>
              <w:t>65</w:t>
            </w:r>
          </w:p>
          <w:p w14:paraId="6B133364" w14:textId="4592AA2D" w:rsidR="001350B9" w:rsidRPr="000B569F" w:rsidRDefault="0026602C" w:rsidP="0026602C">
            <w:pPr>
              <w:spacing w:before="0" w:after="40"/>
              <w:rPr>
                <w:sz w:val="22"/>
                <w:szCs w:val="18"/>
              </w:rPr>
            </w:pPr>
            <w:r w:rsidRPr="000B569F">
              <w:rPr>
                <w:sz w:val="22"/>
                <w:szCs w:val="18"/>
              </w:rPr>
              <w:t>CE </w:t>
            </w:r>
            <w:r w:rsidR="00A46881" w:rsidRPr="000B569F">
              <w:rPr>
                <w:sz w:val="22"/>
                <w:szCs w:val="18"/>
              </w:rPr>
              <w:t>13/TK</w:t>
            </w:r>
          </w:p>
        </w:tc>
        <w:tc>
          <w:tcPr>
            <w:tcW w:w="5327" w:type="dxa"/>
            <w:vMerge w:val="restart"/>
          </w:tcPr>
          <w:p w14:paraId="43F6A64B" w14:textId="77777777" w:rsidR="00101541" w:rsidRPr="000B569F" w:rsidRDefault="00101541" w:rsidP="000B569F">
            <w:pPr>
              <w:spacing w:before="0"/>
              <w:rPr>
                <w:b/>
                <w:bCs/>
                <w:sz w:val="22"/>
                <w:szCs w:val="18"/>
              </w:rPr>
            </w:pPr>
            <w:bookmarkStart w:id="0" w:name="Addressee_S"/>
            <w:bookmarkEnd w:id="0"/>
            <w:r w:rsidRPr="000B569F">
              <w:rPr>
                <w:b/>
                <w:bCs/>
                <w:sz w:val="22"/>
                <w:szCs w:val="18"/>
              </w:rPr>
              <w:t>A:</w:t>
            </w:r>
          </w:p>
          <w:p w14:paraId="5AA785C7" w14:textId="36ED4FD9" w:rsidR="001350B9" w:rsidRPr="000B569F" w:rsidRDefault="00101541" w:rsidP="000B569F">
            <w:pPr>
              <w:tabs>
                <w:tab w:val="clear" w:pos="794"/>
                <w:tab w:val="left" w:pos="390"/>
              </w:tabs>
              <w:spacing w:before="0"/>
              <w:ind w:left="390" w:hanging="390"/>
              <w:rPr>
                <w:sz w:val="22"/>
                <w:szCs w:val="18"/>
              </w:rPr>
            </w:pPr>
            <w:r w:rsidRPr="000B569F">
              <w:rPr>
                <w:sz w:val="22"/>
                <w:szCs w:val="18"/>
              </w:rPr>
              <w:t>–</w:t>
            </w:r>
            <w:r w:rsidR="001350B9" w:rsidRPr="000B569F">
              <w:rPr>
                <w:sz w:val="22"/>
                <w:szCs w:val="18"/>
              </w:rPr>
              <w:tab/>
              <w:t>las Administraciones de los Estados Miembros de la Unión</w:t>
            </w:r>
            <w:r w:rsidR="00BA6F31" w:rsidRPr="000B569F">
              <w:rPr>
                <w:sz w:val="22"/>
                <w:szCs w:val="18"/>
              </w:rPr>
              <w:t>;</w:t>
            </w:r>
          </w:p>
          <w:p w14:paraId="491CFD84" w14:textId="45F0ED79" w:rsidR="00A46881" w:rsidRPr="000B569F" w:rsidRDefault="00A46881" w:rsidP="000B569F">
            <w:pPr>
              <w:tabs>
                <w:tab w:val="clear" w:pos="794"/>
                <w:tab w:val="left" w:pos="390"/>
              </w:tabs>
              <w:spacing w:before="0"/>
              <w:ind w:left="390" w:hanging="390"/>
              <w:rPr>
                <w:sz w:val="22"/>
                <w:szCs w:val="18"/>
              </w:rPr>
            </w:pPr>
            <w:r w:rsidRPr="000B569F">
              <w:rPr>
                <w:sz w:val="22"/>
                <w:szCs w:val="18"/>
              </w:rPr>
              <w:t>–</w:t>
            </w:r>
            <w:r w:rsidRPr="000B569F">
              <w:rPr>
                <w:sz w:val="22"/>
                <w:szCs w:val="18"/>
              </w:rPr>
              <w:tab/>
              <w:t>el Estado de Palestina (Res.</w:t>
            </w:r>
            <w:r w:rsidR="0026602C" w:rsidRPr="000B569F">
              <w:rPr>
                <w:sz w:val="22"/>
                <w:szCs w:val="18"/>
              </w:rPr>
              <w:t> </w:t>
            </w:r>
            <w:r w:rsidRPr="000B569F">
              <w:rPr>
                <w:sz w:val="22"/>
                <w:szCs w:val="18"/>
              </w:rPr>
              <w:t>99 (Rev.</w:t>
            </w:r>
            <w:r w:rsidR="0026602C" w:rsidRPr="000B569F">
              <w:rPr>
                <w:sz w:val="22"/>
                <w:szCs w:val="18"/>
              </w:rPr>
              <w:t> </w:t>
            </w:r>
            <w:r w:rsidRPr="000B569F">
              <w:rPr>
                <w:sz w:val="22"/>
                <w:szCs w:val="18"/>
              </w:rPr>
              <w:t>Dubái,</w:t>
            </w:r>
            <w:r w:rsidR="0026602C" w:rsidRPr="000B569F">
              <w:rPr>
                <w:sz w:val="22"/>
                <w:szCs w:val="18"/>
              </w:rPr>
              <w:t> </w:t>
            </w:r>
            <w:r w:rsidRPr="000B569F">
              <w:rPr>
                <w:sz w:val="22"/>
                <w:szCs w:val="18"/>
              </w:rPr>
              <w:t>2018))</w:t>
            </w:r>
          </w:p>
          <w:p w14:paraId="08248634" w14:textId="36709942" w:rsidR="00A46881" w:rsidRPr="000B569F" w:rsidRDefault="00A46881" w:rsidP="000B569F">
            <w:pPr>
              <w:spacing w:before="0"/>
              <w:rPr>
                <w:b/>
                <w:bCs/>
                <w:sz w:val="22"/>
                <w:szCs w:val="18"/>
              </w:rPr>
            </w:pPr>
            <w:r w:rsidRPr="000B569F">
              <w:rPr>
                <w:b/>
                <w:bCs/>
                <w:sz w:val="22"/>
                <w:szCs w:val="18"/>
              </w:rPr>
              <w:t>Copia a:</w:t>
            </w:r>
          </w:p>
          <w:p w14:paraId="6631833E" w14:textId="61F7F4F9" w:rsidR="001350B9" w:rsidRPr="000B569F" w:rsidRDefault="00101541" w:rsidP="000B569F">
            <w:pPr>
              <w:tabs>
                <w:tab w:val="clear" w:pos="794"/>
                <w:tab w:val="left" w:pos="390"/>
              </w:tabs>
              <w:spacing w:before="0"/>
              <w:rPr>
                <w:sz w:val="22"/>
                <w:szCs w:val="18"/>
              </w:rPr>
            </w:pPr>
            <w:r w:rsidRPr="000B569F">
              <w:rPr>
                <w:sz w:val="22"/>
                <w:szCs w:val="18"/>
              </w:rPr>
              <w:t>–</w:t>
            </w:r>
            <w:r w:rsidR="001350B9" w:rsidRPr="000B569F">
              <w:rPr>
                <w:sz w:val="22"/>
                <w:szCs w:val="18"/>
              </w:rPr>
              <w:tab/>
              <w:t xml:space="preserve">los Miembros de Sector </w:t>
            </w:r>
            <w:r w:rsidR="00BA6F31" w:rsidRPr="000B569F">
              <w:rPr>
                <w:sz w:val="22"/>
                <w:szCs w:val="18"/>
              </w:rPr>
              <w:t xml:space="preserve">del </w:t>
            </w:r>
            <w:r w:rsidR="001350B9" w:rsidRPr="000B569F">
              <w:rPr>
                <w:sz w:val="22"/>
                <w:szCs w:val="18"/>
              </w:rPr>
              <w:t>UIT</w:t>
            </w:r>
            <w:r w:rsidR="001350B9" w:rsidRPr="000B569F">
              <w:rPr>
                <w:sz w:val="22"/>
                <w:szCs w:val="18"/>
              </w:rPr>
              <w:noBreakHyphen/>
              <w:t>T;</w:t>
            </w:r>
          </w:p>
          <w:p w14:paraId="1484DD3C" w14:textId="7B1A7CE4" w:rsidR="001350B9" w:rsidRPr="000B569F" w:rsidRDefault="00101541" w:rsidP="000B569F">
            <w:pPr>
              <w:tabs>
                <w:tab w:val="clear" w:pos="794"/>
                <w:tab w:val="left" w:pos="390"/>
              </w:tabs>
              <w:spacing w:before="0"/>
              <w:ind w:left="390" w:hanging="390"/>
              <w:rPr>
                <w:sz w:val="22"/>
                <w:szCs w:val="18"/>
              </w:rPr>
            </w:pPr>
            <w:r w:rsidRPr="000B569F">
              <w:rPr>
                <w:sz w:val="22"/>
                <w:szCs w:val="18"/>
              </w:rPr>
              <w:t>–</w:t>
            </w:r>
            <w:r w:rsidR="001350B9" w:rsidRPr="000B569F">
              <w:rPr>
                <w:sz w:val="22"/>
                <w:szCs w:val="18"/>
              </w:rPr>
              <w:tab/>
            </w:r>
            <w:r w:rsidR="00A46881" w:rsidRPr="000B569F">
              <w:rPr>
                <w:sz w:val="22"/>
                <w:szCs w:val="18"/>
              </w:rPr>
              <w:t>los Asociados de la Comisión de Estudio</w:t>
            </w:r>
            <w:r w:rsidR="0026602C" w:rsidRPr="000B569F">
              <w:rPr>
                <w:sz w:val="22"/>
                <w:szCs w:val="18"/>
              </w:rPr>
              <w:t> </w:t>
            </w:r>
            <w:r w:rsidR="00A46881" w:rsidRPr="000B569F">
              <w:rPr>
                <w:sz w:val="22"/>
                <w:szCs w:val="18"/>
              </w:rPr>
              <w:t>13 del</w:t>
            </w:r>
            <w:r w:rsidR="00927149" w:rsidRPr="000B569F">
              <w:rPr>
                <w:sz w:val="22"/>
                <w:szCs w:val="18"/>
              </w:rPr>
              <w:t> </w:t>
            </w:r>
            <w:r w:rsidR="00A46881" w:rsidRPr="000B569F">
              <w:rPr>
                <w:sz w:val="22"/>
                <w:szCs w:val="18"/>
              </w:rPr>
              <w:t>UIT-T</w:t>
            </w:r>
            <w:r w:rsidR="001350B9" w:rsidRPr="000B569F">
              <w:rPr>
                <w:sz w:val="22"/>
                <w:szCs w:val="18"/>
              </w:rPr>
              <w:t>;</w:t>
            </w:r>
          </w:p>
          <w:p w14:paraId="4827F600" w14:textId="2E80DDB4" w:rsidR="001350B9" w:rsidRPr="000B569F" w:rsidRDefault="00101541" w:rsidP="000B569F">
            <w:pPr>
              <w:tabs>
                <w:tab w:val="clear" w:pos="794"/>
                <w:tab w:val="left" w:pos="390"/>
              </w:tabs>
              <w:spacing w:before="0"/>
              <w:rPr>
                <w:sz w:val="22"/>
                <w:szCs w:val="18"/>
              </w:rPr>
            </w:pPr>
            <w:r w:rsidRPr="000B569F">
              <w:rPr>
                <w:sz w:val="22"/>
                <w:szCs w:val="18"/>
              </w:rPr>
              <w:t>–</w:t>
            </w:r>
            <w:r w:rsidR="001350B9" w:rsidRPr="000B569F">
              <w:rPr>
                <w:sz w:val="22"/>
                <w:szCs w:val="18"/>
              </w:rPr>
              <w:tab/>
              <w:t>las Instituciones Académicas de</w:t>
            </w:r>
            <w:r w:rsidR="00BA6F31" w:rsidRPr="000B569F">
              <w:rPr>
                <w:sz w:val="22"/>
                <w:szCs w:val="18"/>
              </w:rPr>
              <w:t xml:space="preserve"> </w:t>
            </w:r>
            <w:r w:rsidR="001350B9" w:rsidRPr="000B569F">
              <w:rPr>
                <w:sz w:val="22"/>
                <w:szCs w:val="18"/>
              </w:rPr>
              <w:t>l</w:t>
            </w:r>
            <w:r w:rsidR="00BA6F31" w:rsidRPr="000B569F">
              <w:rPr>
                <w:sz w:val="22"/>
                <w:szCs w:val="18"/>
              </w:rPr>
              <w:t>a</w:t>
            </w:r>
            <w:r w:rsidR="001350B9" w:rsidRPr="000B569F">
              <w:rPr>
                <w:sz w:val="22"/>
                <w:szCs w:val="18"/>
              </w:rPr>
              <w:t xml:space="preserve"> UIT;</w:t>
            </w:r>
          </w:p>
          <w:p w14:paraId="40154879" w14:textId="32DED731" w:rsidR="001350B9" w:rsidRPr="000B569F" w:rsidRDefault="00101541" w:rsidP="000B569F">
            <w:pPr>
              <w:tabs>
                <w:tab w:val="clear" w:pos="794"/>
                <w:tab w:val="left" w:pos="390"/>
              </w:tabs>
              <w:spacing w:before="0"/>
              <w:ind w:left="390" w:hanging="390"/>
              <w:rPr>
                <w:sz w:val="22"/>
                <w:szCs w:val="18"/>
              </w:rPr>
            </w:pPr>
            <w:r w:rsidRPr="000B569F">
              <w:rPr>
                <w:sz w:val="22"/>
                <w:szCs w:val="18"/>
              </w:rPr>
              <w:t>–</w:t>
            </w:r>
            <w:r w:rsidR="001350B9" w:rsidRPr="000B569F">
              <w:rPr>
                <w:sz w:val="22"/>
                <w:szCs w:val="18"/>
              </w:rPr>
              <w:tab/>
            </w:r>
            <w:r w:rsidRPr="000B569F">
              <w:rPr>
                <w:sz w:val="22"/>
                <w:szCs w:val="18"/>
              </w:rPr>
              <w:t>e</w:t>
            </w:r>
            <w:r w:rsidR="001350B9" w:rsidRPr="000B569F">
              <w:rPr>
                <w:sz w:val="22"/>
                <w:szCs w:val="18"/>
              </w:rPr>
              <w:t xml:space="preserve">l </w:t>
            </w:r>
            <w:r w:rsidR="00A46881" w:rsidRPr="000B569F">
              <w:rPr>
                <w:sz w:val="22"/>
                <w:szCs w:val="18"/>
              </w:rPr>
              <w:t>Presidente y a los Vicepresidentes de la</w:t>
            </w:r>
            <w:r w:rsidR="00927149" w:rsidRPr="000B569F">
              <w:rPr>
                <w:sz w:val="22"/>
                <w:szCs w:val="18"/>
              </w:rPr>
              <w:t xml:space="preserve"> </w:t>
            </w:r>
            <w:r w:rsidR="00A46881" w:rsidRPr="000B569F">
              <w:rPr>
                <w:sz w:val="22"/>
                <w:szCs w:val="18"/>
              </w:rPr>
              <w:t>Comisión de Estudio</w:t>
            </w:r>
            <w:r w:rsidR="0026602C" w:rsidRPr="000B569F">
              <w:rPr>
                <w:sz w:val="22"/>
                <w:szCs w:val="18"/>
              </w:rPr>
              <w:t> </w:t>
            </w:r>
            <w:r w:rsidR="00A46881" w:rsidRPr="000B569F">
              <w:rPr>
                <w:sz w:val="22"/>
                <w:szCs w:val="18"/>
              </w:rPr>
              <w:t>13 del UIT-T</w:t>
            </w:r>
            <w:r w:rsidR="001350B9" w:rsidRPr="000B569F">
              <w:rPr>
                <w:sz w:val="22"/>
                <w:szCs w:val="18"/>
              </w:rPr>
              <w:t>;</w:t>
            </w:r>
          </w:p>
          <w:p w14:paraId="0B8A2812" w14:textId="59AED901" w:rsidR="001350B9" w:rsidRPr="000B569F" w:rsidRDefault="00101541" w:rsidP="000B569F">
            <w:pPr>
              <w:tabs>
                <w:tab w:val="clear" w:pos="794"/>
                <w:tab w:val="left" w:pos="390"/>
              </w:tabs>
              <w:spacing w:before="0"/>
              <w:ind w:left="390" w:hanging="390"/>
              <w:rPr>
                <w:sz w:val="22"/>
                <w:szCs w:val="18"/>
              </w:rPr>
            </w:pPr>
            <w:r w:rsidRPr="000B569F">
              <w:rPr>
                <w:sz w:val="22"/>
                <w:szCs w:val="18"/>
              </w:rPr>
              <w:t>–</w:t>
            </w:r>
            <w:r w:rsidR="001350B9" w:rsidRPr="000B569F">
              <w:rPr>
                <w:sz w:val="22"/>
                <w:szCs w:val="18"/>
              </w:rPr>
              <w:tab/>
            </w:r>
            <w:r w:rsidR="00766C41" w:rsidRPr="000B569F">
              <w:rPr>
                <w:sz w:val="22"/>
                <w:szCs w:val="18"/>
              </w:rPr>
              <w:t>el</w:t>
            </w:r>
            <w:r w:rsidR="001350B9" w:rsidRPr="000B569F">
              <w:rPr>
                <w:sz w:val="22"/>
                <w:szCs w:val="18"/>
              </w:rPr>
              <w:t xml:space="preserve"> Director de la Oficina de Desarrollo de las Telecomunicaciones;</w:t>
            </w:r>
          </w:p>
          <w:p w14:paraId="4E2FF369" w14:textId="70B87030" w:rsidR="001350B9" w:rsidRPr="000B569F" w:rsidRDefault="00101541" w:rsidP="00101541">
            <w:pPr>
              <w:tabs>
                <w:tab w:val="clear" w:pos="794"/>
                <w:tab w:val="left" w:pos="390"/>
              </w:tabs>
              <w:spacing w:before="40" w:after="40"/>
              <w:ind w:left="390" w:hanging="390"/>
              <w:rPr>
                <w:sz w:val="22"/>
                <w:szCs w:val="18"/>
              </w:rPr>
            </w:pPr>
            <w:r w:rsidRPr="000B569F">
              <w:rPr>
                <w:sz w:val="22"/>
                <w:szCs w:val="18"/>
              </w:rPr>
              <w:t>–</w:t>
            </w:r>
            <w:r w:rsidR="001350B9" w:rsidRPr="000B569F">
              <w:rPr>
                <w:sz w:val="22"/>
                <w:szCs w:val="18"/>
              </w:rPr>
              <w:tab/>
            </w:r>
            <w:r w:rsidRPr="000B569F">
              <w:rPr>
                <w:sz w:val="22"/>
                <w:szCs w:val="18"/>
              </w:rPr>
              <w:t>e</w:t>
            </w:r>
            <w:r w:rsidR="001350B9" w:rsidRPr="000B569F">
              <w:rPr>
                <w:sz w:val="22"/>
                <w:szCs w:val="18"/>
              </w:rPr>
              <w:t>l Director de la Oficina de Radiocomunicaciones</w:t>
            </w:r>
          </w:p>
        </w:tc>
      </w:tr>
      <w:tr w:rsidR="001350B9" w:rsidRPr="000B569F" w14:paraId="1A010FF9" w14:textId="77777777" w:rsidTr="000B569F">
        <w:trPr>
          <w:cantSplit/>
        </w:trPr>
        <w:tc>
          <w:tcPr>
            <w:tcW w:w="1597" w:type="dxa"/>
          </w:tcPr>
          <w:p w14:paraId="48F92A24" w14:textId="77777777" w:rsidR="001350B9" w:rsidRPr="000B569F" w:rsidRDefault="001350B9" w:rsidP="00101541">
            <w:pPr>
              <w:spacing w:before="40" w:after="40"/>
              <w:rPr>
                <w:sz w:val="22"/>
                <w:szCs w:val="18"/>
              </w:rPr>
            </w:pPr>
            <w:r w:rsidRPr="000B569F">
              <w:rPr>
                <w:sz w:val="22"/>
                <w:szCs w:val="18"/>
              </w:rPr>
              <w:t>Tel.:</w:t>
            </w:r>
          </w:p>
        </w:tc>
        <w:tc>
          <w:tcPr>
            <w:tcW w:w="3470" w:type="dxa"/>
          </w:tcPr>
          <w:p w14:paraId="19D29048" w14:textId="537389C0" w:rsidR="001350B9" w:rsidRPr="000B569F" w:rsidRDefault="00A46881" w:rsidP="00101541">
            <w:pPr>
              <w:spacing w:before="40" w:after="40"/>
              <w:rPr>
                <w:sz w:val="22"/>
                <w:szCs w:val="18"/>
              </w:rPr>
            </w:pPr>
            <w:r w:rsidRPr="000B569F">
              <w:rPr>
                <w:sz w:val="22"/>
                <w:szCs w:val="18"/>
              </w:rPr>
              <w:t>+41 22 730 5126</w:t>
            </w:r>
          </w:p>
        </w:tc>
        <w:tc>
          <w:tcPr>
            <w:tcW w:w="5327" w:type="dxa"/>
            <w:vMerge/>
          </w:tcPr>
          <w:p w14:paraId="3DF5CE88" w14:textId="77777777" w:rsidR="001350B9" w:rsidRPr="000B569F" w:rsidRDefault="001350B9" w:rsidP="00303D62">
            <w:pPr>
              <w:tabs>
                <w:tab w:val="left" w:pos="226"/>
                <w:tab w:val="left" w:pos="510"/>
              </w:tabs>
              <w:spacing w:before="0"/>
              <w:ind w:left="226" w:hanging="169"/>
              <w:rPr>
                <w:b/>
                <w:sz w:val="22"/>
                <w:szCs w:val="18"/>
              </w:rPr>
            </w:pPr>
          </w:p>
        </w:tc>
      </w:tr>
      <w:tr w:rsidR="001350B9" w:rsidRPr="000B569F" w14:paraId="07D56EDD" w14:textId="77777777" w:rsidTr="000B569F">
        <w:trPr>
          <w:cantSplit/>
        </w:trPr>
        <w:tc>
          <w:tcPr>
            <w:tcW w:w="1597" w:type="dxa"/>
          </w:tcPr>
          <w:p w14:paraId="35CE91C2" w14:textId="77777777" w:rsidR="001350B9" w:rsidRPr="000B569F" w:rsidRDefault="001350B9" w:rsidP="00101541">
            <w:pPr>
              <w:spacing w:before="40" w:after="40"/>
              <w:rPr>
                <w:sz w:val="22"/>
                <w:szCs w:val="18"/>
              </w:rPr>
            </w:pPr>
            <w:r w:rsidRPr="000B569F">
              <w:rPr>
                <w:sz w:val="22"/>
                <w:szCs w:val="18"/>
              </w:rPr>
              <w:t>Fax:</w:t>
            </w:r>
          </w:p>
        </w:tc>
        <w:tc>
          <w:tcPr>
            <w:tcW w:w="3470" w:type="dxa"/>
          </w:tcPr>
          <w:p w14:paraId="50BA9232" w14:textId="77777777" w:rsidR="001350B9" w:rsidRPr="000B569F" w:rsidRDefault="001350B9" w:rsidP="00101541">
            <w:pPr>
              <w:spacing w:before="40" w:after="40"/>
              <w:rPr>
                <w:sz w:val="22"/>
                <w:szCs w:val="18"/>
              </w:rPr>
            </w:pPr>
            <w:r w:rsidRPr="000B569F">
              <w:rPr>
                <w:sz w:val="22"/>
                <w:szCs w:val="18"/>
              </w:rPr>
              <w:t>+41 22 730 5853</w:t>
            </w:r>
          </w:p>
        </w:tc>
        <w:tc>
          <w:tcPr>
            <w:tcW w:w="5327" w:type="dxa"/>
            <w:vMerge/>
          </w:tcPr>
          <w:p w14:paraId="20877663" w14:textId="77777777" w:rsidR="001350B9" w:rsidRPr="000B569F" w:rsidRDefault="001350B9" w:rsidP="00303D62">
            <w:pPr>
              <w:tabs>
                <w:tab w:val="left" w:pos="226"/>
                <w:tab w:val="left" w:pos="510"/>
              </w:tabs>
              <w:spacing w:before="0"/>
              <w:ind w:left="226" w:hanging="169"/>
              <w:rPr>
                <w:b/>
                <w:sz w:val="22"/>
                <w:szCs w:val="18"/>
              </w:rPr>
            </w:pPr>
          </w:p>
        </w:tc>
      </w:tr>
      <w:tr w:rsidR="001350B9" w:rsidRPr="000B569F" w14:paraId="30FF827C" w14:textId="77777777" w:rsidTr="000B569F">
        <w:trPr>
          <w:cantSplit/>
        </w:trPr>
        <w:tc>
          <w:tcPr>
            <w:tcW w:w="1597" w:type="dxa"/>
          </w:tcPr>
          <w:p w14:paraId="220ABEEC" w14:textId="77777777" w:rsidR="001350B9" w:rsidRPr="000B569F" w:rsidRDefault="001350B9" w:rsidP="00101541">
            <w:pPr>
              <w:spacing w:before="40" w:after="40"/>
              <w:rPr>
                <w:sz w:val="22"/>
                <w:szCs w:val="18"/>
              </w:rPr>
            </w:pPr>
            <w:r w:rsidRPr="000B569F">
              <w:rPr>
                <w:sz w:val="22"/>
                <w:szCs w:val="18"/>
              </w:rPr>
              <w:t>Correo-e:</w:t>
            </w:r>
          </w:p>
        </w:tc>
        <w:tc>
          <w:tcPr>
            <w:tcW w:w="3470" w:type="dxa"/>
          </w:tcPr>
          <w:p w14:paraId="114B24C6" w14:textId="51869562" w:rsidR="001350B9" w:rsidRPr="000B569F" w:rsidRDefault="00A46881" w:rsidP="00101541">
            <w:pPr>
              <w:spacing w:before="40" w:after="40"/>
              <w:rPr>
                <w:sz w:val="22"/>
                <w:szCs w:val="18"/>
              </w:rPr>
            </w:pPr>
            <w:hyperlink r:id="rId9" w:history="1">
              <w:r w:rsidRPr="000B569F">
                <w:rPr>
                  <w:rStyle w:val="Hyperlink"/>
                  <w:sz w:val="22"/>
                  <w:szCs w:val="18"/>
                </w:rPr>
                <w:t>tsbsg13@itu.int</w:t>
              </w:r>
            </w:hyperlink>
          </w:p>
        </w:tc>
        <w:tc>
          <w:tcPr>
            <w:tcW w:w="5327" w:type="dxa"/>
            <w:vMerge/>
          </w:tcPr>
          <w:p w14:paraId="0ACE8CE2" w14:textId="77777777" w:rsidR="001350B9" w:rsidRPr="000B569F" w:rsidRDefault="001350B9" w:rsidP="00303D62">
            <w:pPr>
              <w:tabs>
                <w:tab w:val="clear" w:pos="794"/>
                <w:tab w:val="clear" w:pos="1191"/>
                <w:tab w:val="clear" w:pos="1588"/>
                <w:tab w:val="clear" w:pos="1985"/>
                <w:tab w:val="left" w:pos="226"/>
                <w:tab w:val="left" w:pos="510"/>
              </w:tabs>
              <w:spacing w:before="0"/>
              <w:ind w:left="226" w:hanging="169"/>
              <w:rPr>
                <w:sz w:val="22"/>
                <w:szCs w:val="18"/>
              </w:rPr>
            </w:pPr>
          </w:p>
        </w:tc>
      </w:tr>
      <w:tr w:rsidR="007B6316" w:rsidRPr="000B569F" w14:paraId="7F4E66DD" w14:textId="77777777" w:rsidTr="000B569F">
        <w:trPr>
          <w:cantSplit/>
        </w:trPr>
        <w:tc>
          <w:tcPr>
            <w:tcW w:w="1597" w:type="dxa"/>
          </w:tcPr>
          <w:p w14:paraId="7BBE0879" w14:textId="77777777" w:rsidR="007B6316" w:rsidRPr="000B569F" w:rsidRDefault="007B6316" w:rsidP="00101541">
            <w:pPr>
              <w:rPr>
                <w:b/>
                <w:bCs/>
                <w:sz w:val="22"/>
                <w:szCs w:val="18"/>
              </w:rPr>
            </w:pPr>
            <w:r w:rsidRPr="000B569F">
              <w:rPr>
                <w:b/>
                <w:bCs/>
                <w:sz w:val="22"/>
                <w:szCs w:val="18"/>
              </w:rPr>
              <w:t>Asunto:</w:t>
            </w:r>
          </w:p>
        </w:tc>
        <w:tc>
          <w:tcPr>
            <w:tcW w:w="8797" w:type="dxa"/>
            <w:gridSpan w:val="2"/>
          </w:tcPr>
          <w:p w14:paraId="445801EB" w14:textId="398BB55F" w:rsidR="007B6316" w:rsidRPr="000B569F" w:rsidRDefault="00A46881" w:rsidP="00A46881">
            <w:pPr>
              <w:rPr>
                <w:sz w:val="22"/>
                <w:szCs w:val="18"/>
              </w:rPr>
            </w:pPr>
            <w:r w:rsidRPr="000B569F">
              <w:rPr>
                <w:b/>
                <w:sz w:val="22"/>
                <w:szCs w:val="18"/>
              </w:rPr>
              <w:t>Consulta a los Estados Miembros sobre los proyectos de nuevas Recomendaciones UIT</w:t>
            </w:r>
            <w:r w:rsidR="00927149" w:rsidRPr="000B569F">
              <w:rPr>
                <w:b/>
                <w:sz w:val="22"/>
                <w:szCs w:val="18"/>
              </w:rPr>
              <w:noBreakHyphen/>
            </w:r>
            <w:r w:rsidRPr="000B569F">
              <w:rPr>
                <w:b/>
                <w:sz w:val="22"/>
                <w:szCs w:val="18"/>
              </w:rPr>
              <w:t>T</w:t>
            </w:r>
            <w:r w:rsidR="00927149" w:rsidRPr="000B569F">
              <w:rPr>
                <w:b/>
                <w:sz w:val="22"/>
                <w:szCs w:val="18"/>
              </w:rPr>
              <w:t> </w:t>
            </w:r>
            <w:r w:rsidRPr="000B569F">
              <w:rPr>
                <w:b/>
                <w:sz w:val="22"/>
                <w:szCs w:val="18"/>
              </w:rPr>
              <w:t>Y.3188 (ex</w:t>
            </w:r>
            <w:r w:rsidR="0026602C" w:rsidRPr="000B569F">
              <w:rPr>
                <w:b/>
                <w:sz w:val="22"/>
                <w:szCs w:val="18"/>
              </w:rPr>
              <w:t> </w:t>
            </w:r>
            <w:r w:rsidRPr="000B569F">
              <w:rPr>
                <w:b/>
                <w:sz w:val="22"/>
                <w:szCs w:val="18"/>
              </w:rPr>
              <w:t>Y.LDT-reqs-funcs), UIT</w:t>
            </w:r>
            <w:r w:rsidR="00927149" w:rsidRPr="000B569F">
              <w:rPr>
                <w:b/>
                <w:sz w:val="22"/>
                <w:szCs w:val="18"/>
              </w:rPr>
              <w:noBreakHyphen/>
            </w:r>
            <w:r w:rsidRPr="000B569F">
              <w:rPr>
                <w:b/>
                <w:sz w:val="22"/>
                <w:szCs w:val="18"/>
              </w:rPr>
              <w:t>T</w:t>
            </w:r>
            <w:r w:rsidR="00927149" w:rsidRPr="000B569F">
              <w:rPr>
                <w:b/>
                <w:sz w:val="22"/>
                <w:szCs w:val="18"/>
              </w:rPr>
              <w:t> </w:t>
            </w:r>
            <w:r w:rsidRPr="000B569F">
              <w:rPr>
                <w:b/>
                <w:sz w:val="22"/>
                <w:szCs w:val="18"/>
              </w:rPr>
              <w:t>Y.3221 (ex</w:t>
            </w:r>
            <w:r w:rsidR="0026602C" w:rsidRPr="000B569F">
              <w:rPr>
                <w:b/>
                <w:sz w:val="22"/>
                <w:szCs w:val="18"/>
              </w:rPr>
              <w:t> </w:t>
            </w:r>
            <w:proofErr w:type="gramStart"/>
            <w:r w:rsidRPr="000B569F">
              <w:rPr>
                <w:b/>
                <w:sz w:val="22"/>
                <w:szCs w:val="18"/>
              </w:rPr>
              <w:t>Y.FMSC</w:t>
            </w:r>
            <w:proofErr w:type="gramEnd"/>
            <w:r w:rsidR="00927149" w:rsidRPr="000B569F">
              <w:rPr>
                <w:b/>
                <w:sz w:val="22"/>
                <w:szCs w:val="18"/>
              </w:rPr>
              <w:noBreakHyphen/>
            </w:r>
            <w:r w:rsidRPr="000B569F">
              <w:rPr>
                <w:b/>
                <w:sz w:val="22"/>
                <w:szCs w:val="18"/>
              </w:rPr>
              <w:t>LDS) y UIT</w:t>
            </w:r>
            <w:r w:rsidR="00927149" w:rsidRPr="000B569F">
              <w:rPr>
                <w:b/>
                <w:sz w:val="22"/>
                <w:szCs w:val="18"/>
              </w:rPr>
              <w:noBreakHyphen/>
            </w:r>
            <w:r w:rsidRPr="000B569F">
              <w:rPr>
                <w:b/>
                <w:sz w:val="22"/>
                <w:szCs w:val="18"/>
              </w:rPr>
              <w:t>T</w:t>
            </w:r>
            <w:r w:rsidR="00927149" w:rsidRPr="000B569F">
              <w:rPr>
                <w:b/>
                <w:sz w:val="22"/>
                <w:szCs w:val="18"/>
              </w:rPr>
              <w:t> </w:t>
            </w:r>
            <w:r w:rsidRPr="000B569F">
              <w:rPr>
                <w:b/>
                <w:sz w:val="22"/>
                <w:szCs w:val="18"/>
              </w:rPr>
              <w:t>Y.3222 (ex</w:t>
            </w:r>
            <w:r w:rsidR="0026602C" w:rsidRPr="000B569F">
              <w:rPr>
                <w:b/>
                <w:sz w:val="22"/>
                <w:szCs w:val="18"/>
              </w:rPr>
              <w:t> </w:t>
            </w:r>
            <w:proofErr w:type="gramStart"/>
            <w:r w:rsidRPr="000B569F">
              <w:rPr>
                <w:b/>
                <w:sz w:val="22"/>
                <w:szCs w:val="18"/>
              </w:rPr>
              <w:t>Y.FMSC</w:t>
            </w:r>
            <w:proofErr w:type="gramEnd"/>
            <w:r w:rsidR="00927149" w:rsidRPr="000B569F">
              <w:rPr>
                <w:b/>
                <w:sz w:val="22"/>
                <w:szCs w:val="18"/>
              </w:rPr>
              <w:noBreakHyphen/>
            </w:r>
            <w:r w:rsidRPr="000B569F">
              <w:rPr>
                <w:b/>
                <w:sz w:val="22"/>
                <w:szCs w:val="18"/>
              </w:rPr>
              <w:t>ConTrans) determinados y propuestos para su aprobación en la reunión que la Comisión de Estudio</w:t>
            </w:r>
            <w:r w:rsidR="0026602C" w:rsidRPr="000B569F">
              <w:rPr>
                <w:b/>
                <w:sz w:val="22"/>
                <w:szCs w:val="18"/>
              </w:rPr>
              <w:t> </w:t>
            </w:r>
            <w:r w:rsidRPr="000B569F">
              <w:rPr>
                <w:b/>
                <w:sz w:val="22"/>
                <w:szCs w:val="18"/>
              </w:rPr>
              <w:t xml:space="preserve">13 del UIT-T celebrará en Tashkent </w:t>
            </w:r>
            <w:r w:rsidR="000928E5" w:rsidRPr="000B569F">
              <w:rPr>
                <w:b/>
                <w:sz w:val="22"/>
                <w:szCs w:val="18"/>
              </w:rPr>
              <w:t>(</w:t>
            </w:r>
            <w:r w:rsidRPr="000B569F">
              <w:rPr>
                <w:b/>
                <w:sz w:val="22"/>
                <w:szCs w:val="18"/>
              </w:rPr>
              <w:t>Uzbekistán</w:t>
            </w:r>
            <w:r w:rsidR="000928E5" w:rsidRPr="000B569F">
              <w:rPr>
                <w:b/>
                <w:sz w:val="22"/>
                <w:szCs w:val="18"/>
              </w:rPr>
              <w:t>)</w:t>
            </w:r>
            <w:r w:rsidRPr="000B569F">
              <w:rPr>
                <w:b/>
                <w:sz w:val="22"/>
                <w:szCs w:val="18"/>
              </w:rPr>
              <w:t>, del 28 de octubre al 6 de noviembre de 2025</w:t>
            </w:r>
          </w:p>
        </w:tc>
      </w:tr>
    </w:tbl>
    <w:p w14:paraId="7DCD2BF6" w14:textId="34D3D0FF" w:rsidR="00C34772" w:rsidRPr="000B569F" w:rsidRDefault="00C34772" w:rsidP="00101541">
      <w:pPr>
        <w:pStyle w:val="Normalaftertitle"/>
        <w:rPr>
          <w:sz w:val="22"/>
          <w:szCs w:val="18"/>
        </w:rPr>
      </w:pPr>
      <w:bookmarkStart w:id="1" w:name="StartTyping_S"/>
      <w:bookmarkStart w:id="2" w:name="suitetext"/>
      <w:bookmarkStart w:id="3" w:name="text"/>
      <w:bookmarkEnd w:id="1"/>
      <w:bookmarkEnd w:id="2"/>
      <w:bookmarkEnd w:id="3"/>
      <w:r w:rsidRPr="000B569F">
        <w:rPr>
          <w:sz w:val="22"/>
          <w:szCs w:val="18"/>
        </w:rPr>
        <w:t>Muy Señora mía/Muy Señor mío</w:t>
      </w:r>
      <w:r w:rsidR="000B569F">
        <w:rPr>
          <w:sz w:val="22"/>
          <w:szCs w:val="18"/>
        </w:rPr>
        <w:t>,</w:t>
      </w:r>
    </w:p>
    <w:p w14:paraId="17325BB3" w14:textId="74F45D30" w:rsidR="00A46881" w:rsidRPr="000B569F" w:rsidRDefault="00A46881" w:rsidP="00A46881">
      <w:pPr>
        <w:rPr>
          <w:sz w:val="22"/>
          <w:szCs w:val="18"/>
        </w:rPr>
      </w:pPr>
      <w:r w:rsidRPr="000B569F">
        <w:rPr>
          <w:sz w:val="22"/>
          <w:szCs w:val="18"/>
        </w:rPr>
        <w:t>1</w:t>
      </w:r>
      <w:r w:rsidRPr="000B569F">
        <w:rPr>
          <w:sz w:val="22"/>
          <w:szCs w:val="18"/>
        </w:rPr>
        <w:tab/>
      </w:r>
      <w:proofErr w:type="gramStart"/>
      <w:r w:rsidRPr="000B569F">
        <w:rPr>
          <w:sz w:val="22"/>
          <w:szCs w:val="18"/>
        </w:rPr>
        <w:t>La</w:t>
      </w:r>
      <w:proofErr w:type="gramEnd"/>
      <w:r w:rsidRPr="000B569F">
        <w:rPr>
          <w:sz w:val="22"/>
          <w:szCs w:val="18"/>
        </w:rPr>
        <w:t xml:space="preserve"> Comisión de Estudio</w:t>
      </w:r>
      <w:r w:rsidR="001572B5" w:rsidRPr="000B569F">
        <w:rPr>
          <w:sz w:val="22"/>
          <w:szCs w:val="18"/>
        </w:rPr>
        <w:t> </w:t>
      </w:r>
      <w:r w:rsidRPr="000B569F">
        <w:rPr>
          <w:sz w:val="22"/>
          <w:szCs w:val="18"/>
        </w:rPr>
        <w:t>13 del UIT-T (</w:t>
      </w:r>
      <w:r w:rsidRPr="000B569F">
        <w:rPr>
          <w:i/>
          <w:iCs/>
          <w:sz w:val="22"/>
          <w:szCs w:val="18"/>
        </w:rPr>
        <w:t>Redes futuras y tecnologías de red incipientes</w:t>
      </w:r>
      <w:r w:rsidRPr="000B569F">
        <w:rPr>
          <w:sz w:val="22"/>
          <w:szCs w:val="18"/>
        </w:rPr>
        <w:t>) ha previsto aplicar el procedimiento de aprobación tradicional descrito en la cláusula</w:t>
      </w:r>
      <w:r w:rsidR="001572B5" w:rsidRPr="000B569F">
        <w:rPr>
          <w:sz w:val="22"/>
          <w:szCs w:val="18"/>
        </w:rPr>
        <w:t> </w:t>
      </w:r>
      <w:r w:rsidRPr="000B569F">
        <w:rPr>
          <w:sz w:val="22"/>
          <w:szCs w:val="18"/>
        </w:rPr>
        <w:t>9 de la Resolución 1 (Rev. Ginebra, 2022) de la</w:t>
      </w:r>
      <w:r w:rsidR="001572B5" w:rsidRPr="000B569F">
        <w:rPr>
          <w:sz w:val="22"/>
          <w:szCs w:val="18"/>
        </w:rPr>
        <w:t> </w:t>
      </w:r>
      <w:r w:rsidRPr="000B569F">
        <w:rPr>
          <w:sz w:val="22"/>
          <w:szCs w:val="18"/>
        </w:rPr>
        <w:t>AMNT a efectos de la aprobación de los proyectos de nuevas Recomendaciones UIT</w:t>
      </w:r>
      <w:r w:rsidR="00927149" w:rsidRPr="000B569F">
        <w:rPr>
          <w:sz w:val="22"/>
          <w:szCs w:val="18"/>
        </w:rPr>
        <w:noBreakHyphen/>
      </w:r>
      <w:r w:rsidRPr="000B569F">
        <w:rPr>
          <w:sz w:val="22"/>
          <w:szCs w:val="18"/>
        </w:rPr>
        <w:t>T</w:t>
      </w:r>
      <w:r w:rsidR="00927149" w:rsidRPr="000B569F">
        <w:rPr>
          <w:sz w:val="22"/>
          <w:szCs w:val="18"/>
        </w:rPr>
        <w:t> </w:t>
      </w:r>
      <w:r w:rsidRPr="000B569F">
        <w:rPr>
          <w:sz w:val="22"/>
          <w:szCs w:val="18"/>
        </w:rPr>
        <w:t>Y.3188, Y.3221 e Y.3222 en su próxima reunión, que se celebrará en Tashkent (Uzbekistán) del 28 de octubre al 6 de noviembre de</w:t>
      </w:r>
      <w:r w:rsidR="001572B5" w:rsidRPr="000B569F">
        <w:rPr>
          <w:sz w:val="22"/>
          <w:szCs w:val="18"/>
        </w:rPr>
        <w:t> </w:t>
      </w:r>
      <w:r w:rsidRPr="000B569F">
        <w:rPr>
          <w:sz w:val="22"/>
          <w:szCs w:val="18"/>
        </w:rPr>
        <w:t>2025. El orden del día y toda la información pertinente sobre la reunión de la Comisión de Estudio 13 del UIT-T figuran en la Carta Colectiva</w:t>
      </w:r>
      <w:r w:rsidR="001572B5" w:rsidRPr="000B569F">
        <w:rPr>
          <w:sz w:val="22"/>
          <w:szCs w:val="18"/>
        </w:rPr>
        <w:t> </w:t>
      </w:r>
      <w:hyperlink r:id="rId10" w:history="1">
        <w:r w:rsidRPr="000B569F">
          <w:rPr>
            <w:rStyle w:val="Hyperlink"/>
            <w:sz w:val="22"/>
            <w:szCs w:val="18"/>
          </w:rPr>
          <w:t>3/13</w:t>
        </w:r>
      </w:hyperlink>
      <w:r w:rsidRPr="000B569F">
        <w:rPr>
          <w:sz w:val="22"/>
          <w:szCs w:val="18"/>
        </w:rPr>
        <w:t>.</w:t>
      </w:r>
    </w:p>
    <w:p w14:paraId="01F4AAF0" w14:textId="503340A9" w:rsidR="00A46881" w:rsidRPr="000B569F" w:rsidRDefault="00A46881" w:rsidP="00A46881">
      <w:pPr>
        <w:rPr>
          <w:sz w:val="22"/>
          <w:szCs w:val="18"/>
        </w:rPr>
      </w:pPr>
      <w:r w:rsidRPr="000B569F">
        <w:rPr>
          <w:sz w:val="22"/>
          <w:szCs w:val="18"/>
        </w:rPr>
        <w:t>2</w:t>
      </w:r>
      <w:r w:rsidRPr="000B569F">
        <w:rPr>
          <w:sz w:val="22"/>
          <w:szCs w:val="18"/>
        </w:rPr>
        <w:tab/>
        <w:t xml:space="preserve">El título, el resumen y la ubicación de los proyectos de Recomendaciones propuestos para aprobación pueden consultarse en el </w:t>
      </w:r>
      <w:r w:rsidRPr="000B569F">
        <w:rPr>
          <w:b/>
          <w:bCs/>
          <w:sz w:val="22"/>
          <w:szCs w:val="18"/>
        </w:rPr>
        <w:t>Anexo</w:t>
      </w:r>
      <w:r w:rsidR="001572B5" w:rsidRPr="000B569F">
        <w:rPr>
          <w:b/>
          <w:bCs/>
          <w:sz w:val="22"/>
          <w:szCs w:val="18"/>
        </w:rPr>
        <w:t> </w:t>
      </w:r>
      <w:r w:rsidRPr="000B569F">
        <w:rPr>
          <w:b/>
          <w:bCs/>
          <w:sz w:val="22"/>
          <w:szCs w:val="18"/>
        </w:rPr>
        <w:t>1</w:t>
      </w:r>
      <w:r w:rsidRPr="000B569F">
        <w:rPr>
          <w:sz w:val="22"/>
          <w:szCs w:val="18"/>
        </w:rPr>
        <w:t>.</w:t>
      </w:r>
    </w:p>
    <w:p w14:paraId="224E628D" w14:textId="0E6FCC8A" w:rsidR="00A46881" w:rsidRPr="000B569F" w:rsidRDefault="00A46881" w:rsidP="000928E5">
      <w:pPr>
        <w:pStyle w:val="Note"/>
        <w:rPr>
          <w:sz w:val="22"/>
          <w:szCs w:val="18"/>
        </w:rPr>
      </w:pPr>
      <w:r w:rsidRPr="000B569F">
        <w:rPr>
          <w:sz w:val="22"/>
          <w:szCs w:val="18"/>
        </w:rPr>
        <w:t>NOTA</w:t>
      </w:r>
      <w:r w:rsidR="001572B5" w:rsidRPr="000B569F">
        <w:rPr>
          <w:sz w:val="22"/>
          <w:szCs w:val="18"/>
        </w:rPr>
        <w:t> </w:t>
      </w:r>
      <w:r w:rsidRPr="000B569F">
        <w:rPr>
          <w:sz w:val="22"/>
          <w:szCs w:val="18"/>
        </w:rPr>
        <w:t>1 – Actualmente, no se requiere justificación con arreglo a la Recomendación</w:t>
      </w:r>
      <w:r w:rsidR="00927149" w:rsidRPr="000B569F">
        <w:rPr>
          <w:sz w:val="22"/>
          <w:szCs w:val="18"/>
        </w:rPr>
        <w:t> </w:t>
      </w:r>
      <w:r w:rsidRPr="000B569F">
        <w:rPr>
          <w:sz w:val="22"/>
          <w:szCs w:val="18"/>
        </w:rPr>
        <w:t>UIT-T</w:t>
      </w:r>
      <w:r w:rsidR="001572B5" w:rsidRPr="000B569F">
        <w:rPr>
          <w:sz w:val="22"/>
          <w:szCs w:val="18"/>
        </w:rPr>
        <w:t> </w:t>
      </w:r>
      <w:r w:rsidRPr="000B569F">
        <w:rPr>
          <w:sz w:val="22"/>
          <w:szCs w:val="18"/>
        </w:rPr>
        <w:t>A.5 para ninguno de los proyectos de Recomendaciones mencionados.</w:t>
      </w:r>
    </w:p>
    <w:p w14:paraId="342778E4" w14:textId="2B66FDC5" w:rsidR="00A46881" w:rsidRPr="000B569F" w:rsidRDefault="00A46881" w:rsidP="00A46881">
      <w:pPr>
        <w:rPr>
          <w:sz w:val="22"/>
          <w:szCs w:val="18"/>
        </w:rPr>
      </w:pPr>
      <w:r w:rsidRPr="000B569F">
        <w:rPr>
          <w:sz w:val="22"/>
          <w:szCs w:val="18"/>
        </w:rPr>
        <w:t>3</w:t>
      </w:r>
      <w:r w:rsidRPr="000B569F">
        <w:rPr>
          <w:sz w:val="22"/>
          <w:szCs w:val="18"/>
        </w:rPr>
        <w:tab/>
        <w:t>Con esta Circular se inicia la consulta formal a los Estados Miembros de la</w:t>
      </w:r>
      <w:r w:rsidR="001572B5" w:rsidRPr="000B569F">
        <w:rPr>
          <w:sz w:val="22"/>
          <w:szCs w:val="18"/>
        </w:rPr>
        <w:t> </w:t>
      </w:r>
      <w:r w:rsidRPr="000B569F">
        <w:rPr>
          <w:sz w:val="22"/>
          <w:szCs w:val="18"/>
        </w:rPr>
        <w:t>UIT sobre la conveniencia de examinar estos textos para aprobación en la próxima reunión, conforme a lo estipulado en la cláusula 9.4 de la Resolución</w:t>
      </w:r>
      <w:r w:rsidR="001572B5" w:rsidRPr="000B569F">
        <w:rPr>
          <w:sz w:val="22"/>
          <w:szCs w:val="18"/>
        </w:rPr>
        <w:t> </w:t>
      </w:r>
      <w:r w:rsidRPr="000B569F">
        <w:rPr>
          <w:sz w:val="22"/>
          <w:szCs w:val="18"/>
        </w:rPr>
        <w:t xml:space="preserve">1. Se ruega a los Estados Miembros que completen y envíen el formulario incluido en el </w:t>
      </w:r>
      <w:r w:rsidRPr="000B569F">
        <w:rPr>
          <w:b/>
          <w:bCs/>
          <w:sz w:val="22"/>
          <w:szCs w:val="18"/>
        </w:rPr>
        <w:t>Anexo</w:t>
      </w:r>
      <w:r w:rsidR="001572B5" w:rsidRPr="000B569F">
        <w:rPr>
          <w:b/>
          <w:bCs/>
          <w:sz w:val="22"/>
          <w:szCs w:val="18"/>
        </w:rPr>
        <w:t> </w:t>
      </w:r>
      <w:r w:rsidRPr="000B569F">
        <w:rPr>
          <w:b/>
          <w:bCs/>
          <w:sz w:val="22"/>
          <w:szCs w:val="18"/>
        </w:rPr>
        <w:t>2</w:t>
      </w:r>
      <w:r w:rsidRPr="000B569F">
        <w:rPr>
          <w:sz w:val="22"/>
          <w:szCs w:val="18"/>
        </w:rPr>
        <w:t xml:space="preserve"> antes de las 23.59</w:t>
      </w:r>
      <w:r w:rsidR="001572B5" w:rsidRPr="000B569F">
        <w:rPr>
          <w:sz w:val="22"/>
          <w:szCs w:val="18"/>
        </w:rPr>
        <w:t> </w:t>
      </w:r>
      <w:r w:rsidRPr="000B569F">
        <w:rPr>
          <w:sz w:val="22"/>
          <w:szCs w:val="18"/>
        </w:rPr>
        <w:t xml:space="preserve">horas UTC del </w:t>
      </w:r>
      <w:r w:rsidRPr="000B569F">
        <w:rPr>
          <w:b/>
          <w:bCs/>
          <w:sz w:val="22"/>
          <w:szCs w:val="18"/>
        </w:rPr>
        <w:t>16 de octubre de</w:t>
      </w:r>
      <w:r w:rsidR="001572B5" w:rsidRPr="000B569F">
        <w:rPr>
          <w:b/>
          <w:bCs/>
          <w:sz w:val="22"/>
          <w:szCs w:val="18"/>
        </w:rPr>
        <w:t> </w:t>
      </w:r>
      <w:r w:rsidRPr="000B569F">
        <w:rPr>
          <w:b/>
          <w:bCs/>
          <w:sz w:val="22"/>
          <w:szCs w:val="18"/>
        </w:rPr>
        <w:t>2025</w:t>
      </w:r>
      <w:r w:rsidRPr="000B569F">
        <w:rPr>
          <w:sz w:val="22"/>
          <w:szCs w:val="18"/>
        </w:rPr>
        <w:t>.</w:t>
      </w:r>
    </w:p>
    <w:p w14:paraId="6955A01D" w14:textId="21F8DE33" w:rsidR="00A46881" w:rsidRPr="000B569F" w:rsidRDefault="00A46881" w:rsidP="00A46881">
      <w:pPr>
        <w:rPr>
          <w:sz w:val="22"/>
          <w:szCs w:val="18"/>
        </w:rPr>
      </w:pPr>
      <w:r w:rsidRPr="000B569F">
        <w:rPr>
          <w:sz w:val="22"/>
          <w:szCs w:val="18"/>
        </w:rPr>
        <w:t>4</w:t>
      </w:r>
      <w:r w:rsidRPr="000B569F">
        <w:rPr>
          <w:sz w:val="22"/>
          <w:szCs w:val="18"/>
        </w:rPr>
        <w:tab/>
        <w:t>Si al menos el 70</w:t>
      </w:r>
      <w:r w:rsidR="000928E5" w:rsidRPr="000B569F">
        <w:rPr>
          <w:sz w:val="22"/>
          <w:szCs w:val="18"/>
        </w:rPr>
        <w:t> </w:t>
      </w:r>
      <w:r w:rsidRPr="000B569F">
        <w:rPr>
          <w:sz w:val="22"/>
          <w:szCs w:val="18"/>
        </w:rPr>
        <w:t>% de las respuestas de los Estados Miembros es favorable a que se considere la aprobación, se dedicará una sesión plenaria a la aplicación del procedimiento de aprobación. Los Estados Miembros que no otorguen autoridad a tal efecto deberían informar al Director de la</w:t>
      </w:r>
      <w:r w:rsidR="001572B5" w:rsidRPr="000B569F">
        <w:rPr>
          <w:sz w:val="22"/>
          <w:szCs w:val="18"/>
        </w:rPr>
        <w:t> </w:t>
      </w:r>
      <w:r w:rsidRPr="000B569F">
        <w:rPr>
          <w:sz w:val="22"/>
          <w:szCs w:val="18"/>
        </w:rPr>
        <w:t>TSB de los motivos de su decisión e indicar los cambios que podrían permitir el proseguimiento de los trabajos.</w:t>
      </w:r>
    </w:p>
    <w:p w14:paraId="14EC57D9" w14:textId="006B91F5" w:rsidR="00A46881" w:rsidRPr="000B569F" w:rsidRDefault="00A46881" w:rsidP="000928E5">
      <w:pPr>
        <w:pStyle w:val="Note"/>
        <w:rPr>
          <w:sz w:val="22"/>
          <w:szCs w:val="18"/>
        </w:rPr>
      </w:pPr>
      <w:r w:rsidRPr="000B569F">
        <w:rPr>
          <w:sz w:val="22"/>
          <w:szCs w:val="18"/>
        </w:rPr>
        <w:t>NOTA</w:t>
      </w:r>
      <w:r w:rsidR="001572B5" w:rsidRPr="000B569F">
        <w:rPr>
          <w:sz w:val="22"/>
          <w:szCs w:val="18"/>
        </w:rPr>
        <w:t> </w:t>
      </w:r>
      <w:r w:rsidRPr="000B569F">
        <w:rPr>
          <w:sz w:val="22"/>
          <w:szCs w:val="18"/>
        </w:rPr>
        <w:t>2 – En la fecha de la presente Circular, la</w:t>
      </w:r>
      <w:r w:rsidR="001572B5" w:rsidRPr="000B569F">
        <w:rPr>
          <w:sz w:val="22"/>
          <w:szCs w:val="18"/>
        </w:rPr>
        <w:t> </w:t>
      </w:r>
      <w:r w:rsidRPr="000B569F">
        <w:rPr>
          <w:sz w:val="22"/>
          <w:szCs w:val="18"/>
        </w:rPr>
        <w:t>TSB no ha recibido ninguna declaración de derechos de propiedad intelectual en relación con los proyectos de textos en cuestión. Para tener información actualizada en la materia, se invita a los miembros a consultar la base de datos de</w:t>
      </w:r>
      <w:r w:rsidR="001572B5" w:rsidRPr="000B569F">
        <w:rPr>
          <w:sz w:val="22"/>
          <w:szCs w:val="18"/>
        </w:rPr>
        <w:t> </w:t>
      </w:r>
      <w:r w:rsidRPr="000B569F">
        <w:rPr>
          <w:sz w:val="22"/>
          <w:szCs w:val="18"/>
        </w:rPr>
        <w:t xml:space="preserve">DPI en la dirección </w:t>
      </w:r>
      <w:hyperlink r:id="rId11" w:history="1">
        <w:r w:rsidRPr="000B569F">
          <w:rPr>
            <w:rStyle w:val="Hyperlink"/>
            <w:sz w:val="22"/>
            <w:szCs w:val="18"/>
          </w:rPr>
          <w:t>www.itu.int/ipr/</w:t>
        </w:r>
      </w:hyperlink>
      <w:r w:rsidRPr="000B569F">
        <w:rPr>
          <w:sz w:val="22"/>
          <w:szCs w:val="18"/>
        </w:rPr>
        <w:t>.</w:t>
      </w:r>
    </w:p>
    <w:p w14:paraId="05E4707F" w14:textId="77777777" w:rsidR="007B6316" w:rsidRPr="000B569F" w:rsidRDefault="007B6316" w:rsidP="007B6316">
      <w:pPr>
        <w:rPr>
          <w:sz w:val="22"/>
          <w:szCs w:val="18"/>
        </w:rPr>
      </w:pPr>
      <w:r w:rsidRPr="000B569F">
        <w:rPr>
          <w:sz w:val="22"/>
          <w:szCs w:val="18"/>
        </w:rPr>
        <w:lastRenderedPageBreak/>
        <w:t>Atentamente,</w:t>
      </w:r>
    </w:p>
    <w:p w14:paraId="0B0286BE" w14:textId="072AAD25" w:rsidR="00401C20" w:rsidRPr="000B569F" w:rsidRDefault="000B0D36" w:rsidP="000B569F">
      <w:pPr>
        <w:spacing w:before="720"/>
        <w:rPr>
          <w:sz w:val="22"/>
          <w:szCs w:val="18"/>
        </w:rPr>
      </w:pPr>
      <w:r>
        <w:rPr>
          <w:noProof/>
          <w:sz w:val="22"/>
          <w:szCs w:val="18"/>
        </w:rPr>
        <w:drawing>
          <wp:anchor distT="0" distB="0" distL="114300" distR="114300" simplePos="0" relativeHeight="251658240" behindDoc="1" locked="0" layoutInCell="1" allowOverlap="1" wp14:anchorId="0B412615" wp14:editId="2CEF83A3">
            <wp:simplePos x="0" y="0"/>
            <wp:positionH relativeFrom="margin">
              <wp:align>left</wp:align>
            </wp:positionH>
            <wp:positionV relativeFrom="paragraph">
              <wp:posOffset>93345</wp:posOffset>
            </wp:positionV>
            <wp:extent cx="825542" cy="330217"/>
            <wp:effectExtent l="0" t="0" r="0" b="0"/>
            <wp:wrapNone/>
            <wp:docPr id="24498058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80588" name="Picture 1"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0B569F">
        <w:rPr>
          <w:sz w:val="22"/>
          <w:szCs w:val="18"/>
        </w:rPr>
        <w:t>Seizo Onoe</w:t>
      </w:r>
      <w:r w:rsidR="007B6316" w:rsidRPr="000B569F">
        <w:rPr>
          <w:sz w:val="22"/>
          <w:szCs w:val="18"/>
        </w:rPr>
        <w:br/>
      </w:r>
      <w:proofErr w:type="gramStart"/>
      <w:r w:rsidR="007B6316" w:rsidRPr="000B569F">
        <w:rPr>
          <w:sz w:val="22"/>
          <w:szCs w:val="18"/>
        </w:rPr>
        <w:t>Director</w:t>
      </w:r>
      <w:proofErr w:type="gramEnd"/>
      <w:r w:rsidR="007B6316" w:rsidRPr="000B569F">
        <w:rPr>
          <w:sz w:val="22"/>
          <w:szCs w:val="18"/>
        </w:rPr>
        <w:t xml:space="preserve"> de la Oficina de </w:t>
      </w:r>
      <w:r w:rsidR="007B6316" w:rsidRPr="000B569F">
        <w:rPr>
          <w:sz w:val="22"/>
          <w:szCs w:val="18"/>
        </w:rPr>
        <w:br/>
        <w:t>Normalización de las Telecomunicaciones</w:t>
      </w:r>
    </w:p>
    <w:p w14:paraId="232838A7" w14:textId="6E7EE17E" w:rsidR="00A46881" w:rsidRPr="000B569F" w:rsidRDefault="00A46881" w:rsidP="00A46881">
      <w:pPr>
        <w:spacing w:before="1440"/>
        <w:rPr>
          <w:sz w:val="22"/>
          <w:szCs w:val="18"/>
        </w:rPr>
      </w:pPr>
      <w:r w:rsidRPr="000B569F">
        <w:rPr>
          <w:b/>
          <w:bCs/>
          <w:sz w:val="22"/>
          <w:szCs w:val="18"/>
        </w:rPr>
        <w:t>Anexos:</w:t>
      </w:r>
      <w:r w:rsidRPr="000B569F">
        <w:rPr>
          <w:sz w:val="22"/>
          <w:szCs w:val="18"/>
        </w:rPr>
        <w:t xml:space="preserve"> 2</w:t>
      </w:r>
    </w:p>
    <w:p w14:paraId="5F163E18" w14:textId="456A8975" w:rsidR="00101541" w:rsidRPr="000B569F" w:rsidRDefault="00101541" w:rsidP="00101541">
      <w:pPr>
        <w:rPr>
          <w:sz w:val="22"/>
          <w:szCs w:val="18"/>
        </w:rPr>
      </w:pPr>
      <w:r w:rsidRPr="000B569F">
        <w:rPr>
          <w:sz w:val="22"/>
          <w:szCs w:val="18"/>
        </w:rPr>
        <w:br w:type="page"/>
      </w:r>
    </w:p>
    <w:p w14:paraId="3C75C7BF" w14:textId="77777777" w:rsidR="00A46881" w:rsidRPr="00A46881" w:rsidRDefault="00A46881" w:rsidP="000928E5">
      <w:pPr>
        <w:pStyle w:val="AnnexNotitle"/>
      </w:pPr>
      <w:r w:rsidRPr="00A46881">
        <w:lastRenderedPageBreak/>
        <w:t>Anexo 1</w:t>
      </w:r>
      <w:r w:rsidRPr="00A46881">
        <w:br/>
        <w:t>Resumen y ubicación de los proyectos de nuevas Recomendaciones UIT-T Y.3188, Y.3221 e Y.3222 determinados</w:t>
      </w:r>
    </w:p>
    <w:p w14:paraId="0D7CBB76" w14:textId="0C5958E5" w:rsidR="00A46881" w:rsidRPr="00A46881" w:rsidRDefault="00A46881" w:rsidP="000928E5">
      <w:pPr>
        <w:pStyle w:val="Heading1"/>
      </w:pPr>
      <w:r w:rsidRPr="00A46881">
        <w:t>1</w:t>
      </w:r>
      <w:r w:rsidRPr="00A46881">
        <w:tab/>
        <w:t>Proyecto de nueva Recomendación UIT-T Y.3188 (ex Y.LDT-reqs-funcs), [</w:t>
      </w:r>
      <w:hyperlink r:id="rId13" w:history="1">
        <w:r w:rsidRPr="00A46881">
          <w:rPr>
            <w:rStyle w:val="Hyperlink"/>
          </w:rPr>
          <w:t>SG13-R8</w:t>
        </w:r>
      </w:hyperlink>
      <w:r w:rsidRPr="00A46881">
        <w:t>]</w:t>
      </w:r>
    </w:p>
    <w:p w14:paraId="053065E1" w14:textId="77777777" w:rsidR="00A46881" w:rsidRPr="00A46881" w:rsidRDefault="00A46881" w:rsidP="000928E5">
      <w:r w:rsidRPr="00A46881">
        <w:t xml:space="preserve">Redes IMT-2020 y posteriores </w:t>
      </w:r>
      <w:r w:rsidRPr="000928E5">
        <w:t>–</w:t>
      </w:r>
      <w:r w:rsidRPr="00A46881">
        <w:t xml:space="preserve"> Requisitos y funciones para aplicaciones que exigen grandes transmisiones de datos</w:t>
      </w:r>
    </w:p>
    <w:p w14:paraId="2CC10B35" w14:textId="77777777" w:rsidR="00A46881" w:rsidRPr="00A46881" w:rsidRDefault="00A46881" w:rsidP="000928E5">
      <w:pPr>
        <w:pStyle w:val="Headingb0"/>
      </w:pPr>
      <w:r w:rsidRPr="00A46881">
        <w:t>Resumen</w:t>
      </w:r>
    </w:p>
    <w:p w14:paraId="04D7B903" w14:textId="77777777" w:rsidR="00A46881" w:rsidRPr="00A46881" w:rsidRDefault="00A46881" w:rsidP="00A46881">
      <w:r w:rsidRPr="00A46881">
        <w:t>La continua nubificación de las TIC empresariales y el constante despliegue de sensores industriales avanzados y de aplicaciones de realidad virtual (RV) e inteligencia artificial (IA) hacen que cada vez sea necesario transmitir más datos desde las sucursales y los usuarios individuales a la nube para su procesamiento y que el cálculo de los resultados sea rápido para facilitar la retroinformación y la colaboración. Todas esas aplicaciones exigen grandes transmisiones de datos en redes de extremo a extremo. Las redes de extremo a extremo deben ofrecer nuevas funciones para soportar las aplicaciones que exigen grandes transmisiones de datos.</w:t>
      </w:r>
    </w:p>
    <w:p w14:paraId="62E169E0" w14:textId="5BE26910" w:rsidR="00A46881" w:rsidRPr="00A46881" w:rsidRDefault="00A46881" w:rsidP="00A46881">
      <w:r w:rsidRPr="00A46881">
        <w:t>En esta Recomendación se exponen las aplicaciones que exigen grandes transmisiones de datos, se analizan las características de aplicación comunes y se identifican los requisitos conexos para las redes IMT</w:t>
      </w:r>
      <w:r w:rsidR="001572B5">
        <w:noBreakHyphen/>
      </w:r>
      <w:r w:rsidRPr="00A46881">
        <w:t>2020 y posteriores. De acuerdo con los requisitos, las funciones de red mejoradas y las nuevas funciones para el soporte de aplicaciones que exigen grandes transmisiones de datos se especifican en relación con las funciones de las redes</w:t>
      </w:r>
      <w:r w:rsidR="00927149">
        <w:t> </w:t>
      </w:r>
      <w:r w:rsidRPr="00A46881">
        <w:t>IMT</w:t>
      </w:r>
      <w:r w:rsidR="00927149">
        <w:noBreakHyphen/>
      </w:r>
      <w:r w:rsidRPr="00A46881">
        <w:t>2020 y posteriores especificadas en</w:t>
      </w:r>
      <w:r w:rsidR="001572B5">
        <w:t> </w:t>
      </w:r>
      <w:r w:rsidRPr="00A46881">
        <w:t>UIT</w:t>
      </w:r>
      <w:r w:rsidR="001572B5">
        <w:noBreakHyphen/>
      </w:r>
      <w:r w:rsidRPr="00A46881">
        <w:t>T Y.3102.</w:t>
      </w:r>
    </w:p>
    <w:p w14:paraId="7CA7A2A5" w14:textId="4DC89850" w:rsidR="00A46881" w:rsidRPr="00A46881" w:rsidRDefault="00A46881" w:rsidP="000928E5">
      <w:pPr>
        <w:pStyle w:val="Note"/>
      </w:pPr>
      <w:r w:rsidRPr="00A46881">
        <w:t>NOTA</w:t>
      </w:r>
      <w:r w:rsidR="000928E5">
        <w:t> </w:t>
      </w:r>
      <w:r w:rsidRPr="00A46881">
        <w:t>1 – Esta Recomendación se centra en la especificación de requisitos y funciones de red en una perspectiva de red de extremo a extremo y no pretende considerar específicamente la implementación de esas funciones de red, ni siquiera con las tecnologías o protocolos actuales y/o futuros. Se prevé que la implementación de esas funciones de red sea normalizada por otros organismos de normalización.</w:t>
      </w:r>
    </w:p>
    <w:p w14:paraId="46177FD7" w14:textId="26FCDD75" w:rsidR="00A46881" w:rsidRPr="00A46881" w:rsidRDefault="00A46881" w:rsidP="000928E5">
      <w:pPr>
        <w:pStyle w:val="Note"/>
      </w:pPr>
      <w:r w:rsidRPr="00A46881">
        <w:t>NOTA</w:t>
      </w:r>
      <w:r w:rsidR="000928E5">
        <w:t> </w:t>
      </w:r>
      <w:r w:rsidRPr="00A46881">
        <w:t>2 – Las aplicaciones que generan grandes cantidades de datos y la infraestructura de red que las alberga serán responsables de garantizar adecuadamente la privacidad de los datos. Los aspectos relativos a la privacidad de los datos quedan fuera del alcance de esta Recomendación.</w:t>
      </w:r>
    </w:p>
    <w:p w14:paraId="0E90242A" w14:textId="74B10FA4" w:rsidR="00A46881" w:rsidRPr="00A46881" w:rsidRDefault="00A46881" w:rsidP="000928E5">
      <w:pPr>
        <w:pStyle w:val="Heading1"/>
      </w:pPr>
      <w:r w:rsidRPr="00A46881">
        <w:t>2</w:t>
      </w:r>
      <w:r w:rsidRPr="00A46881">
        <w:tab/>
        <w:t>Proyecto de nueva Recomendación UIT-T Y.3221 (ex Y.FMSC-LDS) [</w:t>
      </w:r>
      <w:hyperlink r:id="rId14" w:history="1">
        <w:r w:rsidRPr="00A46881">
          <w:rPr>
            <w:rStyle w:val="Hyperlink"/>
          </w:rPr>
          <w:t>SG13-R9</w:t>
        </w:r>
      </w:hyperlink>
      <w:r w:rsidRPr="00A46881">
        <w:t>]</w:t>
      </w:r>
    </w:p>
    <w:p w14:paraId="4AC8168E" w14:textId="0FC2E7CE" w:rsidR="00A46881" w:rsidRPr="00A46881" w:rsidRDefault="00A46881" w:rsidP="00A46881">
      <w:r w:rsidRPr="00A46881">
        <w:t xml:space="preserve">Convergencia de tecnologías fijas, móviles y satelitales </w:t>
      </w:r>
      <w:r w:rsidR="001572B5">
        <w:t>–</w:t>
      </w:r>
      <w:r w:rsidRPr="00A46881">
        <w:t xml:space="preserve"> Conmutación local de datos para redes IMT-2020 y posteriores</w:t>
      </w:r>
    </w:p>
    <w:p w14:paraId="7916215F" w14:textId="77777777" w:rsidR="00A46881" w:rsidRPr="00A46881" w:rsidRDefault="00A46881" w:rsidP="000928E5">
      <w:pPr>
        <w:pStyle w:val="Headingb0"/>
      </w:pPr>
      <w:r w:rsidRPr="00A46881">
        <w:t>Resumen</w:t>
      </w:r>
    </w:p>
    <w:p w14:paraId="610B26E8" w14:textId="094D4E84" w:rsidR="00A46881" w:rsidRPr="00A46881" w:rsidRDefault="00A46881" w:rsidP="00A46881">
      <w:r w:rsidRPr="00A46881">
        <w:t>La conmutación local de datos es una capacidad que permite encaminar y procesar a escala local el tráfico de datos de usuario de los usuarios que acceden a las redes. Por convergencia de tecnologías fijas, móviles y satelitales (FMSC) se entiende la capacidad que proporciona servicios y aplicaciones a los usuarios finales con independencia de las tecnologías de acceso fijas, móviles o por satélite que utilicen. En la presente Recomendación se especifican los requisitos, la arquitectura, los flujos de información y las consideraciones relativas a la seguridad de la conmutación local de datos para la FMSC, en el contexto de las redes</w:t>
      </w:r>
      <w:r w:rsidR="00927149">
        <w:t> </w:t>
      </w:r>
      <w:r w:rsidRPr="00A46881">
        <w:t>IMT</w:t>
      </w:r>
      <w:r w:rsidR="001572B5">
        <w:noBreakHyphen/>
      </w:r>
      <w:r w:rsidRPr="00A46881">
        <w:t>2020 y posteriores.</w:t>
      </w:r>
    </w:p>
    <w:p w14:paraId="03E0739E" w14:textId="35E0C1A4" w:rsidR="00A46881" w:rsidRPr="00A46881" w:rsidRDefault="00A46881" w:rsidP="000928E5">
      <w:pPr>
        <w:pStyle w:val="Heading1"/>
      </w:pPr>
      <w:r w:rsidRPr="00A46881">
        <w:lastRenderedPageBreak/>
        <w:t>3</w:t>
      </w:r>
      <w:r w:rsidRPr="00A46881">
        <w:tab/>
        <w:t>Proyecto de nueva Recomendación UIT-T Y.3222 (ex Y.FMSC-ConTrans) [</w:t>
      </w:r>
      <w:hyperlink r:id="rId15" w:history="1">
        <w:r w:rsidRPr="00A46881">
          <w:rPr>
            <w:rStyle w:val="Hyperlink"/>
          </w:rPr>
          <w:t>SG13-R10</w:t>
        </w:r>
      </w:hyperlink>
      <w:r w:rsidRPr="00A46881">
        <w:t>]</w:t>
      </w:r>
    </w:p>
    <w:p w14:paraId="54C02600" w14:textId="33ADFCBD" w:rsidR="00A46881" w:rsidRPr="00A46881" w:rsidRDefault="00A46881" w:rsidP="00A46881">
      <w:r w:rsidRPr="00A46881">
        <w:t xml:space="preserve">Convergencia de tecnologías fijas, móviles y satelitales </w:t>
      </w:r>
      <w:r w:rsidR="000928E5">
        <w:t>–</w:t>
      </w:r>
      <w:r w:rsidRPr="00A46881">
        <w:t xml:space="preserve"> Requisitos y arquitectura funcional de la entidad de control unificado basado en el modelo de transformador</w:t>
      </w:r>
    </w:p>
    <w:p w14:paraId="6A7EB147" w14:textId="77777777" w:rsidR="00A46881" w:rsidRPr="00A46881" w:rsidRDefault="00A46881" w:rsidP="000928E5">
      <w:pPr>
        <w:pStyle w:val="Headingb0"/>
      </w:pPr>
      <w:r w:rsidRPr="00A46881">
        <w:t>Resumen</w:t>
      </w:r>
    </w:p>
    <w:p w14:paraId="1963E47C" w14:textId="77777777" w:rsidR="00A46881" w:rsidRPr="00A46881" w:rsidRDefault="00A46881" w:rsidP="00A46881">
      <w:r w:rsidRPr="00A46881">
        <w:t>Una de las soluciones para los problemas del control unificado es la entidad de control basado en el modelo de transformador. Cuando las funciones de control de red se ejecutan con la ayuda del modelo de transformador, se pueden conseguir las siguientes ventajas: el control unificado de toda la red, la gran extensibilidad, la reducción de los costes de implementación, la unificación de la interfaz y la mejora del servicio de extremo a extremo. Por consiguiente, es bueno que la función de control de red sea convergente con las tecnologías relacionadas con el modelo de transformador; y resulta beneficioso y apropiado implementar funciones de control de red basadas en el modelo de transformador.</w:t>
      </w:r>
    </w:p>
    <w:p w14:paraId="28412DE8" w14:textId="77777777" w:rsidR="00A46881" w:rsidRPr="00A46881" w:rsidRDefault="00A46881" w:rsidP="00A46881">
      <w:r w:rsidRPr="00A46881">
        <w:t>La convergencia fija, móvil y por satélite (FMSC) es la capacidad que permite proporcionar servicios y aplicaciones a los usuarios finales con independencia de las tecnologías de acceso utilizadas (fijas, móviles o por satélite). En esta Recomendación se especifica el modelo básico, los requisitos funcionales, la arquitectura funcional y las interfaces de la entidad de control unificado basado en el modelo de transformador (TUCE) para la red FMSC y otras redes heterogéneas.</w:t>
      </w:r>
    </w:p>
    <w:p w14:paraId="678AF459" w14:textId="77777777" w:rsidR="00A46881" w:rsidRPr="00A46881" w:rsidRDefault="00A46881" w:rsidP="00A46881">
      <w:pPr>
        <w:rPr>
          <w:lang w:val="es-ES"/>
        </w:rPr>
      </w:pPr>
      <w:r w:rsidRPr="00A46881">
        <w:rPr>
          <w:lang w:val="es-ES"/>
        </w:rPr>
        <w:br w:type="page"/>
      </w:r>
    </w:p>
    <w:p w14:paraId="58CCD6B8" w14:textId="64642D68" w:rsidR="00A46881" w:rsidRPr="00A46881" w:rsidRDefault="00A46881" w:rsidP="0026602C">
      <w:pPr>
        <w:pStyle w:val="AnnexNotitle"/>
        <w:spacing w:after="240"/>
      </w:pPr>
      <w:r w:rsidRPr="00A46881">
        <w:lastRenderedPageBreak/>
        <w:t>Anexo 2</w:t>
      </w:r>
      <w:r w:rsidRPr="00A46881">
        <w:br/>
        <w:t>Asunto: Respuesta del Estado Miembro a la Circular TSB 65:</w:t>
      </w:r>
      <w:r w:rsidRPr="00A46881">
        <w:br/>
        <w:t xml:space="preserve">Consulta sobre los </w:t>
      </w:r>
      <w:r w:rsidRPr="00A46881">
        <w:rPr>
          <w:bCs/>
        </w:rPr>
        <w:t>proyectos de nuevas Recomendaciones</w:t>
      </w:r>
      <w:r w:rsidRPr="00A46881">
        <w:t xml:space="preserve"> UIT-T Y.3188 (ex</w:t>
      </w:r>
      <w:r w:rsidR="0026602C">
        <w:t> </w:t>
      </w:r>
      <w:r w:rsidRPr="00A46881">
        <w:t>Y.LDT</w:t>
      </w:r>
      <w:r w:rsidR="0026602C">
        <w:noBreakHyphen/>
      </w:r>
      <w:r w:rsidRPr="00A46881">
        <w:t>reqs-funcs), UIT-T Y.3221 (ex Y.FMSC-LDS) y UIT-T Y.3222 (ex</w:t>
      </w:r>
      <w:r w:rsidR="0026602C">
        <w:t> </w:t>
      </w:r>
      <w:r w:rsidRPr="00A46881">
        <w:t>Y.FMSC</w:t>
      </w:r>
      <w:r w:rsidR="0026602C">
        <w:noBreakHyphen/>
      </w:r>
      <w:r w:rsidRPr="00A46881">
        <w:t>ConTrans) determinados</w:t>
      </w:r>
    </w:p>
    <w:tbl>
      <w:tblPr>
        <w:tblW w:w="9639" w:type="dxa"/>
        <w:jc w:val="center"/>
        <w:tblLayout w:type="fixed"/>
        <w:tblLook w:val="04A0" w:firstRow="1" w:lastRow="0" w:firstColumn="1" w:lastColumn="0" w:noHBand="0" w:noVBand="1"/>
      </w:tblPr>
      <w:tblGrid>
        <w:gridCol w:w="1137"/>
        <w:gridCol w:w="4247"/>
        <w:gridCol w:w="1239"/>
        <w:gridCol w:w="3016"/>
      </w:tblGrid>
      <w:tr w:rsidR="00A46881" w:rsidRPr="00A46881" w14:paraId="21642A13" w14:textId="77777777" w:rsidTr="0026602C">
        <w:trPr>
          <w:jc w:val="center"/>
        </w:trPr>
        <w:tc>
          <w:tcPr>
            <w:tcW w:w="1169" w:type="dxa"/>
            <w:shd w:val="clear" w:color="auto" w:fill="auto"/>
          </w:tcPr>
          <w:p w14:paraId="45562942" w14:textId="77777777" w:rsidR="00A46881" w:rsidRPr="0026602C" w:rsidRDefault="00A46881" w:rsidP="0026602C">
            <w:pPr>
              <w:pStyle w:val="Tabletext0"/>
              <w:jc w:val="right"/>
              <w:rPr>
                <w:b/>
                <w:bCs/>
              </w:rPr>
            </w:pPr>
            <w:r w:rsidRPr="0026602C">
              <w:rPr>
                <w:b/>
                <w:bCs/>
              </w:rPr>
              <w:t>A:</w:t>
            </w:r>
          </w:p>
        </w:tc>
        <w:tc>
          <w:tcPr>
            <w:tcW w:w="4394" w:type="dxa"/>
            <w:tcBorders>
              <w:right w:val="single" w:sz="8" w:space="0" w:color="auto"/>
            </w:tcBorders>
            <w:shd w:val="clear" w:color="auto" w:fill="auto"/>
          </w:tcPr>
          <w:p w14:paraId="7E4994A1" w14:textId="0CC358EB" w:rsidR="00A46881" w:rsidRPr="00A46881" w:rsidRDefault="00A46881" w:rsidP="0026602C">
            <w:pPr>
              <w:pStyle w:val="Tabletext0"/>
            </w:pPr>
            <w:bookmarkStart w:id="4" w:name="lt_pId115"/>
            <w:r w:rsidRPr="00A46881">
              <w:t xml:space="preserve">Director </w:t>
            </w:r>
            <w:bookmarkStart w:id="5" w:name="lt_pId116"/>
            <w:bookmarkEnd w:id="4"/>
            <w:r w:rsidRPr="00A46881">
              <w:t>de la</w:t>
            </w:r>
            <w:r w:rsidR="0026602C">
              <w:br/>
            </w:r>
            <w:r w:rsidRPr="00A46881">
              <w:t>Oficina de Normalización de las Telecomunicaciones,</w:t>
            </w:r>
            <w:bookmarkEnd w:id="5"/>
            <w:r w:rsidR="0026602C">
              <w:br/>
            </w:r>
            <w:r w:rsidRPr="00A46881">
              <w:t>Unión Internacional de Telecomunicaciones</w:t>
            </w:r>
            <w:bookmarkStart w:id="6" w:name="lt_pId118"/>
            <w:r w:rsidR="0026602C">
              <w:br/>
            </w:r>
            <w:r w:rsidRPr="00A46881">
              <w:t>Place des Nations</w:t>
            </w:r>
            <w:bookmarkStart w:id="7" w:name="lt_pId119"/>
            <w:bookmarkEnd w:id="6"/>
            <w:r w:rsidR="0026602C">
              <w:br/>
            </w:r>
            <w:r w:rsidRPr="00A46881">
              <w:t xml:space="preserve">CH 1211 Ginebra 20, </w:t>
            </w:r>
            <w:bookmarkEnd w:id="7"/>
            <w:r w:rsidRPr="00A46881">
              <w:t>Suiza</w:t>
            </w:r>
          </w:p>
        </w:tc>
        <w:tc>
          <w:tcPr>
            <w:tcW w:w="1276" w:type="dxa"/>
            <w:tcBorders>
              <w:left w:val="single" w:sz="8" w:space="0" w:color="auto"/>
            </w:tcBorders>
            <w:shd w:val="clear" w:color="auto" w:fill="auto"/>
          </w:tcPr>
          <w:p w14:paraId="67D7E5AA" w14:textId="77777777" w:rsidR="00A46881" w:rsidRPr="0026602C" w:rsidRDefault="00A46881" w:rsidP="0026602C">
            <w:pPr>
              <w:pStyle w:val="Tabletext0"/>
              <w:jc w:val="right"/>
              <w:rPr>
                <w:b/>
                <w:bCs/>
              </w:rPr>
            </w:pPr>
            <w:bookmarkStart w:id="8" w:name="lt_pId120"/>
            <w:r w:rsidRPr="0026602C">
              <w:rPr>
                <w:b/>
                <w:bCs/>
              </w:rPr>
              <w:t>De:</w:t>
            </w:r>
            <w:bookmarkEnd w:id="8"/>
          </w:p>
        </w:tc>
        <w:tc>
          <w:tcPr>
            <w:tcW w:w="3118" w:type="dxa"/>
            <w:shd w:val="clear" w:color="auto" w:fill="auto"/>
          </w:tcPr>
          <w:p w14:paraId="7CD20DB1" w14:textId="2C73019F" w:rsidR="00A46881" w:rsidRPr="00A46881" w:rsidRDefault="00A46881" w:rsidP="0026602C">
            <w:pPr>
              <w:pStyle w:val="Tabletext0"/>
            </w:pPr>
            <w:bookmarkStart w:id="9" w:name="lt_pId121"/>
            <w:r w:rsidRPr="0026602C">
              <w:rPr>
                <w:highlight w:val="green"/>
              </w:rPr>
              <w:t>[Nombre]</w:t>
            </w:r>
            <w:bookmarkStart w:id="10" w:name="lt_pId122"/>
            <w:bookmarkEnd w:id="9"/>
            <w:r w:rsidR="0026602C" w:rsidRPr="0026602C">
              <w:rPr>
                <w:highlight w:val="green"/>
              </w:rPr>
              <w:br/>
            </w:r>
            <w:r w:rsidRPr="0026602C">
              <w:rPr>
                <w:highlight w:val="green"/>
              </w:rPr>
              <w:t>[Cargo oficial/</w:t>
            </w:r>
            <w:r w:rsidR="00CE6448" w:rsidRPr="0026602C">
              <w:rPr>
                <w:highlight w:val="green"/>
              </w:rPr>
              <w:t>t</w:t>
            </w:r>
            <w:r w:rsidRPr="0026602C">
              <w:rPr>
                <w:highlight w:val="green"/>
              </w:rPr>
              <w:t>ítulo]</w:t>
            </w:r>
            <w:bookmarkStart w:id="11" w:name="lt_pId123"/>
            <w:bookmarkEnd w:id="10"/>
            <w:r w:rsidR="0026602C" w:rsidRPr="0026602C">
              <w:rPr>
                <w:highlight w:val="green"/>
              </w:rPr>
              <w:br/>
            </w:r>
            <w:r w:rsidRPr="0026602C">
              <w:rPr>
                <w:highlight w:val="green"/>
              </w:rPr>
              <w:t>[Dirección]</w:t>
            </w:r>
            <w:bookmarkEnd w:id="11"/>
          </w:p>
        </w:tc>
      </w:tr>
      <w:tr w:rsidR="00A46881" w:rsidRPr="00A46881" w14:paraId="08B0C6F7" w14:textId="77777777" w:rsidTr="0026602C">
        <w:trPr>
          <w:jc w:val="center"/>
        </w:trPr>
        <w:tc>
          <w:tcPr>
            <w:tcW w:w="1169" w:type="dxa"/>
            <w:shd w:val="clear" w:color="auto" w:fill="auto"/>
          </w:tcPr>
          <w:p w14:paraId="4404394D" w14:textId="5557B5F5" w:rsidR="00A46881" w:rsidRPr="0026602C" w:rsidRDefault="00A46881" w:rsidP="0026602C">
            <w:pPr>
              <w:pStyle w:val="Tabletext0"/>
              <w:jc w:val="right"/>
              <w:rPr>
                <w:b/>
                <w:bCs/>
              </w:rPr>
            </w:pPr>
            <w:r w:rsidRPr="0026602C">
              <w:rPr>
                <w:b/>
                <w:bCs/>
              </w:rPr>
              <w:t>Fax:</w:t>
            </w:r>
          </w:p>
        </w:tc>
        <w:tc>
          <w:tcPr>
            <w:tcW w:w="4394" w:type="dxa"/>
            <w:tcBorders>
              <w:right w:val="single" w:sz="8" w:space="0" w:color="auto"/>
            </w:tcBorders>
            <w:shd w:val="clear" w:color="auto" w:fill="auto"/>
          </w:tcPr>
          <w:p w14:paraId="74DD93B4" w14:textId="1CC8E31F" w:rsidR="00A46881" w:rsidRPr="00A46881" w:rsidRDefault="00A46881" w:rsidP="0026602C">
            <w:pPr>
              <w:pStyle w:val="Tabletext0"/>
            </w:pPr>
            <w:r w:rsidRPr="00A46881">
              <w:t>+41</w:t>
            </w:r>
            <w:r w:rsidR="00CE6448">
              <w:t xml:space="preserve"> </w:t>
            </w:r>
            <w:r w:rsidRPr="00A46881">
              <w:t>22</w:t>
            </w:r>
            <w:r w:rsidR="00CE6448">
              <w:t xml:space="preserve"> </w:t>
            </w:r>
            <w:r w:rsidRPr="00A46881">
              <w:t>730</w:t>
            </w:r>
            <w:r w:rsidR="00CE6448">
              <w:t xml:space="preserve"> </w:t>
            </w:r>
            <w:r w:rsidRPr="00A46881">
              <w:t>5853</w:t>
            </w:r>
          </w:p>
        </w:tc>
        <w:tc>
          <w:tcPr>
            <w:tcW w:w="1276" w:type="dxa"/>
            <w:tcBorders>
              <w:left w:val="single" w:sz="8" w:space="0" w:color="auto"/>
            </w:tcBorders>
            <w:shd w:val="clear" w:color="auto" w:fill="auto"/>
          </w:tcPr>
          <w:p w14:paraId="6C609610" w14:textId="0A81B921" w:rsidR="00A46881" w:rsidRPr="0026602C" w:rsidRDefault="00A46881" w:rsidP="0026602C">
            <w:pPr>
              <w:pStyle w:val="Tabletext0"/>
              <w:jc w:val="right"/>
              <w:rPr>
                <w:b/>
                <w:bCs/>
              </w:rPr>
            </w:pPr>
            <w:bookmarkStart w:id="12" w:name="lt_pId128"/>
            <w:r w:rsidRPr="0026602C">
              <w:rPr>
                <w:b/>
                <w:bCs/>
              </w:rPr>
              <w:t>Fax:</w:t>
            </w:r>
            <w:bookmarkEnd w:id="12"/>
          </w:p>
        </w:tc>
        <w:tc>
          <w:tcPr>
            <w:tcW w:w="3118" w:type="dxa"/>
            <w:shd w:val="clear" w:color="auto" w:fill="auto"/>
          </w:tcPr>
          <w:p w14:paraId="5069DF85" w14:textId="77777777" w:rsidR="00A46881" w:rsidRPr="00A46881" w:rsidRDefault="00A46881" w:rsidP="0026602C">
            <w:pPr>
              <w:pStyle w:val="Tabletext0"/>
            </w:pPr>
          </w:p>
        </w:tc>
      </w:tr>
      <w:tr w:rsidR="0026602C" w:rsidRPr="00A46881" w14:paraId="353A5C74" w14:textId="77777777" w:rsidTr="0026602C">
        <w:trPr>
          <w:jc w:val="center"/>
        </w:trPr>
        <w:tc>
          <w:tcPr>
            <w:tcW w:w="1169" w:type="dxa"/>
            <w:shd w:val="clear" w:color="auto" w:fill="auto"/>
          </w:tcPr>
          <w:p w14:paraId="2A245196" w14:textId="70B1B550" w:rsidR="0026602C" w:rsidRPr="0026602C" w:rsidRDefault="0026602C" w:rsidP="0026602C">
            <w:pPr>
              <w:pStyle w:val="Tabletext0"/>
              <w:jc w:val="right"/>
              <w:rPr>
                <w:b/>
                <w:bCs/>
              </w:rPr>
            </w:pPr>
            <w:r w:rsidRPr="0026602C">
              <w:rPr>
                <w:b/>
                <w:bCs/>
              </w:rPr>
              <w:t>Correo-e:</w:t>
            </w:r>
          </w:p>
        </w:tc>
        <w:tc>
          <w:tcPr>
            <w:tcW w:w="4394" w:type="dxa"/>
            <w:tcBorders>
              <w:right w:val="single" w:sz="8" w:space="0" w:color="auto"/>
            </w:tcBorders>
            <w:shd w:val="clear" w:color="auto" w:fill="auto"/>
          </w:tcPr>
          <w:p w14:paraId="4E5AB651" w14:textId="5ED2BADE" w:rsidR="0026602C" w:rsidRPr="00A46881" w:rsidRDefault="0026602C" w:rsidP="0026602C">
            <w:pPr>
              <w:pStyle w:val="Tabletext0"/>
            </w:pPr>
            <w:hyperlink r:id="rId16" w:history="1">
              <w:bookmarkStart w:id="13" w:name="lt_pId127"/>
              <w:r w:rsidRPr="00A46881">
                <w:rPr>
                  <w:rStyle w:val="Hyperlink"/>
                </w:rPr>
                <w:t>tsbdir@itu.int</w:t>
              </w:r>
              <w:bookmarkEnd w:id="13"/>
            </w:hyperlink>
          </w:p>
        </w:tc>
        <w:tc>
          <w:tcPr>
            <w:tcW w:w="1276" w:type="dxa"/>
            <w:tcBorders>
              <w:left w:val="single" w:sz="8" w:space="0" w:color="auto"/>
            </w:tcBorders>
            <w:shd w:val="clear" w:color="auto" w:fill="auto"/>
          </w:tcPr>
          <w:p w14:paraId="09111E91" w14:textId="1892890F" w:rsidR="0026602C" w:rsidRPr="0026602C" w:rsidRDefault="0026602C" w:rsidP="0026602C">
            <w:pPr>
              <w:pStyle w:val="Tabletext0"/>
              <w:jc w:val="right"/>
              <w:rPr>
                <w:b/>
                <w:bCs/>
              </w:rPr>
            </w:pPr>
            <w:bookmarkStart w:id="14" w:name="lt_pId129"/>
            <w:r w:rsidRPr="0026602C">
              <w:rPr>
                <w:b/>
                <w:bCs/>
              </w:rPr>
              <w:t>Correo-e:</w:t>
            </w:r>
            <w:bookmarkEnd w:id="14"/>
          </w:p>
        </w:tc>
        <w:tc>
          <w:tcPr>
            <w:tcW w:w="3118" w:type="dxa"/>
            <w:shd w:val="clear" w:color="auto" w:fill="auto"/>
          </w:tcPr>
          <w:p w14:paraId="70CE4BAF" w14:textId="77777777" w:rsidR="0026602C" w:rsidRPr="00A46881" w:rsidRDefault="0026602C" w:rsidP="0026602C">
            <w:pPr>
              <w:pStyle w:val="Tabletext0"/>
            </w:pPr>
          </w:p>
        </w:tc>
      </w:tr>
      <w:tr w:rsidR="00A46881" w:rsidRPr="00A46881" w14:paraId="26C2927D" w14:textId="77777777" w:rsidTr="0026602C">
        <w:trPr>
          <w:jc w:val="center"/>
        </w:trPr>
        <w:tc>
          <w:tcPr>
            <w:tcW w:w="1169" w:type="dxa"/>
            <w:shd w:val="clear" w:color="auto" w:fill="auto"/>
          </w:tcPr>
          <w:p w14:paraId="00CD9673" w14:textId="77777777" w:rsidR="00A46881" w:rsidRPr="0026602C" w:rsidRDefault="00A46881" w:rsidP="0026602C">
            <w:pPr>
              <w:pStyle w:val="Tabletext0"/>
              <w:jc w:val="right"/>
              <w:rPr>
                <w:b/>
                <w:bCs/>
              </w:rPr>
            </w:pPr>
          </w:p>
        </w:tc>
        <w:tc>
          <w:tcPr>
            <w:tcW w:w="4394" w:type="dxa"/>
            <w:tcBorders>
              <w:right w:val="single" w:sz="8" w:space="0" w:color="auto"/>
            </w:tcBorders>
            <w:shd w:val="clear" w:color="auto" w:fill="auto"/>
          </w:tcPr>
          <w:p w14:paraId="6A116D67" w14:textId="77777777" w:rsidR="00A46881" w:rsidRPr="00A46881" w:rsidRDefault="00A46881" w:rsidP="0026602C">
            <w:pPr>
              <w:pStyle w:val="Tabletext0"/>
            </w:pPr>
          </w:p>
        </w:tc>
        <w:tc>
          <w:tcPr>
            <w:tcW w:w="1276" w:type="dxa"/>
            <w:tcBorders>
              <w:left w:val="single" w:sz="8" w:space="0" w:color="auto"/>
            </w:tcBorders>
            <w:shd w:val="clear" w:color="auto" w:fill="auto"/>
          </w:tcPr>
          <w:p w14:paraId="399EE807" w14:textId="77777777" w:rsidR="00A46881" w:rsidRPr="0026602C" w:rsidRDefault="00A46881" w:rsidP="0026602C">
            <w:pPr>
              <w:pStyle w:val="Tabletext0"/>
              <w:jc w:val="right"/>
              <w:rPr>
                <w:b/>
                <w:bCs/>
              </w:rPr>
            </w:pPr>
            <w:bookmarkStart w:id="15" w:name="lt_pId130"/>
            <w:r w:rsidRPr="0026602C">
              <w:rPr>
                <w:b/>
                <w:bCs/>
              </w:rPr>
              <w:t>Fecha:</w:t>
            </w:r>
            <w:bookmarkEnd w:id="15"/>
          </w:p>
        </w:tc>
        <w:tc>
          <w:tcPr>
            <w:tcW w:w="3118" w:type="dxa"/>
            <w:shd w:val="clear" w:color="auto" w:fill="auto"/>
          </w:tcPr>
          <w:p w14:paraId="20383128" w14:textId="77777777" w:rsidR="00A46881" w:rsidRPr="00A46881" w:rsidRDefault="00A46881" w:rsidP="0026602C">
            <w:pPr>
              <w:pStyle w:val="Tabletext0"/>
            </w:pPr>
            <w:bookmarkStart w:id="16" w:name="lt_pId131"/>
            <w:r w:rsidRPr="0026602C">
              <w:rPr>
                <w:highlight w:val="green"/>
              </w:rPr>
              <w:t>[Lugar,] [Fecha]</w:t>
            </w:r>
            <w:bookmarkEnd w:id="16"/>
          </w:p>
        </w:tc>
      </w:tr>
    </w:tbl>
    <w:p w14:paraId="117A9FC7" w14:textId="77777777" w:rsidR="00A46881" w:rsidRPr="00A46881" w:rsidRDefault="00A46881" w:rsidP="0026602C">
      <w:pPr>
        <w:pStyle w:val="Normalaftertitle"/>
      </w:pPr>
      <w:bookmarkStart w:id="17" w:name="lt_pId132"/>
      <w:r w:rsidRPr="00A46881">
        <w:t>Muy Señora mía/Muy Señor mío:</w:t>
      </w:r>
      <w:bookmarkEnd w:id="17"/>
    </w:p>
    <w:p w14:paraId="28504B05" w14:textId="0DBC841F" w:rsidR="00A46881" w:rsidRPr="00A46881" w:rsidRDefault="00A46881" w:rsidP="000928E5">
      <w:pPr>
        <w:spacing w:after="120"/>
      </w:pPr>
      <w:r w:rsidRPr="00A46881">
        <w:t>En lo que respecta a la consulta a los Estados Miembros sobre los proyectos de textos determinados que figuran en la Circular</w:t>
      </w:r>
      <w:r w:rsidR="0026602C">
        <w:t> </w:t>
      </w:r>
      <w:r w:rsidRPr="00A46881">
        <w:t>TSB</w:t>
      </w:r>
      <w:r w:rsidR="0026602C">
        <w:t> </w:t>
      </w:r>
      <w:r w:rsidRPr="00A46881">
        <w:t>65, deseo informarle de la opinión de esta Administración, que se refleja en el siguiente cuadro: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7102"/>
      </w:tblGrid>
      <w:tr w:rsidR="00A46881" w:rsidRPr="00A46881" w14:paraId="71E8F587" w14:textId="77777777" w:rsidTr="0026602C">
        <w:trPr>
          <w:tblHeader/>
          <w:jc w:val="center"/>
        </w:trPr>
        <w:tc>
          <w:tcPr>
            <w:tcW w:w="2534" w:type="dxa"/>
            <w:shd w:val="clear" w:color="auto" w:fill="auto"/>
            <w:vAlign w:val="center"/>
          </w:tcPr>
          <w:p w14:paraId="2B5ABB5C" w14:textId="77777777" w:rsidR="00A46881" w:rsidRPr="00A46881" w:rsidRDefault="00A46881" w:rsidP="0026602C">
            <w:pPr>
              <w:pStyle w:val="Tablehead0"/>
            </w:pPr>
          </w:p>
        </w:tc>
        <w:tc>
          <w:tcPr>
            <w:tcW w:w="7095" w:type="dxa"/>
            <w:shd w:val="clear" w:color="auto" w:fill="auto"/>
            <w:vAlign w:val="center"/>
          </w:tcPr>
          <w:p w14:paraId="52D28945" w14:textId="77777777" w:rsidR="00A46881" w:rsidRPr="00A46881" w:rsidRDefault="00A46881" w:rsidP="0026602C">
            <w:pPr>
              <w:pStyle w:val="Tablehead0"/>
            </w:pPr>
            <w:r w:rsidRPr="00A46881">
              <w:t>Seleccione una de las dos casillas</w:t>
            </w:r>
          </w:p>
        </w:tc>
      </w:tr>
      <w:tr w:rsidR="00A46881" w:rsidRPr="00A46881" w14:paraId="0B9AFE76" w14:textId="77777777" w:rsidTr="0026602C">
        <w:trPr>
          <w:trHeight w:val="748"/>
          <w:jc w:val="center"/>
        </w:trPr>
        <w:tc>
          <w:tcPr>
            <w:tcW w:w="2534" w:type="dxa"/>
            <w:vMerge w:val="restart"/>
            <w:shd w:val="clear" w:color="auto" w:fill="auto"/>
            <w:vAlign w:val="center"/>
          </w:tcPr>
          <w:p w14:paraId="1120379A" w14:textId="0D9AE6C6" w:rsidR="00A46881" w:rsidRPr="0026602C" w:rsidRDefault="00A46881" w:rsidP="0026602C">
            <w:pPr>
              <w:pStyle w:val="Tabletext0"/>
              <w:jc w:val="center"/>
              <w:rPr>
                <w:b/>
                <w:bCs/>
              </w:rPr>
            </w:pPr>
            <w:r w:rsidRPr="0026602C">
              <w:rPr>
                <w:b/>
                <w:bCs/>
              </w:rPr>
              <w:t>Proyecto de nueva Recomendación UIT</w:t>
            </w:r>
            <w:r w:rsidR="001572B5">
              <w:rPr>
                <w:b/>
                <w:bCs/>
              </w:rPr>
              <w:noBreakHyphen/>
            </w:r>
            <w:r w:rsidRPr="0026602C">
              <w:rPr>
                <w:b/>
                <w:bCs/>
              </w:rPr>
              <w:t>T</w:t>
            </w:r>
            <w:r w:rsidR="001572B5">
              <w:rPr>
                <w:b/>
                <w:bCs/>
              </w:rPr>
              <w:t> </w:t>
            </w:r>
            <w:r w:rsidRPr="0026602C">
              <w:rPr>
                <w:b/>
                <w:bCs/>
              </w:rPr>
              <w:t xml:space="preserve">Y.3188 </w:t>
            </w:r>
            <w:r w:rsidRPr="0026602C">
              <w:rPr>
                <w:b/>
                <w:bCs/>
              </w:rPr>
              <w:br/>
              <w:t>(ex</w:t>
            </w:r>
            <w:r w:rsidR="007A6C50">
              <w:rPr>
                <w:b/>
                <w:bCs/>
              </w:rPr>
              <w:t> </w:t>
            </w:r>
            <w:r w:rsidRPr="0026602C">
              <w:rPr>
                <w:b/>
                <w:bCs/>
              </w:rPr>
              <w:t>Y.LDT-reqs-funcs)</w:t>
            </w:r>
          </w:p>
        </w:tc>
        <w:tc>
          <w:tcPr>
            <w:tcW w:w="7095" w:type="dxa"/>
            <w:shd w:val="clear" w:color="auto" w:fill="auto"/>
            <w:vAlign w:val="center"/>
          </w:tcPr>
          <w:p w14:paraId="1C01D6A7" w14:textId="04942B8C" w:rsidR="00A46881" w:rsidRPr="00A46881" w:rsidRDefault="00A46881" w:rsidP="0026602C">
            <w:pPr>
              <w:pStyle w:val="Tabletext0"/>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bookmarkStart w:id="18" w:name="lt_pId136"/>
            <w:r w:rsidR="0026602C" w:rsidRPr="0026602C">
              <w:rPr>
                <w:b/>
                <w:bCs/>
              </w:rPr>
              <w:t>O</w:t>
            </w:r>
            <w:r w:rsidRPr="0026602C">
              <w:rPr>
                <w:b/>
                <w:bCs/>
              </w:rPr>
              <w:t>torga autoridad</w:t>
            </w:r>
            <w:r w:rsidRPr="0026602C">
              <w:t xml:space="preserve"> </w:t>
            </w:r>
            <w:r w:rsidRPr="00A46881">
              <w:t>a la Comisión de Estudio</w:t>
            </w:r>
            <w:r w:rsidR="0026602C">
              <w:t> </w:t>
            </w:r>
            <w:r w:rsidRPr="00A46881">
              <w:t>13 a fin de examinar este texto para aprobación (en cuyo caso seleccionará una de las dos opciones ⃝):</w:t>
            </w:r>
            <w:bookmarkEnd w:id="18"/>
          </w:p>
          <w:p w14:paraId="0D9497FE" w14:textId="77777777" w:rsidR="00A46881" w:rsidRPr="00A46881" w:rsidRDefault="00A46881" w:rsidP="0026602C">
            <w:pPr>
              <w:pStyle w:val="Tabletext0"/>
              <w:ind w:left="482"/>
            </w:pPr>
            <w:r w:rsidRPr="00A46881">
              <w:t>⃝</w:t>
            </w:r>
            <w:r w:rsidRPr="00A46881">
              <w:tab/>
            </w:r>
            <w:bookmarkStart w:id="19" w:name="lt_pId138"/>
            <w:r w:rsidRPr="00A46881">
              <w:t xml:space="preserve">Sin comentarios o </w:t>
            </w:r>
            <w:bookmarkEnd w:id="19"/>
            <w:r w:rsidRPr="00A46881">
              <w:t>propuestas de modificación</w:t>
            </w:r>
          </w:p>
          <w:p w14:paraId="18979E27" w14:textId="77777777" w:rsidR="00A46881" w:rsidRPr="00A46881" w:rsidRDefault="00A46881" w:rsidP="0026602C">
            <w:pPr>
              <w:pStyle w:val="Tabletext0"/>
              <w:ind w:left="482"/>
            </w:pPr>
            <w:r w:rsidRPr="00A46881">
              <w:t>⃝</w:t>
            </w:r>
            <w:r w:rsidRPr="00A46881">
              <w:tab/>
            </w:r>
            <w:bookmarkStart w:id="20" w:name="lt_pId140"/>
            <w:r w:rsidRPr="00A46881">
              <w:t xml:space="preserve">Se adjuntan comentarios o </w:t>
            </w:r>
            <w:bookmarkEnd w:id="20"/>
            <w:r w:rsidRPr="00A46881">
              <w:t>propuestas de modificación</w:t>
            </w:r>
          </w:p>
        </w:tc>
      </w:tr>
      <w:tr w:rsidR="00A46881" w:rsidRPr="00A46881" w14:paraId="37F56E7F" w14:textId="77777777" w:rsidTr="0026602C">
        <w:trPr>
          <w:trHeight w:val="747"/>
          <w:jc w:val="center"/>
        </w:trPr>
        <w:tc>
          <w:tcPr>
            <w:tcW w:w="2534" w:type="dxa"/>
            <w:vMerge/>
            <w:shd w:val="clear" w:color="auto" w:fill="auto"/>
            <w:vAlign w:val="center"/>
          </w:tcPr>
          <w:p w14:paraId="5420A27F" w14:textId="77777777" w:rsidR="00A46881" w:rsidRPr="00A46881" w:rsidRDefault="00A46881" w:rsidP="00A46881">
            <w:pPr>
              <w:rPr>
                <w:b/>
                <w:bCs/>
              </w:rPr>
            </w:pPr>
          </w:p>
        </w:tc>
        <w:tc>
          <w:tcPr>
            <w:tcW w:w="7095" w:type="dxa"/>
            <w:shd w:val="clear" w:color="auto" w:fill="auto"/>
            <w:vAlign w:val="center"/>
          </w:tcPr>
          <w:p w14:paraId="0306D3BB" w14:textId="2FAADED2" w:rsidR="00A46881" w:rsidRPr="00A46881" w:rsidRDefault="00A46881" w:rsidP="0026602C">
            <w:pPr>
              <w:pStyle w:val="Tabletext0"/>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bookmarkStart w:id="21" w:name="lt_pId141"/>
            <w:r w:rsidR="0026602C" w:rsidRPr="0026602C">
              <w:rPr>
                <w:b/>
                <w:bCs/>
              </w:rPr>
              <w:t>N</w:t>
            </w:r>
            <w:r w:rsidRPr="0026602C">
              <w:rPr>
                <w:b/>
                <w:bCs/>
              </w:rPr>
              <w:t>o otorga autoridad</w:t>
            </w:r>
            <w:r w:rsidRPr="0026602C">
              <w:t xml:space="preserve"> </w:t>
            </w:r>
            <w:r w:rsidRPr="00A46881">
              <w:t>a la Comisión de Estudio</w:t>
            </w:r>
            <w:r w:rsidR="0026602C">
              <w:t> </w:t>
            </w:r>
            <w:r w:rsidRPr="00A46881">
              <w:t>13 a fin de examinar este texto para aprobación (se adjuntan los motivos de esta decisión y las posibles modificaciones que permitirían que prosiguieran los trabajos)</w:t>
            </w:r>
            <w:bookmarkEnd w:id="21"/>
          </w:p>
        </w:tc>
      </w:tr>
      <w:tr w:rsidR="0026602C" w:rsidRPr="00A46881" w14:paraId="73528411" w14:textId="77777777" w:rsidTr="0026602C">
        <w:trPr>
          <w:tblHeader/>
          <w:jc w:val="center"/>
        </w:trPr>
        <w:tc>
          <w:tcPr>
            <w:tcW w:w="2534" w:type="dxa"/>
            <w:vMerge w:val="restart"/>
            <w:shd w:val="clear" w:color="auto" w:fill="auto"/>
            <w:vAlign w:val="center"/>
          </w:tcPr>
          <w:p w14:paraId="5D9CD581" w14:textId="6772072D" w:rsidR="0026602C" w:rsidRPr="0026602C" w:rsidRDefault="0026602C" w:rsidP="0026602C">
            <w:pPr>
              <w:pStyle w:val="Tabletext0"/>
              <w:jc w:val="center"/>
              <w:rPr>
                <w:b/>
                <w:bCs/>
              </w:rPr>
            </w:pPr>
            <w:r w:rsidRPr="0026602C">
              <w:rPr>
                <w:b/>
                <w:bCs/>
              </w:rPr>
              <w:t>Proyecto de nueva Recomendación UIT</w:t>
            </w:r>
            <w:r w:rsidR="001572B5">
              <w:rPr>
                <w:b/>
                <w:bCs/>
              </w:rPr>
              <w:noBreakHyphen/>
            </w:r>
            <w:r w:rsidRPr="0026602C">
              <w:rPr>
                <w:b/>
                <w:bCs/>
              </w:rPr>
              <w:t>T</w:t>
            </w:r>
            <w:r w:rsidR="001572B5">
              <w:rPr>
                <w:b/>
                <w:bCs/>
              </w:rPr>
              <w:t> </w:t>
            </w:r>
            <w:r w:rsidRPr="0026602C">
              <w:rPr>
                <w:b/>
                <w:bCs/>
              </w:rPr>
              <w:t xml:space="preserve">Y.3221 </w:t>
            </w:r>
            <w:r w:rsidRPr="0026602C">
              <w:rPr>
                <w:b/>
                <w:bCs/>
              </w:rPr>
              <w:br/>
              <w:t>(ex</w:t>
            </w:r>
            <w:r w:rsidR="007A6C50">
              <w:rPr>
                <w:b/>
                <w:bCs/>
              </w:rPr>
              <w:t> </w:t>
            </w:r>
            <w:r w:rsidRPr="0026602C">
              <w:rPr>
                <w:b/>
                <w:bCs/>
              </w:rPr>
              <w:t>Y.FMSC-LDS)</w:t>
            </w:r>
          </w:p>
        </w:tc>
        <w:tc>
          <w:tcPr>
            <w:tcW w:w="7095" w:type="dxa"/>
            <w:shd w:val="clear" w:color="auto" w:fill="auto"/>
            <w:vAlign w:val="center"/>
          </w:tcPr>
          <w:p w14:paraId="2E822996" w14:textId="77777777" w:rsidR="0026602C" w:rsidRPr="00A46881" w:rsidRDefault="0026602C" w:rsidP="0026602C">
            <w:pPr>
              <w:pStyle w:val="Tabletext0"/>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r w:rsidRPr="0026602C">
              <w:rPr>
                <w:b/>
                <w:bCs/>
              </w:rPr>
              <w:t>Otorga autoridad</w:t>
            </w:r>
            <w:r w:rsidRPr="00A46881">
              <w:t xml:space="preserve"> a la Comisión de Estudio</w:t>
            </w:r>
            <w:r>
              <w:t> </w:t>
            </w:r>
            <w:r w:rsidRPr="00A46881">
              <w:t>13 a fin de examinar este texto para aprobación (en cuyo caso seleccionará una de las dos opciones ⃝):</w:t>
            </w:r>
          </w:p>
          <w:p w14:paraId="52822FF7" w14:textId="77777777" w:rsidR="0026602C" w:rsidRPr="00A46881" w:rsidRDefault="0026602C" w:rsidP="0026602C">
            <w:pPr>
              <w:pStyle w:val="Tabletext0"/>
              <w:ind w:left="482"/>
            </w:pPr>
            <w:r w:rsidRPr="00A46881">
              <w:t>⃝</w:t>
            </w:r>
            <w:r w:rsidRPr="00A46881">
              <w:tab/>
              <w:t>Sin comentarios o propuestas de modificación</w:t>
            </w:r>
          </w:p>
          <w:p w14:paraId="64B79EC3" w14:textId="6776F3B7" w:rsidR="0026602C" w:rsidRPr="00A46881" w:rsidRDefault="0026602C" w:rsidP="0026602C">
            <w:pPr>
              <w:pStyle w:val="Tabletext0"/>
              <w:ind w:left="482"/>
            </w:pPr>
            <w:r w:rsidRPr="00A46881">
              <w:t>⃝</w:t>
            </w:r>
            <w:r w:rsidRPr="00A46881">
              <w:tab/>
              <w:t>Se adjuntan comentarios o propuestas de modificación</w:t>
            </w:r>
          </w:p>
        </w:tc>
      </w:tr>
      <w:tr w:rsidR="00A46881" w:rsidRPr="00A46881" w14:paraId="7E8B6B94" w14:textId="77777777" w:rsidTr="0026602C">
        <w:trPr>
          <w:trHeight w:val="747"/>
          <w:jc w:val="center"/>
        </w:trPr>
        <w:tc>
          <w:tcPr>
            <w:tcW w:w="2534" w:type="dxa"/>
            <w:vMerge/>
            <w:shd w:val="clear" w:color="auto" w:fill="auto"/>
            <w:vAlign w:val="center"/>
          </w:tcPr>
          <w:p w14:paraId="6CE7F773" w14:textId="77777777" w:rsidR="00A46881" w:rsidRPr="00A46881" w:rsidRDefault="00A46881" w:rsidP="0026602C">
            <w:pPr>
              <w:jc w:val="center"/>
              <w:rPr>
                <w:b/>
                <w:bCs/>
              </w:rPr>
            </w:pPr>
          </w:p>
        </w:tc>
        <w:tc>
          <w:tcPr>
            <w:tcW w:w="7095" w:type="dxa"/>
            <w:shd w:val="clear" w:color="auto" w:fill="auto"/>
            <w:vAlign w:val="center"/>
          </w:tcPr>
          <w:p w14:paraId="1A0CF7CE" w14:textId="033A3660" w:rsidR="00A46881" w:rsidRPr="00A46881" w:rsidRDefault="00A46881" w:rsidP="0026602C">
            <w:pPr>
              <w:pStyle w:val="Tabletext0"/>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r w:rsidR="0026602C" w:rsidRPr="0026602C">
              <w:rPr>
                <w:b/>
                <w:bCs/>
              </w:rPr>
              <w:t>N</w:t>
            </w:r>
            <w:r w:rsidRPr="00A46881">
              <w:rPr>
                <w:b/>
                <w:bCs/>
              </w:rPr>
              <w:t>o otorga autoridad</w:t>
            </w:r>
            <w:r w:rsidRPr="00A46881">
              <w:t xml:space="preserve"> a la Comisión de Estudio</w:t>
            </w:r>
            <w:r w:rsidR="0026602C">
              <w:t> </w:t>
            </w:r>
            <w:r w:rsidRPr="00A46881">
              <w:t>13 a fin de examinar este texto para aprobación (se adjuntan los motivos de esta decisión y las posibles modificaciones que permitirían que prosiguieran los trabajos)</w:t>
            </w:r>
          </w:p>
        </w:tc>
      </w:tr>
      <w:tr w:rsidR="0026602C" w:rsidRPr="00A46881" w14:paraId="50B08FD2" w14:textId="77777777" w:rsidTr="0026602C">
        <w:trPr>
          <w:tblHeader/>
          <w:jc w:val="center"/>
        </w:trPr>
        <w:tc>
          <w:tcPr>
            <w:tcW w:w="2534" w:type="dxa"/>
            <w:vMerge w:val="restart"/>
            <w:shd w:val="clear" w:color="auto" w:fill="auto"/>
            <w:vAlign w:val="center"/>
          </w:tcPr>
          <w:p w14:paraId="45AB137D" w14:textId="3CE162F1" w:rsidR="0026602C" w:rsidRPr="0026602C" w:rsidRDefault="0026602C" w:rsidP="001572B5">
            <w:pPr>
              <w:pStyle w:val="Tabletext0"/>
              <w:keepNext/>
              <w:keepLines/>
              <w:jc w:val="center"/>
              <w:rPr>
                <w:b/>
                <w:bCs/>
              </w:rPr>
            </w:pPr>
            <w:r w:rsidRPr="0026602C">
              <w:rPr>
                <w:b/>
                <w:bCs/>
              </w:rPr>
              <w:lastRenderedPageBreak/>
              <w:t>Proyecto de nueva Recomendación UIT</w:t>
            </w:r>
            <w:r w:rsidR="001572B5">
              <w:rPr>
                <w:b/>
                <w:bCs/>
              </w:rPr>
              <w:noBreakHyphen/>
            </w:r>
            <w:r w:rsidRPr="0026602C">
              <w:rPr>
                <w:b/>
                <w:bCs/>
              </w:rPr>
              <w:t>T</w:t>
            </w:r>
            <w:r w:rsidR="001572B5">
              <w:rPr>
                <w:b/>
                <w:bCs/>
              </w:rPr>
              <w:t> </w:t>
            </w:r>
            <w:r w:rsidRPr="0026602C">
              <w:rPr>
                <w:b/>
                <w:bCs/>
              </w:rPr>
              <w:t xml:space="preserve">Y.3222 </w:t>
            </w:r>
            <w:r w:rsidRPr="0026602C">
              <w:rPr>
                <w:b/>
                <w:bCs/>
              </w:rPr>
              <w:br/>
              <w:t>(ex Y.FMSC-ConTrans)</w:t>
            </w:r>
          </w:p>
        </w:tc>
        <w:tc>
          <w:tcPr>
            <w:tcW w:w="7095" w:type="dxa"/>
            <w:shd w:val="clear" w:color="auto" w:fill="auto"/>
            <w:vAlign w:val="center"/>
          </w:tcPr>
          <w:p w14:paraId="46C1FEC7" w14:textId="77777777" w:rsidR="0026602C" w:rsidRPr="00A46881" w:rsidRDefault="0026602C" w:rsidP="003611D0">
            <w:pPr>
              <w:pStyle w:val="Tabletext0"/>
              <w:keepNext/>
              <w:keepLines/>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r w:rsidRPr="0026602C">
              <w:rPr>
                <w:b/>
                <w:bCs/>
              </w:rPr>
              <w:t>Otorga autoridad</w:t>
            </w:r>
            <w:r w:rsidRPr="00A46881">
              <w:t xml:space="preserve"> a la Comisión de Estudio</w:t>
            </w:r>
            <w:r>
              <w:t> </w:t>
            </w:r>
            <w:r w:rsidRPr="00A46881">
              <w:t>13 a fin de examinar este texto para aprobación (en cuyo caso seleccionará una de las dos opciones ⃝):</w:t>
            </w:r>
          </w:p>
          <w:p w14:paraId="1B57EC71" w14:textId="77777777" w:rsidR="0026602C" w:rsidRPr="00A46881" w:rsidRDefault="0026602C" w:rsidP="003611D0">
            <w:pPr>
              <w:pStyle w:val="Tabletext0"/>
              <w:keepNext/>
              <w:keepLines/>
              <w:ind w:left="482"/>
            </w:pPr>
            <w:r w:rsidRPr="00A46881">
              <w:t>⃝</w:t>
            </w:r>
            <w:r w:rsidRPr="00A46881">
              <w:tab/>
              <w:t>Sin comentarios o propuestas de modificación</w:t>
            </w:r>
          </w:p>
          <w:p w14:paraId="4F176CAA" w14:textId="17165DDB" w:rsidR="0026602C" w:rsidRPr="00A46881" w:rsidRDefault="0026602C" w:rsidP="003611D0">
            <w:pPr>
              <w:pStyle w:val="Tabletext0"/>
              <w:keepNext/>
              <w:keepLines/>
              <w:ind w:left="482"/>
            </w:pPr>
            <w:r w:rsidRPr="00A46881">
              <w:t>⃝</w:t>
            </w:r>
            <w:r w:rsidRPr="00A46881">
              <w:tab/>
              <w:t>Se adjuntan comentarios o propuestas de modificación</w:t>
            </w:r>
          </w:p>
        </w:tc>
      </w:tr>
      <w:tr w:rsidR="00A46881" w:rsidRPr="00A46881" w14:paraId="6C73049C" w14:textId="77777777" w:rsidTr="0026602C">
        <w:trPr>
          <w:trHeight w:val="747"/>
          <w:jc w:val="center"/>
        </w:trPr>
        <w:tc>
          <w:tcPr>
            <w:tcW w:w="2534" w:type="dxa"/>
            <w:vMerge/>
            <w:shd w:val="clear" w:color="auto" w:fill="auto"/>
            <w:vAlign w:val="center"/>
          </w:tcPr>
          <w:p w14:paraId="67C1E869" w14:textId="77777777" w:rsidR="00A46881" w:rsidRPr="00A46881" w:rsidRDefault="00A46881" w:rsidP="003611D0">
            <w:pPr>
              <w:keepNext/>
              <w:keepLines/>
              <w:rPr>
                <w:b/>
                <w:bCs/>
              </w:rPr>
            </w:pPr>
          </w:p>
        </w:tc>
        <w:tc>
          <w:tcPr>
            <w:tcW w:w="7095" w:type="dxa"/>
            <w:shd w:val="clear" w:color="auto" w:fill="auto"/>
            <w:vAlign w:val="center"/>
          </w:tcPr>
          <w:p w14:paraId="14FDECD3" w14:textId="698161DA" w:rsidR="00A46881" w:rsidRPr="00A46881" w:rsidRDefault="00A46881" w:rsidP="003611D0">
            <w:pPr>
              <w:pStyle w:val="Tabletext0"/>
              <w:keepNext/>
              <w:keepLines/>
              <w:tabs>
                <w:tab w:val="clear" w:pos="284"/>
              </w:tabs>
              <w:ind w:left="482" w:hanging="482"/>
            </w:pPr>
            <w:r w:rsidRPr="00A46881">
              <w:fldChar w:fldCharType="begin">
                <w:ffData>
                  <w:name w:val="Check1"/>
                  <w:enabled/>
                  <w:calcOnExit w:val="0"/>
                  <w:checkBox>
                    <w:sizeAuto/>
                    <w:default w:val="0"/>
                  </w:checkBox>
                </w:ffData>
              </w:fldChar>
            </w:r>
            <w:r w:rsidRPr="00A46881">
              <w:instrText xml:space="preserve"> FORMCHECKBOX </w:instrText>
            </w:r>
            <w:r w:rsidRPr="00A46881">
              <w:fldChar w:fldCharType="separate"/>
            </w:r>
            <w:r w:rsidRPr="00A46881">
              <w:fldChar w:fldCharType="end"/>
            </w:r>
            <w:r w:rsidRPr="00A46881">
              <w:tab/>
            </w:r>
            <w:r w:rsidR="0026602C" w:rsidRPr="0026602C">
              <w:rPr>
                <w:b/>
                <w:bCs/>
              </w:rPr>
              <w:t xml:space="preserve">No </w:t>
            </w:r>
            <w:r w:rsidRPr="0026602C">
              <w:rPr>
                <w:b/>
                <w:bCs/>
              </w:rPr>
              <w:t>otorga autoridad</w:t>
            </w:r>
            <w:r w:rsidRPr="0026602C">
              <w:t xml:space="preserve"> </w:t>
            </w:r>
            <w:r w:rsidRPr="00A46881">
              <w:t>a la Comisión de Estudio</w:t>
            </w:r>
            <w:r w:rsidR="0026602C">
              <w:t> </w:t>
            </w:r>
            <w:r w:rsidRPr="00A46881">
              <w:t>13 a fin de examinar este texto para aprobación (se adjuntan los motivos de esta decisión y las posibles modificaciones que permitirían que prosiguieran los trabajos)</w:t>
            </w:r>
          </w:p>
        </w:tc>
      </w:tr>
    </w:tbl>
    <w:p w14:paraId="684979BE" w14:textId="77777777" w:rsidR="00A46881" w:rsidRPr="00A46881" w:rsidRDefault="00A46881" w:rsidP="0026602C">
      <w:pPr>
        <w:pStyle w:val="Normalaftertitle"/>
        <w:rPr>
          <w:lang w:val="pt-BR"/>
        </w:rPr>
      </w:pPr>
      <w:r w:rsidRPr="00A46881">
        <w:rPr>
          <w:lang w:val="pt-BR"/>
        </w:rPr>
        <w:t>Atentamente,</w:t>
      </w:r>
    </w:p>
    <w:p w14:paraId="37895485" w14:textId="3D619115" w:rsidR="00101541" w:rsidRPr="00101541" w:rsidRDefault="00A46881" w:rsidP="000928E5">
      <w:pPr>
        <w:spacing w:before="840"/>
      </w:pPr>
      <w:bookmarkStart w:id="22" w:name="lt_pId164"/>
      <w:r w:rsidRPr="00A46881">
        <w:rPr>
          <w:highlight w:val="green"/>
          <w:lang w:val="pt-BR"/>
        </w:rPr>
        <w:t>[Nombre]</w:t>
      </w:r>
      <w:bookmarkStart w:id="23" w:name="lt_pId165"/>
      <w:bookmarkEnd w:id="22"/>
      <w:r w:rsidR="000928E5">
        <w:rPr>
          <w:lang w:val="pt-BR"/>
        </w:rPr>
        <w:br/>
      </w:r>
      <w:r w:rsidRPr="00A46881">
        <w:rPr>
          <w:highlight w:val="green"/>
          <w:lang w:val="pt-BR"/>
        </w:rPr>
        <w:t>[Cargo oficial/</w:t>
      </w:r>
      <w:r w:rsidR="007A6C50" w:rsidRPr="00A46881">
        <w:rPr>
          <w:highlight w:val="green"/>
          <w:lang w:val="pt-BR"/>
        </w:rPr>
        <w:t>t</w:t>
      </w:r>
      <w:r w:rsidRPr="00A46881">
        <w:rPr>
          <w:highlight w:val="green"/>
          <w:lang w:val="pt-BR"/>
        </w:rPr>
        <w:t>ítulo]</w:t>
      </w:r>
      <w:bookmarkStart w:id="24" w:name="lt_pId166"/>
      <w:bookmarkEnd w:id="23"/>
      <w:r w:rsidR="000928E5">
        <w:rPr>
          <w:lang w:val="pt-BR"/>
        </w:rPr>
        <w:br/>
      </w:r>
      <w:r w:rsidRPr="00A46881">
        <w:t xml:space="preserve">Administración de </w:t>
      </w:r>
      <w:r w:rsidRPr="00A46881">
        <w:rPr>
          <w:highlight w:val="green"/>
        </w:rPr>
        <w:t>[Estado Miembro]</w:t>
      </w:r>
      <w:bookmarkEnd w:id="24"/>
    </w:p>
    <w:sectPr w:rsidR="00101541" w:rsidRPr="00101541"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70B" w14:textId="77777777" w:rsidR="00D97832" w:rsidRDefault="00D97832">
      <w:r>
        <w:separator/>
      </w:r>
    </w:p>
  </w:endnote>
  <w:endnote w:type="continuationSeparator" w:id="0">
    <w:p w14:paraId="0EF61A8E" w14:textId="77777777" w:rsidR="00D97832" w:rsidRDefault="00D9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DA" w14:textId="2A7C35AE"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Tel</w:t>
    </w:r>
    <w:r w:rsidR="00101541">
      <w:rPr>
        <w:color w:val="0070C0"/>
        <w:szCs w:val="18"/>
        <w:lang w:val="es-ES"/>
      </w:rPr>
      <w:t>.</w:t>
    </w:r>
    <w:r w:rsidRPr="00D834E7">
      <w:rPr>
        <w:color w:val="0070C0"/>
        <w:szCs w:val="18"/>
        <w:lang w:val="es-ES"/>
      </w:rPr>
      <w:t xml:space="preserve">: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7F00" w14:textId="77777777" w:rsidR="00D97832" w:rsidRDefault="00D97832">
      <w:r>
        <w:t>____________________</w:t>
      </w:r>
    </w:p>
  </w:footnote>
  <w:footnote w:type="continuationSeparator" w:id="0">
    <w:p w14:paraId="63DA93B5" w14:textId="77777777" w:rsidR="00D97832" w:rsidRDefault="00D9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B14" w14:textId="4E1E967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6800910" w14:textId="59D82156" w:rsidR="00101541" w:rsidRPr="00303D62" w:rsidRDefault="00101541">
    <w:pPr>
      <w:pStyle w:val="Header"/>
      <w:rPr>
        <w:sz w:val="18"/>
        <w:szCs w:val="18"/>
      </w:rPr>
    </w:pPr>
    <w:r w:rsidRPr="00101541">
      <w:rPr>
        <w:sz w:val="18"/>
        <w:szCs w:val="18"/>
      </w:rPr>
      <w:t xml:space="preserve">Circular TSB </w:t>
    </w:r>
    <w:r w:rsidR="00A46881">
      <w:rPr>
        <w:sz w:val="18"/>
        <w:szCs w:val="18"/>
      </w:rP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80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0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2CB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906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F0FF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E4D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B22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2E95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AA8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E66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0"/>
  </w:num>
  <w:num w:numId="2" w16cid:durableId="1345282128">
    <w:abstractNumId w:val="13"/>
  </w:num>
  <w:num w:numId="3" w16cid:durableId="1069613404">
    <w:abstractNumId w:val="12"/>
  </w:num>
  <w:num w:numId="4" w16cid:durableId="374936234">
    <w:abstractNumId w:val="11"/>
  </w:num>
  <w:num w:numId="5" w16cid:durableId="1644429736">
    <w:abstractNumId w:val="9"/>
  </w:num>
  <w:num w:numId="6" w16cid:durableId="700976834">
    <w:abstractNumId w:val="7"/>
  </w:num>
  <w:num w:numId="7" w16cid:durableId="1511677050">
    <w:abstractNumId w:val="6"/>
  </w:num>
  <w:num w:numId="8" w16cid:durableId="364798360">
    <w:abstractNumId w:val="5"/>
  </w:num>
  <w:num w:numId="9" w16cid:durableId="1944873294">
    <w:abstractNumId w:val="4"/>
  </w:num>
  <w:num w:numId="10" w16cid:durableId="1285692243">
    <w:abstractNumId w:val="8"/>
  </w:num>
  <w:num w:numId="11" w16cid:durableId="1409645465">
    <w:abstractNumId w:val="3"/>
  </w:num>
  <w:num w:numId="12" w16cid:durableId="2136555816">
    <w:abstractNumId w:val="2"/>
  </w:num>
  <w:num w:numId="13" w16cid:durableId="2133211105">
    <w:abstractNumId w:val="1"/>
  </w:num>
  <w:num w:numId="14" w16cid:durableId="187839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58"/>
    <w:rsid w:val="00002529"/>
    <w:rsid w:val="00005EBD"/>
    <w:rsid w:val="00020CC0"/>
    <w:rsid w:val="00085662"/>
    <w:rsid w:val="000928E5"/>
    <w:rsid w:val="000B0D36"/>
    <w:rsid w:val="000B1BA2"/>
    <w:rsid w:val="000B569F"/>
    <w:rsid w:val="000C382F"/>
    <w:rsid w:val="00101541"/>
    <w:rsid w:val="00110B04"/>
    <w:rsid w:val="001173CC"/>
    <w:rsid w:val="001350B9"/>
    <w:rsid w:val="0014464D"/>
    <w:rsid w:val="001572B5"/>
    <w:rsid w:val="001A54CC"/>
    <w:rsid w:val="00257FB4"/>
    <w:rsid w:val="0026602C"/>
    <w:rsid w:val="00276384"/>
    <w:rsid w:val="002E496E"/>
    <w:rsid w:val="00303D62"/>
    <w:rsid w:val="00335367"/>
    <w:rsid w:val="003611D0"/>
    <w:rsid w:val="00370C2D"/>
    <w:rsid w:val="003B0CBC"/>
    <w:rsid w:val="003D138E"/>
    <w:rsid w:val="003D1E8D"/>
    <w:rsid w:val="003D673B"/>
    <w:rsid w:val="003F2855"/>
    <w:rsid w:val="00401C20"/>
    <w:rsid w:val="004A7957"/>
    <w:rsid w:val="004C4144"/>
    <w:rsid w:val="0055719E"/>
    <w:rsid w:val="006969B4"/>
    <w:rsid w:val="006E4F7B"/>
    <w:rsid w:val="00766C41"/>
    <w:rsid w:val="00781E2A"/>
    <w:rsid w:val="007933A2"/>
    <w:rsid w:val="007A6C50"/>
    <w:rsid w:val="007B6316"/>
    <w:rsid w:val="00814503"/>
    <w:rsid w:val="008258C2"/>
    <w:rsid w:val="008505BD"/>
    <w:rsid w:val="00850C78"/>
    <w:rsid w:val="00876165"/>
    <w:rsid w:val="00884D12"/>
    <w:rsid w:val="008C17AD"/>
    <w:rsid w:val="008D02CD"/>
    <w:rsid w:val="0091370C"/>
    <w:rsid w:val="00927149"/>
    <w:rsid w:val="0095172A"/>
    <w:rsid w:val="009A0BA0"/>
    <w:rsid w:val="00A31158"/>
    <w:rsid w:val="00A46881"/>
    <w:rsid w:val="00A54E47"/>
    <w:rsid w:val="00AB6E3A"/>
    <w:rsid w:val="00AE7093"/>
    <w:rsid w:val="00B422BC"/>
    <w:rsid w:val="00B43F77"/>
    <w:rsid w:val="00B55A3E"/>
    <w:rsid w:val="00B87E9E"/>
    <w:rsid w:val="00B95F0A"/>
    <w:rsid w:val="00B96180"/>
    <w:rsid w:val="00BA6F31"/>
    <w:rsid w:val="00BC3052"/>
    <w:rsid w:val="00C116FE"/>
    <w:rsid w:val="00C17AC0"/>
    <w:rsid w:val="00C34772"/>
    <w:rsid w:val="00C5465A"/>
    <w:rsid w:val="00CE6448"/>
    <w:rsid w:val="00D54642"/>
    <w:rsid w:val="00D834E7"/>
    <w:rsid w:val="00D97832"/>
    <w:rsid w:val="00DD77C9"/>
    <w:rsid w:val="00DF3538"/>
    <w:rsid w:val="00E839B0"/>
    <w:rsid w:val="00E92C09"/>
    <w:rsid w:val="00ED1F34"/>
    <w:rsid w:val="00ED5051"/>
    <w:rsid w:val="00F14380"/>
    <w:rsid w:val="00F6461F"/>
    <w:rsid w:val="00FB147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B40"/>
  <w15:docId w15:val="{5B4F3BED-0458-4426-AA5D-B74EAC6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A4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3-R-0008/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hyperlink" Target="https://www.itu.int/md/T25-SG13-R-0010/es" TargetMode="External"/><Relationship Id="rId10" Type="http://schemas.openxmlformats.org/officeDocument/2006/relationships/hyperlink" Target="https://www.itu.int/md/T25-SG13-COL-0003/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md/T25-SG13-R-0009/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87</TotalTime>
  <Pages>6</Pages>
  <Words>1578</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10547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Braud, Olivia</cp:lastModifiedBy>
  <cp:revision>9</cp:revision>
  <cp:lastPrinted>2025-08-06T12:08:00Z</cp:lastPrinted>
  <dcterms:created xsi:type="dcterms:W3CDTF">2025-08-01T07:17:00Z</dcterms:created>
  <dcterms:modified xsi:type="dcterms:W3CDTF">2025-08-06T12:09:00Z</dcterms:modified>
</cp:coreProperties>
</file>