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04"/>
        <w:gridCol w:w="5146"/>
      </w:tblGrid>
      <w:tr w:rsidR="00EF6A23" w:rsidRPr="001260F7" w14:paraId="3FDAE1F3" w14:textId="77777777" w:rsidTr="003F083D">
        <w:trPr>
          <w:cantSplit/>
        </w:trPr>
        <w:tc>
          <w:tcPr>
            <w:tcW w:w="0" w:type="auto"/>
            <w:vAlign w:val="center"/>
          </w:tcPr>
          <w:p w14:paraId="3DE42CAA" w14:textId="77777777" w:rsidR="00EF6A23" w:rsidRPr="001260F7" w:rsidRDefault="00EF6A23" w:rsidP="00D14F31">
            <w:pPr>
              <w:tabs>
                <w:tab w:val="right" w:pos="8732"/>
              </w:tabs>
              <w:spacing w:before="0"/>
              <w:rPr>
                <w:b/>
                <w:bCs/>
                <w:iCs/>
                <w:color w:val="FFFFFF"/>
                <w:sz w:val="30"/>
                <w:szCs w:val="30"/>
              </w:rPr>
            </w:pPr>
            <w:r w:rsidRPr="001260F7">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1260F7" w:rsidRDefault="00EF6A23" w:rsidP="00EF6A23">
            <w:pPr>
              <w:spacing w:before="0"/>
              <w:rPr>
                <w:rFonts w:cs="Times New Roman Bold"/>
                <w:b/>
                <w:bCs/>
                <w:iCs/>
                <w:smallCaps/>
                <w:sz w:val="34"/>
                <w:szCs w:val="34"/>
              </w:rPr>
            </w:pPr>
            <w:r w:rsidRPr="001260F7">
              <w:rPr>
                <w:rFonts w:cs="Times New Roman Bold"/>
                <w:b/>
                <w:bCs/>
                <w:iCs/>
                <w:smallCaps/>
                <w:sz w:val="34"/>
                <w:szCs w:val="34"/>
              </w:rPr>
              <w:t>Union internationale des télécommunications</w:t>
            </w:r>
          </w:p>
          <w:p w14:paraId="089E66D0" w14:textId="77777777" w:rsidR="00EF6A23" w:rsidRPr="001260F7" w:rsidRDefault="00EF6A23" w:rsidP="00EF6A23">
            <w:pPr>
              <w:spacing w:before="0"/>
              <w:rPr>
                <w:color w:val="FFFFFF"/>
                <w:sz w:val="26"/>
                <w:szCs w:val="26"/>
              </w:rPr>
            </w:pPr>
            <w:r w:rsidRPr="001260F7">
              <w:rPr>
                <w:rFonts w:cs="Times New Roman Bold"/>
                <w:b/>
                <w:bCs/>
                <w:iCs/>
                <w:smallCaps/>
                <w:sz w:val="28"/>
                <w:szCs w:val="28"/>
              </w:rPr>
              <w:t>B</w:t>
            </w:r>
            <w:r w:rsidRPr="001260F7">
              <w:rPr>
                <w:b/>
                <w:bCs/>
                <w:iCs/>
                <w:smallCaps/>
                <w:sz w:val="28"/>
                <w:szCs w:val="28"/>
              </w:rPr>
              <w:t>ureau de la Normalisation des Télécommunications</w:t>
            </w:r>
          </w:p>
        </w:tc>
      </w:tr>
      <w:tr w:rsidR="00036F4F" w:rsidRPr="002627C3" w14:paraId="18B25741" w14:textId="77777777" w:rsidTr="001A2BDA">
        <w:trPr>
          <w:cantSplit/>
        </w:trPr>
        <w:tc>
          <w:tcPr>
            <w:tcW w:w="0" w:type="auto"/>
          </w:tcPr>
          <w:p w14:paraId="4B1AFD72" w14:textId="77777777" w:rsidR="00036F4F" w:rsidRPr="002627C3" w:rsidRDefault="00036F4F" w:rsidP="00A5280F">
            <w:pPr>
              <w:tabs>
                <w:tab w:val="left" w:pos="4111"/>
              </w:tabs>
              <w:spacing w:before="10"/>
              <w:ind w:left="57"/>
              <w:rPr>
                <w:sz w:val="22"/>
                <w:szCs w:val="18"/>
              </w:rPr>
            </w:pPr>
          </w:p>
        </w:tc>
        <w:tc>
          <w:tcPr>
            <w:tcW w:w="3343" w:type="dxa"/>
          </w:tcPr>
          <w:p w14:paraId="6579D3E8" w14:textId="77777777" w:rsidR="00036F4F" w:rsidRPr="002627C3" w:rsidRDefault="00036F4F" w:rsidP="00A5280F">
            <w:pPr>
              <w:tabs>
                <w:tab w:val="left" w:pos="4111"/>
              </w:tabs>
              <w:spacing w:before="10"/>
              <w:ind w:left="57"/>
              <w:rPr>
                <w:b/>
                <w:sz w:val="22"/>
                <w:szCs w:val="18"/>
              </w:rPr>
            </w:pPr>
          </w:p>
        </w:tc>
        <w:tc>
          <w:tcPr>
            <w:tcW w:w="5107" w:type="dxa"/>
          </w:tcPr>
          <w:p w14:paraId="0DC34ECA" w14:textId="649E783F" w:rsidR="00036F4F" w:rsidRPr="002627C3" w:rsidRDefault="00036F4F" w:rsidP="00A5645A">
            <w:pPr>
              <w:tabs>
                <w:tab w:val="clear" w:pos="794"/>
                <w:tab w:val="clear" w:pos="1191"/>
                <w:tab w:val="clear" w:pos="1588"/>
                <w:tab w:val="clear" w:pos="1985"/>
                <w:tab w:val="left" w:pos="284"/>
              </w:tabs>
              <w:spacing w:after="120"/>
              <w:ind w:left="284" w:hanging="227"/>
              <w:rPr>
                <w:sz w:val="22"/>
                <w:szCs w:val="18"/>
              </w:rPr>
            </w:pPr>
            <w:r w:rsidRPr="002627C3">
              <w:rPr>
                <w:sz w:val="22"/>
                <w:szCs w:val="18"/>
              </w:rPr>
              <w:t>Genève, le</w:t>
            </w:r>
            <w:r w:rsidR="004419E9" w:rsidRPr="002627C3">
              <w:rPr>
                <w:sz w:val="22"/>
                <w:szCs w:val="18"/>
              </w:rPr>
              <w:t xml:space="preserve"> </w:t>
            </w:r>
            <w:r w:rsidR="001A2BDA" w:rsidRPr="002627C3">
              <w:rPr>
                <w:color w:val="000000"/>
                <w:sz w:val="22"/>
                <w:szCs w:val="22"/>
              </w:rPr>
              <w:t>28 juillet 2025</w:t>
            </w:r>
          </w:p>
        </w:tc>
      </w:tr>
      <w:tr w:rsidR="001A2BDA" w:rsidRPr="002627C3" w14:paraId="16CDDFEF" w14:textId="77777777" w:rsidTr="001A2BDA">
        <w:trPr>
          <w:cantSplit/>
          <w:trHeight w:val="340"/>
        </w:trPr>
        <w:tc>
          <w:tcPr>
            <w:tcW w:w="0" w:type="auto"/>
          </w:tcPr>
          <w:p w14:paraId="3EFF375D" w14:textId="58556577" w:rsidR="001A2BDA" w:rsidRPr="002627C3" w:rsidRDefault="001A2BDA" w:rsidP="00307FB4">
            <w:pPr>
              <w:tabs>
                <w:tab w:val="left" w:pos="4111"/>
              </w:tabs>
              <w:spacing w:before="10"/>
              <w:ind w:left="57"/>
              <w:rPr>
                <w:b/>
                <w:bCs/>
                <w:sz w:val="22"/>
                <w:szCs w:val="18"/>
              </w:rPr>
            </w:pPr>
            <w:r w:rsidRPr="002627C3">
              <w:rPr>
                <w:b/>
                <w:bCs/>
                <w:sz w:val="22"/>
                <w:szCs w:val="18"/>
              </w:rPr>
              <w:t>Réf.:</w:t>
            </w:r>
          </w:p>
        </w:tc>
        <w:tc>
          <w:tcPr>
            <w:tcW w:w="3343" w:type="dxa"/>
          </w:tcPr>
          <w:p w14:paraId="5FFBBC9B" w14:textId="7B5E5C9B" w:rsidR="001A2BDA" w:rsidRPr="002627C3" w:rsidRDefault="001A2BDA" w:rsidP="00A5280F">
            <w:pPr>
              <w:tabs>
                <w:tab w:val="left" w:pos="4111"/>
              </w:tabs>
              <w:spacing w:before="10"/>
              <w:ind w:left="57"/>
              <w:rPr>
                <w:b/>
                <w:sz w:val="22"/>
                <w:szCs w:val="18"/>
              </w:rPr>
            </w:pPr>
            <w:r w:rsidRPr="002627C3">
              <w:rPr>
                <w:b/>
                <w:sz w:val="22"/>
                <w:szCs w:val="18"/>
              </w:rPr>
              <w:t>Circulaire TSB 65</w:t>
            </w:r>
          </w:p>
          <w:p w14:paraId="577F6DA2" w14:textId="0536456D" w:rsidR="001A2BDA" w:rsidRPr="002627C3" w:rsidRDefault="001A2BDA" w:rsidP="00307FB4">
            <w:pPr>
              <w:tabs>
                <w:tab w:val="left" w:pos="4111"/>
              </w:tabs>
              <w:spacing w:before="10"/>
              <w:ind w:left="57"/>
              <w:rPr>
                <w:sz w:val="22"/>
                <w:szCs w:val="18"/>
              </w:rPr>
            </w:pPr>
            <w:r w:rsidRPr="002627C3">
              <w:rPr>
                <w:sz w:val="22"/>
                <w:szCs w:val="18"/>
              </w:rPr>
              <w:t>CE 13/TK</w:t>
            </w:r>
          </w:p>
        </w:tc>
        <w:tc>
          <w:tcPr>
            <w:tcW w:w="5107" w:type="dxa"/>
            <w:vMerge w:val="restart"/>
          </w:tcPr>
          <w:p w14:paraId="35271D8E" w14:textId="75E9F48F" w:rsidR="001A2BDA" w:rsidRPr="002627C3" w:rsidRDefault="001A2BDA" w:rsidP="00307FB4">
            <w:pPr>
              <w:tabs>
                <w:tab w:val="left" w:pos="4111"/>
              </w:tabs>
              <w:spacing w:before="0"/>
              <w:ind w:left="426" w:hanging="426"/>
              <w:rPr>
                <w:sz w:val="22"/>
                <w:szCs w:val="18"/>
              </w:rPr>
            </w:pPr>
            <w:bookmarkStart w:id="0" w:name="Addressee_F"/>
            <w:bookmarkEnd w:id="0"/>
            <w:r w:rsidRPr="002627C3">
              <w:rPr>
                <w:sz w:val="22"/>
                <w:szCs w:val="18"/>
              </w:rPr>
              <w:t>–</w:t>
            </w:r>
            <w:r w:rsidRPr="002627C3">
              <w:rPr>
                <w:sz w:val="22"/>
                <w:szCs w:val="18"/>
              </w:rPr>
              <w:tab/>
              <w:t>Aux Administrations des États Membres de l'Union;</w:t>
            </w:r>
          </w:p>
          <w:p w14:paraId="7598A82B" w14:textId="77777777" w:rsidR="001A2BDA" w:rsidRPr="002627C3" w:rsidRDefault="001A2BDA" w:rsidP="00307FB4">
            <w:pPr>
              <w:tabs>
                <w:tab w:val="left" w:pos="4111"/>
              </w:tabs>
              <w:spacing w:before="0"/>
              <w:ind w:left="426" w:hanging="426"/>
              <w:rPr>
                <w:sz w:val="22"/>
                <w:szCs w:val="18"/>
              </w:rPr>
            </w:pPr>
            <w:r w:rsidRPr="002627C3">
              <w:rPr>
                <w:sz w:val="22"/>
                <w:szCs w:val="18"/>
              </w:rPr>
              <w:t>–</w:t>
            </w:r>
            <w:r w:rsidRPr="002627C3">
              <w:rPr>
                <w:sz w:val="22"/>
                <w:szCs w:val="18"/>
              </w:rPr>
              <w:tab/>
              <w:t>À l'État de Palestine (Rés. 99 (Rév. Dubaï, 2018))</w:t>
            </w:r>
          </w:p>
          <w:p w14:paraId="7C786AD6" w14:textId="77777777" w:rsidR="001A2BDA" w:rsidRPr="002627C3" w:rsidRDefault="001A2BDA" w:rsidP="007304E3">
            <w:pPr>
              <w:tabs>
                <w:tab w:val="clear" w:pos="794"/>
                <w:tab w:val="left" w:pos="226"/>
                <w:tab w:val="left" w:pos="4111"/>
              </w:tabs>
              <w:spacing w:before="0"/>
              <w:ind w:left="226" w:hanging="226"/>
              <w:rPr>
                <w:b/>
                <w:bCs/>
                <w:sz w:val="22"/>
                <w:szCs w:val="18"/>
              </w:rPr>
            </w:pPr>
            <w:r w:rsidRPr="002627C3">
              <w:rPr>
                <w:b/>
                <w:bCs/>
                <w:sz w:val="22"/>
                <w:szCs w:val="18"/>
              </w:rPr>
              <w:t>Copie:</w:t>
            </w:r>
          </w:p>
          <w:p w14:paraId="32A77F44" w14:textId="77777777" w:rsidR="001A2BDA" w:rsidRPr="002627C3" w:rsidRDefault="001A2BDA" w:rsidP="007304E3">
            <w:pPr>
              <w:tabs>
                <w:tab w:val="clear" w:pos="794"/>
                <w:tab w:val="left" w:pos="4111"/>
              </w:tabs>
              <w:spacing w:before="0"/>
              <w:ind w:left="426" w:hanging="426"/>
              <w:rPr>
                <w:sz w:val="22"/>
                <w:szCs w:val="18"/>
              </w:rPr>
            </w:pPr>
            <w:r w:rsidRPr="002627C3">
              <w:rPr>
                <w:sz w:val="22"/>
                <w:szCs w:val="18"/>
              </w:rPr>
              <w:t>–</w:t>
            </w:r>
            <w:r w:rsidRPr="002627C3">
              <w:rPr>
                <w:sz w:val="22"/>
                <w:szCs w:val="18"/>
              </w:rPr>
              <w:tab/>
              <w:t>Aux Membres du Secteur de l'UIT-T;</w:t>
            </w:r>
          </w:p>
          <w:p w14:paraId="5ECA205A" w14:textId="77777777" w:rsidR="001A2BDA" w:rsidRPr="002627C3" w:rsidRDefault="001A2BDA" w:rsidP="007304E3">
            <w:pPr>
              <w:tabs>
                <w:tab w:val="clear" w:pos="794"/>
                <w:tab w:val="left" w:pos="4111"/>
              </w:tabs>
              <w:spacing w:before="0"/>
              <w:ind w:left="426" w:hanging="426"/>
              <w:rPr>
                <w:sz w:val="22"/>
                <w:szCs w:val="18"/>
              </w:rPr>
            </w:pPr>
            <w:r w:rsidRPr="002627C3">
              <w:rPr>
                <w:sz w:val="22"/>
                <w:szCs w:val="18"/>
              </w:rPr>
              <w:t>–</w:t>
            </w:r>
            <w:r w:rsidRPr="002627C3">
              <w:rPr>
                <w:sz w:val="22"/>
                <w:szCs w:val="18"/>
              </w:rPr>
              <w:tab/>
              <w:t>Aux Associés de l'UIT-T participant aux travaux de la Commission d'études 13;</w:t>
            </w:r>
          </w:p>
          <w:p w14:paraId="0B4815EF" w14:textId="77777777" w:rsidR="001A2BDA" w:rsidRPr="002627C3" w:rsidRDefault="001A2BDA" w:rsidP="007304E3">
            <w:pPr>
              <w:tabs>
                <w:tab w:val="clear" w:pos="794"/>
                <w:tab w:val="left" w:pos="4111"/>
              </w:tabs>
              <w:spacing w:before="0"/>
              <w:ind w:left="426" w:hanging="426"/>
              <w:rPr>
                <w:sz w:val="22"/>
                <w:szCs w:val="18"/>
              </w:rPr>
            </w:pPr>
            <w:r w:rsidRPr="002627C3">
              <w:rPr>
                <w:sz w:val="22"/>
                <w:szCs w:val="18"/>
              </w:rPr>
              <w:t>–</w:t>
            </w:r>
            <w:r w:rsidRPr="002627C3">
              <w:rPr>
                <w:sz w:val="22"/>
                <w:szCs w:val="18"/>
              </w:rPr>
              <w:tab/>
              <w:t>Aux établissements universitaires participant aux travaux de l'UIT;</w:t>
            </w:r>
          </w:p>
          <w:p w14:paraId="677E2140" w14:textId="77777777" w:rsidR="001A2BDA" w:rsidRPr="002627C3" w:rsidRDefault="001A2BDA" w:rsidP="007304E3">
            <w:pPr>
              <w:tabs>
                <w:tab w:val="clear" w:pos="794"/>
                <w:tab w:val="left" w:pos="4111"/>
              </w:tabs>
              <w:spacing w:before="0"/>
              <w:ind w:left="426" w:hanging="426"/>
              <w:rPr>
                <w:sz w:val="22"/>
                <w:szCs w:val="18"/>
              </w:rPr>
            </w:pPr>
            <w:r w:rsidRPr="002627C3">
              <w:rPr>
                <w:sz w:val="22"/>
                <w:szCs w:val="18"/>
              </w:rPr>
              <w:t>–</w:t>
            </w:r>
            <w:r w:rsidRPr="002627C3">
              <w:rPr>
                <w:sz w:val="22"/>
                <w:szCs w:val="18"/>
              </w:rPr>
              <w:tab/>
              <w:t>Aux Président et Vice-Présidents de la Commission d'études 13 de l'UIT-T;</w:t>
            </w:r>
          </w:p>
          <w:p w14:paraId="6CCE93A0" w14:textId="77777777" w:rsidR="001A2BDA" w:rsidRPr="002627C3" w:rsidRDefault="001A2BDA" w:rsidP="007304E3">
            <w:pPr>
              <w:tabs>
                <w:tab w:val="clear" w:pos="794"/>
                <w:tab w:val="left" w:pos="4111"/>
              </w:tabs>
              <w:spacing w:before="0"/>
              <w:ind w:left="426" w:hanging="426"/>
              <w:rPr>
                <w:sz w:val="22"/>
                <w:szCs w:val="18"/>
              </w:rPr>
            </w:pPr>
            <w:r w:rsidRPr="002627C3">
              <w:rPr>
                <w:sz w:val="22"/>
                <w:szCs w:val="18"/>
              </w:rPr>
              <w:t>–</w:t>
            </w:r>
            <w:r w:rsidRPr="002627C3">
              <w:rPr>
                <w:sz w:val="22"/>
                <w:szCs w:val="18"/>
              </w:rPr>
              <w:tab/>
              <w:t>Au Directeur du Bureau de développement des télécommunications;</w:t>
            </w:r>
          </w:p>
          <w:p w14:paraId="461460AE" w14:textId="4C02593C" w:rsidR="001A2BDA" w:rsidRPr="002627C3" w:rsidRDefault="001A2BDA" w:rsidP="007304E3">
            <w:pPr>
              <w:tabs>
                <w:tab w:val="left" w:pos="4111"/>
              </w:tabs>
              <w:spacing w:before="0"/>
              <w:ind w:left="426" w:hanging="426"/>
              <w:rPr>
                <w:sz w:val="22"/>
                <w:szCs w:val="18"/>
              </w:rPr>
            </w:pPr>
            <w:r w:rsidRPr="002627C3">
              <w:rPr>
                <w:sz w:val="22"/>
                <w:szCs w:val="18"/>
              </w:rPr>
              <w:t>–</w:t>
            </w:r>
            <w:r w:rsidRPr="002627C3">
              <w:rPr>
                <w:sz w:val="22"/>
                <w:szCs w:val="18"/>
              </w:rPr>
              <w:tab/>
              <w:t>Au Directeur du Bureau des radiocommunications</w:t>
            </w:r>
          </w:p>
        </w:tc>
      </w:tr>
      <w:tr w:rsidR="001A2BDA" w:rsidRPr="002627C3" w14:paraId="724FD23E" w14:textId="77777777" w:rsidTr="001A2BDA">
        <w:trPr>
          <w:cantSplit/>
        </w:trPr>
        <w:tc>
          <w:tcPr>
            <w:tcW w:w="0" w:type="auto"/>
          </w:tcPr>
          <w:p w14:paraId="73149CCD" w14:textId="77777777" w:rsidR="001A2BDA" w:rsidRPr="002627C3" w:rsidRDefault="001A2BDA" w:rsidP="00A5280F">
            <w:pPr>
              <w:tabs>
                <w:tab w:val="left" w:pos="4111"/>
              </w:tabs>
              <w:spacing w:before="10"/>
              <w:ind w:left="57"/>
              <w:rPr>
                <w:b/>
                <w:bCs/>
                <w:sz w:val="18"/>
                <w:szCs w:val="18"/>
              </w:rPr>
            </w:pPr>
            <w:r w:rsidRPr="002627C3">
              <w:rPr>
                <w:b/>
                <w:bCs/>
                <w:sz w:val="22"/>
                <w:szCs w:val="18"/>
              </w:rPr>
              <w:t>Tél.:</w:t>
            </w:r>
          </w:p>
        </w:tc>
        <w:tc>
          <w:tcPr>
            <w:tcW w:w="3343" w:type="dxa"/>
          </w:tcPr>
          <w:p w14:paraId="78D06186" w14:textId="1FE43653" w:rsidR="001A2BDA" w:rsidRPr="002627C3" w:rsidRDefault="001A2BDA" w:rsidP="00A5280F">
            <w:pPr>
              <w:tabs>
                <w:tab w:val="left" w:pos="4111"/>
              </w:tabs>
              <w:spacing w:before="0"/>
              <w:ind w:left="57"/>
              <w:rPr>
                <w:sz w:val="22"/>
                <w:szCs w:val="18"/>
              </w:rPr>
            </w:pPr>
            <w:r w:rsidRPr="002627C3">
              <w:rPr>
                <w:bCs/>
                <w:sz w:val="22"/>
                <w:szCs w:val="18"/>
              </w:rPr>
              <w:t>+41 22 730 5126</w:t>
            </w:r>
          </w:p>
        </w:tc>
        <w:tc>
          <w:tcPr>
            <w:tcW w:w="5107" w:type="dxa"/>
            <w:vMerge/>
          </w:tcPr>
          <w:p w14:paraId="6D3A5806" w14:textId="7A645187" w:rsidR="001A2BDA" w:rsidRPr="002627C3" w:rsidRDefault="001A2BDA" w:rsidP="007304E3">
            <w:pPr>
              <w:tabs>
                <w:tab w:val="left" w:pos="4111"/>
              </w:tabs>
              <w:spacing w:before="0"/>
              <w:ind w:left="426" w:hanging="426"/>
              <w:rPr>
                <w:b/>
                <w:sz w:val="22"/>
                <w:szCs w:val="18"/>
              </w:rPr>
            </w:pPr>
          </w:p>
        </w:tc>
      </w:tr>
      <w:tr w:rsidR="001A2BDA" w:rsidRPr="002627C3" w14:paraId="030F9AE5" w14:textId="77777777" w:rsidTr="001A2BDA">
        <w:trPr>
          <w:cantSplit/>
          <w:trHeight w:val="263"/>
        </w:trPr>
        <w:tc>
          <w:tcPr>
            <w:tcW w:w="0" w:type="auto"/>
          </w:tcPr>
          <w:p w14:paraId="7B417C4C" w14:textId="77777777" w:rsidR="001A2BDA" w:rsidRPr="002627C3" w:rsidRDefault="001A2BDA" w:rsidP="00A5280F">
            <w:pPr>
              <w:tabs>
                <w:tab w:val="left" w:pos="4111"/>
              </w:tabs>
              <w:spacing w:before="10"/>
              <w:ind w:left="57"/>
              <w:rPr>
                <w:b/>
                <w:bCs/>
                <w:sz w:val="18"/>
                <w:szCs w:val="18"/>
              </w:rPr>
            </w:pPr>
            <w:r w:rsidRPr="002627C3">
              <w:rPr>
                <w:b/>
                <w:bCs/>
                <w:sz w:val="22"/>
                <w:szCs w:val="18"/>
              </w:rPr>
              <w:t>Télécopie:</w:t>
            </w:r>
          </w:p>
        </w:tc>
        <w:tc>
          <w:tcPr>
            <w:tcW w:w="3343" w:type="dxa"/>
          </w:tcPr>
          <w:p w14:paraId="1A4A5F7B" w14:textId="77777777" w:rsidR="001A2BDA" w:rsidRPr="002627C3" w:rsidRDefault="001A2BDA" w:rsidP="00A5280F">
            <w:pPr>
              <w:tabs>
                <w:tab w:val="left" w:pos="4111"/>
              </w:tabs>
              <w:spacing w:before="0"/>
              <w:ind w:left="57"/>
              <w:rPr>
                <w:sz w:val="22"/>
                <w:szCs w:val="18"/>
              </w:rPr>
            </w:pPr>
            <w:r w:rsidRPr="002627C3">
              <w:rPr>
                <w:sz w:val="22"/>
                <w:szCs w:val="18"/>
              </w:rPr>
              <w:t>+41 22 730 5853</w:t>
            </w:r>
          </w:p>
        </w:tc>
        <w:tc>
          <w:tcPr>
            <w:tcW w:w="5107" w:type="dxa"/>
            <w:vMerge/>
          </w:tcPr>
          <w:p w14:paraId="323DAC81" w14:textId="2F93526C" w:rsidR="001A2BDA" w:rsidRPr="002627C3" w:rsidRDefault="001A2BDA" w:rsidP="007304E3">
            <w:pPr>
              <w:tabs>
                <w:tab w:val="left" w:pos="4111"/>
              </w:tabs>
              <w:spacing w:before="0"/>
              <w:ind w:left="426" w:hanging="426"/>
              <w:rPr>
                <w:b/>
                <w:sz w:val="22"/>
                <w:szCs w:val="18"/>
              </w:rPr>
            </w:pPr>
          </w:p>
        </w:tc>
      </w:tr>
      <w:tr w:rsidR="001A2BDA" w:rsidRPr="002627C3" w14:paraId="73C0B0D2" w14:textId="77777777" w:rsidTr="001A2BDA">
        <w:trPr>
          <w:cantSplit/>
          <w:trHeight w:val="74"/>
        </w:trPr>
        <w:tc>
          <w:tcPr>
            <w:tcW w:w="0" w:type="auto"/>
          </w:tcPr>
          <w:p w14:paraId="507DCD95" w14:textId="49165043" w:rsidR="001A2BDA" w:rsidRPr="002627C3" w:rsidRDefault="001A2BDA" w:rsidP="007304E3">
            <w:pPr>
              <w:tabs>
                <w:tab w:val="left" w:pos="4111"/>
              </w:tabs>
              <w:spacing w:before="10"/>
              <w:ind w:left="57"/>
              <w:rPr>
                <w:b/>
                <w:bCs/>
                <w:sz w:val="22"/>
                <w:szCs w:val="18"/>
              </w:rPr>
            </w:pPr>
            <w:r w:rsidRPr="002627C3">
              <w:rPr>
                <w:b/>
                <w:bCs/>
                <w:sz w:val="22"/>
                <w:szCs w:val="18"/>
              </w:rPr>
              <w:t>Courriel:</w:t>
            </w:r>
          </w:p>
        </w:tc>
        <w:tc>
          <w:tcPr>
            <w:tcW w:w="3343" w:type="dxa"/>
          </w:tcPr>
          <w:p w14:paraId="05449DE8" w14:textId="7811FE84" w:rsidR="001A2BDA" w:rsidRPr="002627C3" w:rsidRDefault="001A2BDA" w:rsidP="007304E3">
            <w:pPr>
              <w:tabs>
                <w:tab w:val="left" w:pos="4111"/>
              </w:tabs>
              <w:spacing w:before="0"/>
              <w:ind w:left="57"/>
              <w:rPr>
                <w:sz w:val="22"/>
                <w:szCs w:val="18"/>
              </w:rPr>
            </w:pPr>
            <w:hyperlink r:id="rId9" w:history="1">
              <w:r w:rsidRPr="002627C3">
                <w:rPr>
                  <w:rStyle w:val="Hyperlink"/>
                  <w:sz w:val="22"/>
                  <w:szCs w:val="18"/>
                </w:rPr>
                <w:t>tsbsg13@itu.int</w:t>
              </w:r>
            </w:hyperlink>
          </w:p>
        </w:tc>
        <w:tc>
          <w:tcPr>
            <w:tcW w:w="5107" w:type="dxa"/>
            <w:vMerge/>
          </w:tcPr>
          <w:p w14:paraId="346A796A" w14:textId="24C88EB7" w:rsidR="001A2BDA" w:rsidRPr="002627C3" w:rsidRDefault="001A2BDA" w:rsidP="007304E3">
            <w:pPr>
              <w:tabs>
                <w:tab w:val="left" w:pos="4111"/>
              </w:tabs>
              <w:spacing w:before="0"/>
              <w:ind w:left="426" w:hanging="426"/>
              <w:rPr>
                <w:b/>
                <w:sz w:val="22"/>
                <w:szCs w:val="18"/>
              </w:rPr>
            </w:pPr>
          </w:p>
        </w:tc>
      </w:tr>
      <w:tr w:rsidR="001A2BDA" w:rsidRPr="002627C3" w14:paraId="640FB6B9" w14:textId="77777777" w:rsidTr="001A2BDA">
        <w:trPr>
          <w:cantSplit/>
        </w:trPr>
        <w:tc>
          <w:tcPr>
            <w:tcW w:w="0" w:type="auto"/>
          </w:tcPr>
          <w:p w14:paraId="15527369" w14:textId="185CDBCF" w:rsidR="001A2BDA" w:rsidRPr="002627C3" w:rsidRDefault="001A2BDA" w:rsidP="007304E3">
            <w:pPr>
              <w:tabs>
                <w:tab w:val="left" w:pos="4111"/>
              </w:tabs>
              <w:spacing w:before="10"/>
              <w:ind w:left="57"/>
              <w:rPr>
                <w:b/>
                <w:bCs/>
                <w:sz w:val="22"/>
                <w:szCs w:val="18"/>
              </w:rPr>
            </w:pPr>
          </w:p>
        </w:tc>
        <w:tc>
          <w:tcPr>
            <w:tcW w:w="3343" w:type="dxa"/>
          </w:tcPr>
          <w:p w14:paraId="172249CE" w14:textId="45DBB288" w:rsidR="001A2BDA" w:rsidRPr="002627C3" w:rsidRDefault="001A2BDA" w:rsidP="007304E3">
            <w:pPr>
              <w:tabs>
                <w:tab w:val="left" w:pos="4111"/>
              </w:tabs>
              <w:spacing w:before="0"/>
              <w:ind w:left="57"/>
              <w:rPr>
                <w:rStyle w:val="Hyperlink"/>
                <w:sz w:val="22"/>
                <w:szCs w:val="18"/>
              </w:rPr>
            </w:pPr>
          </w:p>
        </w:tc>
        <w:tc>
          <w:tcPr>
            <w:tcW w:w="5107" w:type="dxa"/>
            <w:vMerge/>
          </w:tcPr>
          <w:p w14:paraId="19762254" w14:textId="3B86CB0C" w:rsidR="001A2BDA" w:rsidRPr="002627C3" w:rsidRDefault="001A2BDA" w:rsidP="007304E3">
            <w:pPr>
              <w:tabs>
                <w:tab w:val="clear" w:pos="794"/>
                <w:tab w:val="left" w:pos="4111"/>
              </w:tabs>
              <w:spacing w:before="0"/>
              <w:ind w:left="426" w:hanging="426"/>
              <w:rPr>
                <w:sz w:val="22"/>
                <w:szCs w:val="18"/>
              </w:rPr>
            </w:pPr>
          </w:p>
        </w:tc>
      </w:tr>
      <w:tr w:rsidR="007304E3" w:rsidRPr="002627C3" w14:paraId="5435C04A" w14:textId="77777777" w:rsidTr="00C41B89">
        <w:trPr>
          <w:cantSplit/>
          <w:trHeight w:val="397"/>
        </w:trPr>
        <w:tc>
          <w:tcPr>
            <w:tcW w:w="0" w:type="auto"/>
          </w:tcPr>
          <w:p w14:paraId="2A0B9B4F" w14:textId="77777777" w:rsidR="007304E3" w:rsidRPr="002627C3" w:rsidRDefault="007304E3" w:rsidP="007304E3">
            <w:pPr>
              <w:tabs>
                <w:tab w:val="left" w:pos="4111"/>
              </w:tabs>
              <w:ind w:left="57"/>
              <w:rPr>
                <w:b/>
                <w:bCs/>
                <w:sz w:val="22"/>
              </w:rPr>
            </w:pPr>
            <w:r w:rsidRPr="002627C3">
              <w:rPr>
                <w:b/>
                <w:bCs/>
                <w:sz w:val="22"/>
              </w:rPr>
              <w:t>Objet:</w:t>
            </w:r>
          </w:p>
        </w:tc>
        <w:tc>
          <w:tcPr>
            <w:tcW w:w="0" w:type="auto"/>
            <w:gridSpan w:val="2"/>
          </w:tcPr>
          <w:p w14:paraId="1A51EE75" w14:textId="0D0E294B" w:rsidR="007304E3" w:rsidRPr="002627C3" w:rsidRDefault="007304E3" w:rsidP="007304E3">
            <w:pPr>
              <w:tabs>
                <w:tab w:val="left" w:pos="4111"/>
              </w:tabs>
              <w:spacing w:after="120"/>
              <w:ind w:left="57"/>
              <w:rPr>
                <w:b/>
                <w:bCs/>
                <w:sz w:val="22"/>
              </w:rPr>
            </w:pPr>
            <w:r w:rsidRPr="002627C3">
              <w:rPr>
                <w:b/>
                <w:bCs/>
                <w:sz w:val="22"/>
              </w:rPr>
              <w:t>Consultation des États Membres au sujet du texte déterminé des projets de nouvelles Recommandations UIT-T Y.3188 (anciennement Y.LDT-reqs-funcs), Y.3221</w:t>
            </w:r>
            <w:r w:rsidR="00D674CC" w:rsidRPr="002627C3">
              <w:rPr>
                <w:b/>
                <w:bCs/>
                <w:sz w:val="22"/>
              </w:rPr>
              <w:t> </w:t>
            </w:r>
            <w:r w:rsidRPr="002627C3">
              <w:rPr>
                <w:b/>
                <w:bCs/>
                <w:sz w:val="22"/>
              </w:rPr>
              <w:t>(anciennement Y.FMSC-LDS) et Y.3222 (anciennement Y.FMSC-ConTrans) qu'il est proposé d'approuver à la réunion de la Commission d'études 13 de l'UIT-T à Tachkent (Ouzbékistan), 28 octobre</w:t>
            </w:r>
            <w:r w:rsidR="00D674CC" w:rsidRPr="002627C3">
              <w:rPr>
                <w:b/>
                <w:bCs/>
                <w:sz w:val="22"/>
              </w:rPr>
              <w:t xml:space="preserve"> – </w:t>
            </w:r>
            <w:r w:rsidRPr="002627C3">
              <w:rPr>
                <w:b/>
                <w:bCs/>
                <w:sz w:val="22"/>
              </w:rPr>
              <w:t>6 novembre 2025</w:t>
            </w:r>
          </w:p>
        </w:tc>
      </w:tr>
    </w:tbl>
    <w:p w14:paraId="2D1EC328" w14:textId="77777777" w:rsidR="00517A03" w:rsidRPr="002627C3" w:rsidRDefault="00517A03" w:rsidP="0048088B">
      <w:pPr>
        <w:spacing w:before="360"/>
        <w:rPr>
          <w:sz w:val="22"/>
          <w:szCs w:val="18"/>
        </w:rPr>
      </w:pPr>
      <w:bookmarkStart w:id="1" w:name="StartTyping_F"/>
      <w:bookmarkEnd w:id="1"/>
      <w:r w:rsidRPr="002627C3">
        <w:rPr>
          <w:sz w:val="22"/>
          <w:szCs w:val="18"/>
        </w:rPr>
        <w:t>Madame, Monsieur,</w:t>
      </w:r>
    </w:p>
    <w:p w14:paraId="0D335D6A" w14:textId="41825FE6" w:rsidR="007304E3" w:rsidRPr="002627C3" w:rsidRDefault="007304E3" w:rsidP="007304E3">
      <w:pPr>
        <w:rPr>
          <w:bCs/>
          <w:sz w:val="22"/>
          <w:szCs w:val="18"/>
        </w:rPr>
      </w:pPr>
      <w:r w:rsidRPr="002627C3">
        <w:rPr>
          <w:bCs/>
          <w:sz w:val="22"/>
          <w:szCs w:val="18"/>
        </w:rPr>
        <w:t>1</w:t>
      </w:r>
      <w:r w:rsidRPr="002627C3">
        <w:rPr>
          <w:bCs/>
          <w:sz w:val="22"/>
          <w:szCs w:val="18"/>
        </w:rPr>
        <w:tab/>
        <w:t>La Commission d'études 13 de l'UIT-T (</w:t>
      </w:r>
      <w:r w:rsidRPr="002627C3">
        <w:rPr>
          <w:bCs/>
          <w:i/>
          <w:iCs/>
          <w:sz w:val="22"/>
          <w:szCs w:val="18"/>
        </w:rPr>
        <w:t>Réseaux futurs et technologies de réseau émergentes</w:t>
      </w:r>
      <w:r w:rsidRPr="002627C3">
        <w:rPr>
          <w:bCs/>
          <w:sz w:val="22"/>
          <w:szCs w:val="18"/>
        </w:rPr>
        <w:t xml:space="preserve">) a l'intention d'appliquer la procédure d'approbation traditionnelle énoncée dans la Section 9 de la Résolution 1 (Rév. Genève, 2022) de l'AMNT pour l'approbation des projets de nouvelles Recommandations UIT-T Y.3188, Y.3221 et Y.3222 à sa prochaine réunion qu'elle tiendra du 28 octobre au 6 novembre 2025 à Tachkent (Ouzbékistan). L'ordre du jour ainsi que tous les renseignements pertinents concernant la réunion de la Commission d'études 13 de l'UIT-T sont disponibles dans la </w:t>
      </w:r>
      <w:hyperlink r:id="rId10" w:history="1">
        <w:r w:rsidRPr="002627C3">
          <w:rPr>
            <w:rStyle w:val="Hyperlink"/>
            <w:bCs/>
            <w:sz w:val="22"/>
            <w:szCs w:val="18"/>
          </w:rPr>
          <w:t>Lettre collective 3/13</w:t>
        </w:r>
      </w:hyperlink>
      <w:r w:rsidRPr="002627C3">
        <w:rPr>
          <w:bCs/>
          <w:sz w:val="22"/>
          <w:szCs w:val="18"/>
        </w:rPr>
        <w:t>.</w:t>
      </w:r>
      <w:hyperlink r:id="rId11" w:history="1"/>
    </w:p>
    <w:p w14:paraId="06935612" w14:textId="77777777" w:rsidR="007304E3" w:rsidRPr="002627C3" w:rsidRDefault="007304E3" w:rsidP="007304E3">
      <w:pPr>
        <w:rPr>
          <w:bCs/>
          <w:sz w:val="22"/>
          <w:szCs w:val="18"/>
        </w:rPr>
      </w:pPr>
      <w:r w:rsidRPr="002627C3">
        <w:rPr>
          <w:bCs/>
          <w:sz w:val="22"/>
          <w:szCs w:val="18"/>
        </w:rPr>
        <w:t>2</w:t>
      </w:r>
      <w:r w:rsidRPr="002627C3">
        <w:rPr>
          <w:bCs/>
          <w:sz w:val="22"/>
          <w:szCs w:val="18"/>
        </w:rPr>
        <w:tab/>
        <w:t>On trouvera dans l'</w:t>
      </w:r>
      <w:r w:rsidRPr="002627C3">
        <w:rPr>
          <w:b/>
          <w:bCs/>
          <w:sz w:val="22"/>
          <w:szCs w:val="18"/>
        </w:rPr>
        <w:t>Annexe 1</w:t>
      </w:r>
      <w:r w:rsidRPr="002627C3">
        <w:rPr>
          <w:bCs/>
          <w:sz w:val="22"/>
          <w:szCs w:val="18"/>
        </w:rPr>
        <w:t xml:space="preserve"> le titre, le résumé et la localisation des projets de Recommandations qu'il est proposé d'approuver.</w:t>
      </w:r>
    </w:p>
    <w:p w14:paraId="5D59AA9B" w14:textId="77777777" w:rsidR="007304E3" w:rsidRPr="002627C3" w:rsidRDefault="007304E3" w:rsidP="00D674CC">
      <w:pPr>
        <w:pStyle w:val="Note"/>
        <w:rPr>
          <w:sz w:val="22"/>
          <w:szCs w:val="18"/>
        </w:rPr>
      </w:pPr>
      <w:r w:rsidRPr="002627C3">
        <w:rPr>
          <w:sz w:val="22"/>
          <w:szCs w:val="18"/>
        </w:rPr>
        <w:t>NOTE 1 – Aucune justification UIT-T A.5 n'est nécessaire actuellement pour l'un ou l'autre de ces projets de Recommandations.</w:t>
      </w:r>
    </w:p>
    <w:p w14:paraId="53F2F3BE" w14:textId="1CF82E87" w:rsidR="007304E3" w:rsidRPr="002627C3" w:rsidRDefault="007304E3" w:rsidP="007304E3">
      <w:pPr>
        <w:rPr>
          <w:bCs/>
          <w:sz w:val="22"/>
          <w:szCs w:val="18"/>
        </w:rPr>
      </w:pPr>
      <w:r w:rsidRPr="002627C3">
        <w:rPr>
          <w:bCs/>
          <w:sz w:val="22"/>
          <w:szCs w:val="18"/>
        </w:rPr>
        <w:t>3</w:t>
      </w:r>
      <w:r w:rsidRPr="002627C3">
        <w:rPr>
          <w:bCs/>
          <w:sz w:val="22"/>
          <w:szCs w:val="18"/>
        </w:rPr>
        <w:tab/>
        <w:t>La présente Circulaire a pour objet d'engager le processus de consultation formelle des États Membres de l'UIT, qui devront indiquer si ces textes peuvent être examinés en vue de leur approbation à la prochaine réunion, conformément au paragraphe 9.4 de la Résolution 1. Les États</w:t>
      </w:r>
      <w:r w:rsidR="00D674CC" w:rsidRPr="002627C3">
        <w:rPr>
          <w:bCs/>
          <w:sz w:val="22"/>
          <w:szCs w:val="18"/>
        </w:rPr>
        <w:t> </w:t>
      </w:r>
      <w:r w:rsidRPr="002627C3">
        <w:rPr>
          <w:bCs/>
          <w:sz w:val="22"/>
          <w:szCs w:val="18"/>
        </w:rPr>
        <w:t>Membres sont priés de remplir le formulaire de l'</w:t>
      </w:r>
      <w:r w:rsidRPr="002627C3">
        <w:rPr>
          <w:b/>
          <w:bCs/>
          <w:sz w:val="22"/>
          <w:szCs w:val="18"/>
        </w:rPr>
        <w:t>Annexe 2</w:t>
      </w:r>
      <w:r w:rsidRPr="002627C3">
        <w:rPr>
          <w:bCs/>
          <w:sz w:val="22"/>
          <w:szCs w:val="18"/>
        </w:rPr>
        <w:t xml:space="preserve"> et de le renvoyer au plus tard le </w:t>
      </w:r>
      <w:r w:rsidRPr="002627C3">
        <w:rPr>
          <w:b/>
          <w:bCs/>
          <w:sz w:val="22"/>
          <w:szCs w:val="18"/>
        </w:rPr>
        <w:t>16</w:t>
      </w:r>
      <w:r w:rsidR="00D674CC" w:rsidRPr="002627C3">
        <w:rPr>
          <w:b/>
          <w:bCs/>
          <w:sz w:val="22"/>
          <w:szCs w:val="18"/>
        </w:rPr>
        <w:t> </w:t>
      </w:r>
      <w:r w:rsidRPr="002627C3">
        <w:rPr>
          <w:b/>
          <w:bCs/>
          <w:sz w:val="22"/>
          <w:szCs w:val="18"/>
        </w:rPr>
        <w:t>octobre 2025</w:t>
      </w:r>
      <w:r w:rsidRPr="002627C3">
        <w:rPr>
          <w:bCs/>
          <w:sz w:val="22"/>
          <w:szCs w:val="18"/>
        </w:rPr>
        <w:t xml:space="preserve"> à 23 h 59 (UTC).</w:t>
      </w:r>
    </w:p>
    <w:p w14:paraId="2A7DAE65" w14:textId="77777777" w:rsidR="007304E3" w:rsidRPr="002627C3" w:rsidRDefault="007304E3" w:rsidP="00D674CC">
      <w:pPr>
        <w:keepNext/>
        <w:keepLines/>
        <w:rPr>
          <w:bCs/>
          <w:sz w:val="22"/>
          <w:szCs w:val="18"/>
        </w:rPr>
      </w:pPr>
      <w:r w:rsidRPr="002627C3">
        <w:rPr>
          <w:bCs/>
          <w:sz w:val="22"/>
          <w:szCs w:val="18"/>
        </w:rPr>
        <w:t>4</w:t>
      </w:r>
      <w:r w:rsidRPr="002627C3">
        <w:rPr>
          <w:bCs/>
          <w:sz w:val="22"/>
          <w:szCs w:val="18"/>
        </w:rPr>
        <w:tab/>
        <w:t>Si au moins 70% des réponses des États Membres sont en faveur de l'examen, aux fins d'approbation, de ce texte, une séance plénière sera consacrée à l'application de la procédure d'approbation. Les États Membres qui n'autorisent pas la commission d'études à procéder ainsi doivent informer le Directeur du TSB des motifs de cette décision et lui faire part des éventuelles modifications qui permettraient la poursuite des travaux.</w:t>
      </w:r>
    </w:p>
    <w:p w14:paraId="46F2C3C2" w14:textId="47B66B12" w:rsidR="00307FB4" w:rsidRPr="002627C3" w:rsidRDefault="007304E3" w:rsidP="00B5085C">
      <w:pPr>
        <w:pStyle w:val="Note"/>
        <w:rPr>
          <w:sz w:val="22"/>
          <w:szCs w:val="18"/>
        </w:rPr>
      </w:pPr>
      <w:r w:rsidRPr="002627C3">
        <w:rPr>
          <w:sz w:val="22"/>
          <w:szCs w:val="18"/>
        </w:rPr>
        <w:t xml:space="preserve">NOTE 2 – À la date de la présente Circulaire, le TSB n'a reçu aucune déclaration concernant les droits de propriété intellectuelle relative à ces projets de textes. Pour obtenir des renseignements actualisés, les </w:t>
      </w:r>
      <w:r w:rsidRPr="002627C3">
        <w:rPr>
          <w:sz w:val="22"/>
          <w:szCs w:val="18"/>
        </w:rPr>
        <w:lastRenderedPageBreak/>
        <w:t xml:space="preserve">membres sont invités à consulter la base de données relative aux droits de propriété intellectuelle à l'adresse </w:t>
      </w:r>
      <w:hyperlink r:id="rId12" w:history="1">
        <w:r w:rsidRPr="002627C3">
          <w:rPr>
            <w:rStyle w:val="Hyperlink"/>
            <w:sz w:val="22"/>
            <w:szCs w:val="18"/>
          </w:rPr>
          <w:t>www.itu.int/ipr/</w:t>
        </w:r>
      </w:hyperlink>
      <w:r w:rsidRPr="002627C3">
        <w:rPr>
          <w:sz w:val="22"/>
          <w:szCs w:val="18"/>
        </w:rPr>
        <w:t>.</w:t>
      </w:r>
    </w:p>
    <w:p w14:paraId="6A4CD67F" w14:textId="084D7F89" w:rsidR="00307FB4" w:rsidRPr="002627C3" w:rsidRDefault="00307FB4" w:rsidP="00307FB4">
      <w:pPr>
        <w:rPr>
          <w:bCs/>
          <w:sz w:val="22"/>
          <w:szCs w:val="18"/>
        </w:rPr>
      </w:pPr>
      <w:r w:rsidRPr="002627C3">
        <w:rPr>
          <w:bCs/>
          <w:sz w:val="22"/>
          <w:szCs w:val="18"/>
        </w:rPr>
        <w:t>Veuillez agréer, Madame, Monsieur, l'assurance de ma considération distinguée.</w:t>
      </w:r>
    </w:p>
    <w:p w14:paraId="558FB742" w14:textId="20224F7D" w:rsidR="002937DB" w:rsidRPr="002627C3" w:rsidRDefault="001F32E0" w:rsidP="002627C3">
      <w:pPr>
        <w:spacing w:before="720"/>
        <w:rPr>
          <w:bCs/>
          <w:sz w:val="22"/>
          <w:szCs w:val="18"/>
        </w:rPr>
      </w:pPr>
      <w:r>
        <w:rPr>
          <w:bCs/>
          <w:noProof/>
          <w:sz w:val="22"/>
          <w:szCs w:val="18"/>
        </w:rPr>
        <w:drawing>
          <wp:anchor distT="0" distB="0" distL="114300" distR="114300" simplePos="0" relativeHeight="251658240" behindDoc="1" locked="0" layoutInCell="1" allowOverlap="1" wp14:anchorId="63BDD085" wp14:editId="45131CC1">
            <wp:simplePos x="0" y="0"/>
            <wp:positionH relativeFrom="column">
              <wp:posOffset>-5715</wp:posOffset>
            </wp:positionH>
            <wp:positionV relativeFrom="paragraph">
              <wp:posOffset>25400</wp:posOffset>
            </wp:positionV>
            <wp:extent cx="692186" cy="330217"/>
            <wp:effectExtent l="0" t="0" r="0" b="0"/>
            <wp:wrapNone/>
            <wp:docPr id="142811219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12192" name="Picture 2"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2627C3">
        <w:rPr>
          <w:bCs/>
          <w:sz w:val="22"/>
          <w:szCs w:val="18"/>
        </w:rPr>
        <w:t>Seizo Onoe</w:t>
      </w:r>
      <w:r w:rsidR="00B60868" w:rsidRPr="002627C3">
        <w:rPr>
          <w:bCs/>
          <w:sz w:val="22"/>
          <w:szCs w:val="18"/>
        </w:rPr>
        <w:br/>
      </w:r>
      <w:r w:rsidR="00307FB4" w:rsidRPr="002627C3">
        <w:rPr>
          <w:bCs/>
          <w:sz w:val="22"/>
          <w:szCs w:val="18"/>
        </w:rPr>
        <w:t>Directeur du Bureau de la normalisation</w:t>
      </w:r>
      <w:r w:rsidR="00B60868" w:rsidRPr="002627C3">
        <w:rPr>
          <w:bCs/>
          <w:sz w:val="22"/>
          <w:szCs w:val="18"/>
        </w:rPr>
        <w:br/>
      </w:r>
      <w:r w:rsidR="00307FB4" w:rsidRPr="002627C3">
        <w:rPr>
          <w:bCs/>
          <w:sz w:val="22"/>
          <w:szCs w:val="18"/>
        </w:rPr>
        <w:t>des télécommunications</w:t>
      </w:r>
    </w:p>
    <w:p w14:paraId="2D9E7178" w14:textId="068D4A6A" w:rsidR="007304E3" w:rsidRPr="002627C3" w:rsidRDefault="007304E3" w:rsidP="00B5085C">
      <w:pPr>
        <w:spacing w:before="360"/>
        <w:rPr>
          <w:bCs/>
          <w:sz w:val="22"/>
          <w:szCs w:val="18"/>
        </w:rPr>
      </w:pPr>
      <w:r w:rsidRPr="002627C3">
        <w:rPr>
          <w:b/>
          <w:bCs/>
          <w:sz w:val="22"/>
          <w:szCs w:val="18"/>
        </w:rPr>
        <w:t>Annexes:</w:t>
      </w:r>
      <w:r w:rsidRPr="002627C3">
        <w:rPr>
          <w:bCs/>
          <w:sz w:val="22"/>
          <w:szCs w:val="18"/>
        </w:rPr>
        <w:tab/>
        <w:t>2</w:t>
      </w:r>
    </w:p>
    <w:p w14:paraId="601A1E45" w14:textId="77777777" w:rsidR="002937DB" w:rsidRPr="002627C3" w:rsidRDefault="002937DB">
      <w:pPr>
        <w:tabs>
          <w:tab w:val="clear" w:pos="794"/>
          <w:tab w:val="clear" w:pos="1191"/>
          <w:tab w:val="clear" w:pos="1588"/>
          <w:tab w:val="clear" w:pos="1985"/>
        </w:tabs>
        <w:overflowPunct/>
        <w:autoSpaceDE/>
        <w:autoSpaceDN/>
        <w:adjustRightInd/>
        <w:spacing w:before="0"/>
        <w:textAlignment w:val="auto"/>
        <w:rPr>
          <w:bCs/>
          <w:sz w:val="22"/>
          <w:szCs w:val="18"/>
        </w:rPr>
      </w:pPr>
      <w:r w:rsidRPr="002627C3">
        <w:rPr>
          <w:bCs/>
          <w:sz w:val="22"/>
          <w:szCs w:val="18"/>
        </w:rPr>
        <w:br w:type="page"/>
      </w:r>
    </w:p>
    <w:p w14:paraId="46C0DC25" w14:textId="4A9371CE" w:rsidR="007304E3" w:rsidRPr="001260F7" w:rsidRDefault="007304E3" w:rsidP="007304E3">
      <w:pPr>
        <w:pStyle w:val="Annextitle0"/>
        <w:spacing w:before="120" w:after="120"/>
        <w:rPr>
          <w:lang w:val="fr-FR"/>
        </w:rPr>
      </w:pPr>
      <w:r w:rsidRPr="001260F7">
        <w:rPr>
          <w:bCs/>
          <w:lang w:val="fr-FR"/>
        </w:rPr>
        <w:lastRenderedPageBreak/>
        <w:t>Annexe 1</w:t>
      </w:r>
      <w:r w:rsidR="00B5085C" w:rsidRPr="001260F7">
        <w:rPr>
          <w:bCs/>
          <w:lang w:val="fr-FR"/>
        </w:rPr>
        <w:br/>
      </w:r>
      <w:r w:rsidR="00B5085C" w:rsidRPr="001260F7">
        <w:rPr>
          <w:bCs/>
          <w:lang w:val="fr-FR"/>
        </w:rPr>
        <w:br/>
      </w:r>
      <w:r w:rsidRPr="001260F7">
        <w:rPr>
          <w:bCs/>
          <w:lang w:val="fr-FR"/>
        </w:rPr>
        <w:t>Résumé et localisation du texte déterminé des projets de nouvelles Recommandations UIT-T Y.3188, Y.3221 et Y.3222</w:t>
      </w:r>
    </w:p>
    <w:p w14:paraId="6FCA4D02" w14:textId="77777777" w:rsidR="007304E3" w:rsidRPr="001260F7" w:rsidRDefault="007304E3" w:rsidP="007304E3">
      <w:pPr>
        <w:pStyle w:val="Heading1"/>
      </w:pPr>
      <w:r w:rsidRPr="001260F7">
        <w:rPr>
          <w:bCs/>
        </w:rPr>
        <w:t>1</w:t>
      </w:r>
      <w:r w:rsidRPr="001260F7">
        <w:tab/>
      </w:r>
      <w:r w:rsidRPr="001260F7">
        <w:rPr>
          <w:bCs/>
        </w:rPr>
        <w:t>Projet de nouvelle Recommandation UIT-T Y.3188 (anciennement Y.LDT-reqs-funcs) [</w:t>
      </w:r>
      <w:hyperlink r:id="rId14" w:history="1">
        <w:r w:rsidRPr="001260F7">
          <w:rPr>
            <w:rStyle w:val="Hyperlink"/>
            <w:bCs/>
          </w:rPr>
          <w:t>SG13-R8</w:t>
        </w:r>
      </w:hyperlink>
      <w:r w:rsidRPr="001260F7">
        <w:rPr>
          <w:bCs/>
        </w:rPr>
        <w:t>]</w:t>
      </w:r>
      <w:hyperlink r:id="rId15" w:history="1"/>
    </w:p>
    <w:p w14:paraId="3EF93033" w14:textId="77777777" w:rsidR="007304E3" w:rsidRPr="001260F7" w:rsidRDefault="007304E3" w:rsidP="007304E3">
      <w:pPr>
        <w:pStyle w:val="headingb"/>
        <w:rPr>
          <w:sz w:val="28"/>
        </w:rPr>
      </w:pPr>
      <w:r w:rsidRPr="001260F7">
        <w:t>Réseaux IMT-2020 et réseaux ultérieurs – Exigences et fonctions pour les applications nécessitant la transmission de grands volumes de données</w:t>
      </w:r>
    </w:p>
    <w:p w14:paraId="78BAF2B6" w14:textId="77777777" w:rsidR="007304E3" w:rsidRPr="001260F7" w:rsidRDefault="007304E3" w:rsidP="007304E3">
      <w:pPr>
        <w:pStyle w:val="headingb"/>
      </w:pPr>
      <w:r w:rsidRPr="001260F7">
        <w:t>Résumé</w:t>
      </w:r>
    </w:p>
    <w:p w14:paraId="36FE1652" w14:textId="28A359D9" w:rsidR="007304E3" w:rsidRPr="001260F7" w:rsidRDefault="007304E3" w:rsidP="00B5085C">
      <w:pPr>
        <w:rPr>
          <w:rFonts w:cstheme="minorHAnsi"/>
        </w:rPr>
      </w:pPr>
      <w:r w:rsidRPr="001260F7">
        <w:rPr>
          <w:rFonts w:cstheme="minorHAnsi"/>
        </w:rPr>
        <w:t>Sous l'effet de l'adoption continue d'une architecture en nuage ("cloudification") pour les TIC utilisées par les entreprises et du déploiement ininterrompu d'applications évoluées faisant appel à des capteurs industriels, à la réalité virtuelle (VR) et à l</w:t>
      </w:r>
      <w:r w:rsidR="00B5085C" w:rsidRPr="001260F7">
        <w:rPr>
          <w:rFonts w:cstheme="minorHAnsi"/>
        </w:rPr>
        <w:t>'</w:t>
      </w:r>
      <w:r w:rsidRPr="001260F7">
        <w:rPr>
          <w:rFonts w:cstheme="minorHAnsi"/>
        </w:rPr>
        <w:t>intelligence artificielle (IA), de plus en plus de données doivent être transmises depuis les locaux d'une entreprise et les différents utilisateurs vers le nuage pour être traitées, tandis que les résultats des calculs doivent être communiqués rapidement pour obtenir des retours et permettre la collaboration. Toutes ces applications nécessitent la transmission d'importants volumes de données sur les réseaux de bout en bout. Ces réseaux de bout en bout doivent offrir de nouvelles fonctions permettant de prendre en charge les applications nécessitant la transmission de grands volumes de données.</w:t>
      </w:r>
    </w:p>
    <w:p w14:paraId="4CAB1856" w14:textId="77777777" w:rsidR="007304E3" w:rsidRPr="001260F7" w:rsidRDefault="007304E3" w:rsidP="00B43278">
      <w:r w:rsidRPr="001260F7">
        <w:t>Cette Recommandation a pour objet de donner un aperçu des applications nécessitant la transmission de grands volumes de données, d'analyser les caractéristiques communes des applications et d'identifier les exigences connexes pour les réseaux IMT-2020 et les réseaux ultérieurs. Conformément à ces exigences, des fonctions de réseau améliorées et nouvelles permettant de prendre en charge des applications nécessitant la transmission de grands volumes de données sont spécifiées par rapport aux fonctions des réseaux IMT-2020 et des réseaux ultérieurs identifiées dans la Recommandation UIT-T Y.3102.</w:t>
      </w:r>
    </w:p>
    <w:p w14:paraId="5AD17F32" w14:textId="6EC08E87" w:rsidR="007304E3" w:rsidRPr="001260F7" w:rsidRDefault="007304E3" w:rsidP="00BB7E53">
      <w:pPr>
        <w:pStyle w:val="Note"/>
      </w:pPr>
      <w:r w:rsidRPr="001260F7">
        <w:t>NOTE 1 – Cette Recommandation porte sur la spécification des exigences et des fonctions de réseau pour les réseaux de bout en bout et n</w:t>
      </w:r>
      <w:r w:rsidR="00B5085C" w:rsidRPr="001260F7">
        <w:t>'</w:t>
      </w:r>
      <w:r w:rsidRPr="001260F7">
        <w:t>a pas pour objet de décrire précisément de quelle manière ces fonctions de réseau peuvent être mises en œuvre, y compris au moyen de technologies ou de protocoles actuels et/ou futurs. Les modalités de mise en œuvre de ces fonctions de réseau devrait être définies par d</w:t>
      </w:r>
      <w:r w:rsidR="00B5085C" w:rsidRPr="001260F7">
        <w:t>'</w:t>
      </w:r>
      <w:r w:rsidRPr="001260F7">
        <w:t>autres organismes de normalisation compétents.</w:t>
      </w:r>
    </w:p>
    <w:p w14:paraId="320986D8" w14:textId="742418BD" w:rsidR="007304E3" w:rsidRPr="001260F7" w:rsidRDefault="007304E3" w:rsidP="00BB7E53">
      <w:pPr>
        <w:pStyle w:val="Note"/>
      </w:pPr>
      <w:r w:rsidRPr="001260F7">
        <w:t>NOTE 2 – Les applications générant d'importants volumes de données et l</w:t>
      </w:r>
      <w:r w:rsidR="00B5085C" w:rsidRPr="001260F7">
        <w:t>'</w:t>
      </w:r>
      <w:r w:rsidRPr="001260F7">
        <w:t>infrastructure de réseau acheminant ces applications sont chargées de garantir comme il se doit la confidentialité des données. Les aspects liés à la confidentialité des données n'entrent pas dans le cadre de cette Recommandation.</w:t>
      </w:r>
    </w:p>
    <w:p w14:paraId="3286D29A" w14:textId="77777777" w:rsidR="007304E3" w:rsidRPr="001260F7" w:rsidRDefault="007304E3" w:rsidP="007304E3">
      <w:pPr>
        <w:pStyle w:val="Heading1"/>
      </w:pPr>
      <w:r w:rsidRPr="001260F7">
        <w:rPr>
          <w:bCs/>
        </w:rPr>
        <w:t>2</w:t>
      </w:r>
      <w:r w:rsidRPr="001260F7">
        <w:rPr>
          <w:sz w:val="32"/>
          <w:szCs w:val="22"/>
        </w:rPr>
        <w:tab/>
      </w:r>
      <w:r w:rsidRPr="001260F7">
        <w:rPr>
          <w:bCs/>
        </w:rPr>
        <w:t>Projet de nouvelle Recommandation UIT-T Y.3221 (anciennement Y.FMSC-LDS) [</w:t>
      </w:r>
      <w:hyperlink r:id="rId16" w:history="1">
        <w:r w:rsidRPr="001260F7">
          <w:rPr>
            <w:rStyle w:val="Hyperlink"/>
            <w:bCs/>
          </w:rPr>
          <w:t>SG13-R9</w:t>
        </w:r>
      </w:hyperlink>
      <w:r w:rsidRPr="001260F7">
        <w:rPr>
          <w:bCs/>
        </w:rPr>
        <w:t>]</w:t>
      </w:r>
      <w:hyperlink r:id="rId17" w:history="1"/>
    </w:p>
    <w:p w14:paraId="794A3861" w14:textId="29D8A6EF" w:rsidR="007304E3" w:rsidRPr="001260F7" w:rsidRDefault="007304E3" w:rsidP="00C4759C">
      <w:pPr>
        <w:pStyle w:val="headingb"/>
        <w:rPr>
          <w:sz w:val="28"/>
          <w:szCs w:val="22"/>
        </w:rPr>
      </w:pPr>
      <w:r w:rsidRPr="001260F7">
        <w:t>Convergence fixe, mobile et satellite – Commutation locale des données pour les réseaux IMT</w:t>
      </w:r>
      <w:r w:rsidR="00C4759C" w:rsidRPr="001260F7">
        <w:noBreakHyphen/>
      </w:r>
      <w:r w:rsidRPr="001260F7">
        <w:t>2020 et les réseaux ultérieurs</w:t>
      </w:r>
    </w:p>
    <w:p w14:paraId="2F61EAA8" w14:textId="77777777" w:rsidR="007304E3" w:rsidRPr="001260F7" w:rsidRDefault="007304E3" w:rsidP="007304E3">
      <w:pPr>
        <w:pStyle w:val="headingb"/>
      </w:pPr>
      <w:r w:rsidRPr="001260F7">
        <w:t>Résumé</w:t>
      </w:r>
    </w:p>
    <w:p w14:paraId="5A740DF7" w14:textId="0DD81C12" w:rsidR="007304E3" w:rsidRPr="001260F7" w:rsidRDefault="007304E3" w:rsidP="007304E3">
      <w:r w:rsidRPr="001260F7">
        <w:t>La commutation locale des données est une capacité permettant d</w:t>
      </w:r>
      <w:r w:rsidR="00B5085C" w:rsidRPr="001260F7">
        <w:t>'</w:t>
      </w:r>
      <w:r w:rsidRPr="001260F7">
        <w:t>acheminer et de traiter localement le trafic de données d</w:t>
      </w:r>
      <w:r w:rsidR="00B5085C" w:rsidRPr="001260F7">
        <w:t>'</w:t>
      </w:r>
      <w:r w:rsidRPr="001260F7">
        <w:t xml:space="preserve">utilisateur pour les utilisateurs accédant au réseau. La convergence fixe, mobile et satellite (FMSC) représente la capacité de fournir des services et </w:t>
      </w:r>
      <w:r w:rsidRPr="001260F7">
        <w:lastRenderedPageBreak/>
        <w:t>applications aux utilisateurs finals indépendamment des technologies d'accès fixe, mobile ou satellite utilisées. Cette Recommandation définit les exigences, l'architecture, les flux d'informations et les considérations relatives à la sécurité de la commutation locale des données pour la convergence FMSC, dans le contexte des réseaux IMT-2020 et des réseaux ultérieurs.</w:t>
      </w:r>
    </w:p>
    <w:p w14:paraId="31489BE4" w14:textId="1E0CA320" w:rsidR="007304E3" w:rsidRPr="001260F7" w:rsidRDefault="007304E3" w:rsidP="007304E3">
      <w:pPr>
        <w:pStyle w:val="Heading1"/>
      </w:pPr>
      <w:r w:rsidRPr="001260F7">
        <w:rPr>
          <w:bCs/>
        </w:rPr>
        <w:t>3</w:t>
      </w:r>
      <w:r w:rsidRPr="001260F7">
        <w:tab/>
      </w:r>
      <w:r w:rsidRPr="001260F7">
        <w:rPr>
          <w:bCs/>
        </w:rPr>
        <w:t>Projet de nouvelle Recommandation UIT-T Y.3222 (anciennement Y.FMSC-ConTrans) [</w:t>
      </w:r>
      <w:hyperlink r:id="rId18" w:history="1">
        <w:r w:rsidRPr="001260F7">
          <w:rPr>
            <w:rStyle w:val="Hyperlink"/>
            <w:bCs/>
          </w:rPr>
          <w:t>SG13-R10</w:t>
        </w:r>
      </w:hyperlink>
      <w:r w:rsidRPr="001260F7">
        <w:rPr>
          <w:bCs/>
        </w:rPr>
        <w:t>]</w:t>
      </w:r>
      <w:hyperlink r:id="rId19" w:history="1"/>
    </w:p>
    <w:p w14:paraId="49914787" w14:textId="77777777" w:rsidR="007304E3" w:rsidRPr="001260F7" w:rsidRDefault="007304E3" w:rsidP="007304E3">
      <w:pPr>
        <w:pStyle w:val="headingb"/>
        <w:rPr>
          <w:sz w:val="28"/>
          <w:szCs w:val="22"/>
        </w:rPr>
      </w:pPr>
      <w:r w:rsidRPr="001260F7">
        <w:t>Convergence fixe, mobile et satellite – Exigences fonctionnelles et architecture fonctionnelle pour l'entité de commande unifiée basée sur le modèle de transformateur</w:t>
      </w:r>
    </w:p>
    <w:p w14:paraId="6571EDBE" w14:textId="77777777" w:rsidR="007304E3" w:rsidRPr="001260F7" w:rsidRDefault="007304E3" w:rsidP="007304E3">
      <w:pPr>
        <w:pStyle w:val="headingb"/>
      </w:pPr>
      <w:r w:rsidRPr="001260F7">
        <w:rPr>
          <w:bCs/>
        </w:rPr>
        <w:t>Résumé</w:t>
      </w:r>
    </w:p>
    <w:p w14:paraId="5EBA7AD9" w14:textId="7594E726" w:rsidR="007304E3" w:rsidRPr="001260F7" w:rsidRDefault="007304E3" w:rsidP="007304E3">
      <w:r w:rsidRPr="001260F7">
        <w:t>L</w:t>
      </w:r>
      <w:r w:rsidR="00B5085C" w:rsidRPr="001260F7">
        <w:t>'</w:t>
      </w:r>
      <w:r w:rsidRPr="001260F7">
        <w:t>entité de commande basée sur le modèle de transformateur offre une solution possible pour résoudre les problèmes liés à la commande unifiée. Lorsque les fonctions de commande de réseau sont mises en œuvre à l</w:t>
      </w:r>
      <w:r w:rsidR="00B5085C" w:rsidRPr="001260F7">
        <w:t>'</w:t>
      </w:r>
      <w:r w:rsidRPr="001260F7">
        <w:t>aide d</w:t>
      </w:r>
      <w:r w:rsidR="00B5085C" w:rsidRPr="001260F7">
        <w:t>'</w:t>
      </w:r>
      <w:r w:rsidRPr="001260F7">
        <w:t>un modèle de transformateur, les avantages suivants peuvent être obtenus: commande unifiée de l</w:t>
      </w:r>
      <w:r w:rsidR="00B5085C" w:rsidRPr="001260F7">
        <w:t>'</w:t>
      </w:r>
      <w:r w:rsidRPr="001260F7">
        <w:t>ensemble du réseau, forte extensibilité, coût de mise en œuvre réduit, interface unifiée et service de bout en bout amélioré. Par conséquent, la convergence entre la fonction de commande de réseau et les technologies associées au modèle de transformateur constitue une bonne solution; en outre, il est avantageux et approprié de mettre en œuvre des fonctions de commande de réseau basées sur le modèle de transformateur.</w:t>
      </w:r>
    </w:p>
    <w:p w14:paraId="3307B518" w14:textId="0C9BEC6F" w:rsidR="007304E3" w:rsidRPr="001260F7" w:rsidRDefault="007304E3" w:rsidP="007304E3">
      <w:pPr>
        <w:rPr>
          <w:sz w:val="22"/>
          <w:szCs w:val="22"/>
        </w:rPr>
      </w:pPr>
      <w:r w:rsidRPr="001260F7">
        <w:t>La convergence fixe, mobile et satellite (FMSC) représente la capacité de fournir des services et applications aux utilisateurs finals indépendamment des technologies d'accès fixe, mobile ou satellite utilisées. Cette Recommandation définit le modèle de base, les exigences fonctionnelles, l</w:t>
      </w:r>
      <w:r w:rsidR="00B5085C" w:rsidRPr="001260F7">
        <w:t>'</w:t>
      </w:r>
      <w:r w:rsidRPr="001260F7">
        <w:t>architecture fonctionnelle et les interfaces de l</w:t>
      </w:r>
      <w:r w:rsidR="00B5085C" w:rsidRPr="001260F7">
        <w:t>'</w:t>
      </w:r>
      <w:r w:rsidRPr="001260F7">
        <w:t>entité de commande unifiée basée sur le modèle de transformateur (TUCE) pour les réseaux FMSC et d</w:t>
      </w:r>
      <w:r w:rsidR="00B5085C" w:rsidRPr="001260F7">
        <w:t>'</w:t>
      </w:r>
      <w:r w:rsidRPr="001260F7">
        <w:t>autres réseaux hétérogènes.</w:t>
      </w:r>
    </w:p>
    <w:p w14:paraId="49BB2087" w14:textId="77777777" w:rsidR="007304E3" w:rsidRPr="001260F7" w:rsidRDefault="007304E3" w:rsidP="007304E3">
      <w:r w:rsidRPr="001260F7">
        <w:br w:type="page"/>
      </w:r>
    </w:p>
    <w:p w14:paraId="47B48AEC" w14:textId="2BB72B3D" w:rsidR="007304E3" w:rsidRPr="001260F7" w:rsidRDefault="007304E3" w:rsidP="007304E3">
      <w:pPr>
        <w:pStyle w:val="Annextitle0"/>
        <w:spacing w:before="120" w:after="120"/>
        <w:rPr>
          <w:lang w:val="fr-FR"/>
        </w:rPr>
      </w:pPr>
      <w:r w:rsidRPr="001260F7">
        <w:rPr>
          <w:bCs/>
          <w:lang w:val="fr-FR"/>
        </w:rPr>
        <w:lastRenderedPageBreak/>
        <w:t>Annexe 2</w:t>
      </w:r>
      <w:r w:rsidR="00C4759C" w:rsidRPr="001260F7">
        <w:rPr>
          <w:bCs/>
          <w:lang w:val="fr-FR"/>
        </w:rPr>
        <w:br/>
      </w:r>
      <w:r w:rsidR="00C4759C" w:rsidRPr="001260F7">
        <w:rPr>
          <w:bCs/>
          <w:lang w:val="fr-FR"/>
        </w:rPr>
        <w:br/>
      </w:r>
      <w:r w:rsidRPr="001260F7">
        <w:rPr>
          <w:bCs/>
          <w:lang w:val="fr-FR"/>
        </w:rPr>
        <w:t>Objet: Réponse des États Membres à la Circulaire TSB 65: Consultation au sujet du texte déterminé des projets de nouvelles Recommandations UIT-T Y.3188 (anciennement Y.LDT-reqs-funcs), Y.3221 (anciennement Y.FMSC-LDS)</w:t>
      </w:r>
      <w:r w:rsidR="00C4759C" w:rsidRPr="001260F7">
        <w:rPr>
          <w:bCs/>
          <w:lang w:val="fr-FR"/>
        </w:rPr>
        <w:br/>
      </w:r>
      <w:r w:rsidRPr="001260F7">
        <w:rPr>
          <w:bCs/>
          <w:lang w:val="fr-FR"/>
        </w:rPr>
        <w:t>et Y.3222 (anciennement Y.FMSC-ConTrans)</w:t>
      </w:r>
    </w:p>
    <w:tbl>
      <w:tblPr>
        <w:tblW w:w="9957" w:type="dxa"/>
        <w:tblInd w:w="-176" w:type="dxa"/>
        <w:tblLayout w:type="fixed"/>
        <w:tblLook w:val="04A0" w:firstRow="1" w:lastRow="0" w:firstColumn="1" w:lastColumn="0" w:noHBand="0" w:noVBand="1"/>
      </w:tblPr>
      <w:tblGrid>
        <w:gridCol w:w="1346"/>
        <w:gridCol w:w="4217"/>
        <w:gridCol w:w="1273"/>
        <w:gridCol w:w="3121"/>
      </w:tblGrid>
      <w:tr w:rsidR="007304E3" w:rsidRPr="001260F7" w14:paraId="71A1BAA4" w14:textId="77777777" w:rsidTr="00120213">
        <w:tc>
          <w:tcPr>
            <w:tcW w:w="1346" w:type="dxa"/>
            <w:shd w:val="clear" w:color="auto" w:fill="auto"/>
          </w:tcPr>
          <w:p w14:paraId="744261E3" w14:textId="77777777" w:rsidR="007304E3" w:rsidRPr="001260F7" w:rsidRDefault="007304E3" w:rsidP="00120213">
            <w:pPr>
              <w:jc w:val="right"/>
              <w:rPr>
                <w:szCs w:val="24"/>
              </w:rPr>
            </w:pPr>
            <w:r w:rsidRPr="001260F7">
              <w:rPr>
                <w:b/>
                <w:bCs/>
                <w:szCs w:val="24"/>
              </w:rPr>
              <w:t>À</w:t>
            </w:r>
            <w:r w:rsidRPr="001260F7">
              <w:rPr>
                <w:szCs w:val="24"/>
              </w:rPr>
              <w:t>:</w:t>
            </w:r>
          </w:p>
        </w:tc>
        <w:tc>
          <w:tcPr>
            <w:tcW w:w="4217" w:type="dxa"/>
            <w:tcBorders>
              <w:right w:val="single" w:sz="8" w:space="0" w:color="auto"/>
            </w:tcBorders>
            <w:shd w:val="clear" w:color="auto" w:fill="auto"/>
          </w:tcPr>
          <w:p w14:paraId="31B23FB8" w14:textId="77777777" w:rsidR="007304E3" w:rsidRPr="001260F7" w:rsidRDefault="007304E3" w:rsidP="00120213">
            <w:pPr>
              <w:rPr>
                <w:szCs w:val="24"/>
              </w:rPr>
            </w:pPr>
            <w:r w:rsidRPr="001260F7">
              <w:rPr>
                <w:color w:val="000000"/>
              </w:rPr>
              <w:t>Directeur du Bureau de la normalisation des télécommunications</w:t>
            </w:r>
          </w:p>
          <w:p w14:paraId="1E43523C" w14:textId="77777777" w:rsidR="007304E3" w:rsidRPr="001260F7" w:rsidRDefault="007304E3" w:rsidP="00120213">
            <w:pPr>
              <w:spacing w:before="0"/>
              <w:rPr>
                <w:szCs w:val="24"/>
              </w:rPr>
            </w:pPr>
            <w:r w:rsidRPr="001260F7">
              <w:rPr>
                <w:color w:val="000000"/>
              </w:rPr>
              <w:t>Union internationale des télécommunications</w:t>
            </w:r>
          </w:p>
          <w:p w14:paraId="17B679DA" w14:textId="77777777" w:rsidR="007304E3" w:rsidRPr="001260F7" w:rsidRDefault="007304E3" w:rsidP="00120213">
            <w:pPr>
              <w:spacing w:before="0"/>
              <w:rPr>
                <w:szCs w:val="24"/>
              </w:rPr>
            </w:pPr>
            <w:r w:rsidRPr="001260F7">
              <w:rPr>
                <w:color w:val="000000"/>
              </w:rPr>
              <w:t>Place des Nations</w:t>
            </w:r>
          </w:p>
          <w:p w14:paraId="4E6D608F" w14:textId="77777777" w:rsidR="007304E3" w:rsidRPr="001260F7" w:rsidRDefault="007304E3" w:rsidP="00120213">
            <w:pPr>
              <w:spacing w:before="0"/>
              <w:rPr>
                <w:szCs w:val="24"/>
              </w:rPr>
            </w:pPr>
            <w:r w:rsidRPr="001260F7">
              <w:rPr>
                <w:color w:val="000000"/>
              </w:rPr>
              <w:t>CH-1211 Genève 20, Suisse</w:t>
            </w:r>
          </w:p>
        </w:tc>
        <w:tc>
          <w:tcPr>
            <w:tcW w:w="1273" w:type="dxa"/>
            <w:tcBorders>
              <w:left w:val="single" w:sz="8" w:space="0" w:color="auto"/>
            </w:tcBorders>
            <w:shd w:val="clear" w:color="auto" w:fill="auto"/>
          </w:tcPr>
          <w:p w14:paraId="551E28E9" w14:textId="77777777" w:rsidR="007304E3" w:rsidRPr="001260F7" w:rsidRDefault="007304E3" w:rsidP="00120213">
            <w:pPr>
              <w:jc w:val="right"/>
              <w:rPr>
                <w:szCs w:val="24"/>
              </w:rPr>
            </w:pPr>
            <w:r w:rsidRPr="001260F7">
              <w:rPr>
                <w:b/>
                <w:bCs/>
                <w:color w:val="000000"/>
              </w:rPr>
              <w:t>De</w:t>
            </w:r>
            <w:r w:rsidRPr="001260F7">
              <w:rPr>
                <w:color w:val="000000"/>
              </w:rPr>
              <w:t>:</w:t>
            </w:r>
          </w:p>
        </w:tc>
        <w:tc>
          <w:tcPr>
            <w:tcW w:w="3121" w:type="dxa"/>
            <w:shd w:val="clear" w:color="auto" w:fill="auto"/>
          </w:tcPr>
          <w:p w14:paraId="0114601E" w14:textId="77777777" w:rsidR="007304E3" w:rsidRPr="001260F7" w:rsidRDefault="007304E3" w:rsidP="00120213">
            <w:pPr>
              <w:rPr>
                <w:szCs w:val="24"/>
                <w:highlight w:val="green"/>
              </w:rPr>
            </w:pPr>
            <w:r w:rsidRPr="001260F7">
              <w:rPr>
                <w:color w:val="000000"/>
                <w:highlight w:val="green"/>
              </w:rPr>
              <w:t>[Nom]</w:t>
            </w:r>
          </w:p>
          <w:p w14:paraId="05B820D7" w14:textId="77777777" w:rsidR="007304E3" w:rsidRPr="001260F7" w:rsidRDefault="007304E3" w:rsidP="00120213">
            <w:pPr>
              <w:spacing w:before="0"/>
              <w:rPr>
                <w:szCs w:val="24"/>
                <w:highlight w:val="green"/>
              </w:rPr>
            </w:pPr>
            <w:r w:rsidRPr="001260F7">
              <w:rPr>
                <w:color w:val="000000"/>
                <w:highlight w:val="green"/>
              </w:rPr>
              <w:t>[Rôle/titre officiel]</w:t>
            </w:r>
          </w:p>
          <w:p w14:paraId="03D08598" w14:textId="77777777" w:rsidR="007304E3" w:rsidRPr="001260F7" w:rsidRDefault="007304E3" w:rsidP="00120213">
            <w:pPr>
              <w:spacing w:before="0"/>
              <w:rPr>
                <w:szCs w:val="24"/>
              </w:rPr>
            </w:pPr>
            <w:r w:rsidRPr="001260F7">
              <w:rPr>
                <w:color w:val="000000"/>
                <w:highlight w:val="green"/>
              </w:rPr>
              <w:t>[Adresse]</w:t>
            </w:r>
          </w:p>
        </w:tc>
      </w:tr>
      <w:tr w:rsidR="007304E3" w:rsidRPr="001260F7" w14:paraId="53B629CB" w14:textId="77777777" w:rsidTr="00120213">
        <w:tc>
          <w:tcPr>
            <w:tcW w:w="1346" w:type="dxa"/>
            <w:shd w:val="clear" w:color="auto" w:fill="auto"/>
          </w:tcPr>
          <w:p w14:paraId="64821CC4" w14:textId="77777777" w:rsidR="007304E3" w:rsidRPr="001260F7" w:rsidRDefault="007304E3" w:rsidP="00120213">
            <w:pPr>
              <w:spacing w:before="0"/>
              <w:jc w:val="right"/>
              <w:rPr>
                <w:szCs w:val="24"/>
              </w:rPr>
            </w:pPr>
            <w:r w:rsidRPr="001260F7">
              <w:rPr>
                <w:b/>
                <w:bCs/>
                <w:color w:val="000000"/>
              </w:rPr>
              <w:t>Télécopie</w:t>
            </w:r>
            <w:r w:rsidRPr="001260F7">
              <w:rPr>
                <w:color w:val="000000"/>
              </w:rPr>
              <w:t>:</w:t>
            </w:r>
          </w:p>
          <w:p w14:paraId="6E9664E4" w14:textId="77777777" w:rsidR="007304E3" w:rsidRPr="001260F7" w:rsidRDefault="007304E3" w:rsidP="00120213">
            <w:pPr>
              <w:spacing w:before="0"/>
              <w:jc w:val="right"/>
              <w:rPr>
                <w:szCs w:val="24"/>
              </w:rPr>
            </w:pPr>
            <w:r w:rsidRPr="001260F7">
              <w:rPr>
                <w:b/>
                <w:bCs/>
                <w:color w:val="000000"/>
              </w:rPr>
              <w:t>Courriel</w:t>
            </w:r>
            <w:r w:rsidRPr="001260F7">
              <w:rPr>
                <w:color w:val="000000"/>
              </w:rPr>
              <w:t>:</w:t>
            </w:r>
          </w:p>
        </w:tc>
        <w:tc>
          <w:tcPr>
            <w:tcW w:w="4217" w:type="dxa"/>
            <w:tcBorders>
              <w:right w:val="single" w:sz="8" w:space="0" w:color="auto"/>
            </w:tcBorders>
            <w:shd w:val="clear" w:color="auto" w:fill="auto"/>
          </w:tcPr>
          <w:p w14:paraId="1AA968EE" w14:textId="77777777" w:rsidR="007304E3" w:rsidRPr="001260F7" w:rsidRDefault="007304E3" w:rsidP="00120213">
            <w:pPr>
              <w:spacing w:before="0"/>
              <w:rPr>
                <w:szCs w:val="24"/>
              </w:rPr>
            </w:pPr>
            <w:r w:rsidRPr="001260F7">
              <w:rPr>
                <w:color w:val="000000"/>
              </w:rPr>
              <w:t>+41-22-730-5853</w:t>
            </w:r>
          </w:p>
          <w:p w14:paraId="702B2DBA" w14:textId="2D028E2A" w:rsidR="007304E3" w:rsidRPr="001260F7" w:rsidRDefault="007304E3" w:rsidP="00120213">
            <w:pPr>
              <w:spacing w:before="0"/>
              <w:rPr>
                <w:rStyle w:val="Hyperlink"/>
              </w:rPr>
            </w:pPr>
            <w:hyperlink r:id="rId20" w:history="1">
              <w:r w:rsidRPr="001260F7">
                <w:rPr>
                  <w:rStyle w:val="Hyperlink"/>
                </w:rPr>
                <w:t>tsbdir@itu.int</w:t>
              </w:r>
            </w:hyperlink>
          </w:p>
        </w:tc>
        <w:tc>
          <w:tcPr>
            <w:tcW w:w="1273" w:type="dxa"/>
            <w:tcBorders>
              <w:left w:val="single" w:sz="8" w:space="0" w:color="auto"/>
            </w:tcBorders>
            <w:shd w:val="clear" w:color="auto" w:fill="auto"/>
          </w:tcPr>
          <w:p w14:paraId="43862C69" w14:textId="77777777" w:rsidR="007304E3" w:rsidRPr="001260F7" w:rsidRDefault="007304E3" w:rsidP="00120213">
            <w:pPr>
              <w:spacing w:before="0"/>
              <w:jc w:val="right"/>
              <w:rPr>
                <w:szCs w:val="24"/>
              </w:rPr>
            </w:pPr>
            <w:r w:rsidRPr="001260F7">
              <w:rPr>
                <w:b/>
                <w:bCs/>
                <w:color w:val="000000"/>
              </w:rPr>
              <w:t>Télécopie</w:t>
            </w:r>
            <w:r w:rsidRPr="001260F7">
              <w:rPr>
                <w:color w:val="000000"/>
              </w:rPr>
              <w:t>:</w:t>
            </w:r>
          </w:p>
          <w:p w14:paraId="0D628B18" w14:textId="77777777" w:rsidR="007304E3" w:rsidRPr="001260F7" w:rsidRDefault="007304E3" w:rsidP="00120213">
            <w:pPr>
              <w:spacing w:before="0"/>
              <w:jc w:val="right"/>
              <w:rPr>
                <w:szCs w:val="24"/>
              </w:rPr>
            </w:pPr>
            <w:r w:rsidRPr="001260F7">
              <w:rPr>
                <w:b/>
                <w:bCs/>
                <w:color w:val="000000"/>
              </w:rPr>
              <w:t>Courriel</w:t>
            </w:r>
            <w:r w:rsidRPr="001260F7">
              <w:rPr>
                <w:color w:val="000000"/>
              </w:rPr>
              <w:t>:</w:t>
            </w:r>
          </w:p>
        </w:tc>
        <w:tc>
          <w:tcPr>
            <w:tcW w:w="3121" w:type="dxa"/>
            <w:shd w:val="clear" w:color="auto" w:fill="auto"/>
          </w:tcPr>
          <w:p w14:paraId="187ECE1F" w14:textId="77777777" w:rsidR="007304E3" w:rsidRPr="001260F7" w:rsidRDefault="007304E3" w:rsidP="00120213">
            <w:pPr>
              <w:spacing w:before="0"/>
              <w:rPr>
                <w:szCs w:val="24"/>
              </w:rPr>
            </w:pPr>
          </w:p>
        </w:tc>
      </w:tr>
      <w:tr w:rsidR="007304E3" w:rsidRPr="001260F7" w14:paraId="3E70C627" w14:textId="77777777" w:rsidTr="00120213">
        <w:tc>
          <w:tcPr>
            <w:tcW w:w="1346" w:type="dxa"/>
            <w:shd w:val="clear" w:color="auto" w:fill="auto"/>
          </w:tcPr>
          <w:p w14:paraId="0E6E22DF" w14:textId="77777777" w:rsidR="007304E3" w:rsidRPr="001260F7" w:rsidRDefault="007304E3" w:rsidP="00120213">
            <w:pPr>
              <w:spacing w:before="0"/>
              <w:jc w:val="right"/>
              <w:rPr>
                <w:szCs w:val="24"/>
              </w:rPr>
            </w:pPr>
          </w:p>
        </w:tc>
        <w:tc>
          <w:tcPr>
            <w:tcW w:w="4217" w:type="dxa"/>
            <w:tcBorders>
              <w:right w:val="single" w:sz="8" w:space="0" w:color="auto"/>
            </w:tcBorders>
            <w:shd w:val="clear" w:color="auto" w:fill="auto"/>
          </w:tcPr>
          <w:p w14:paraId="323C7B7C" w14:textId="77777777" w:rsidR="007304E3" w:rsidRPr="001260F7" w:rsidRDefault="007304E3" w:rsidP="00120213">
            <w:pPr>
              <w:spacing w:before="0"/>
              <w:rPr>
                <w:szCs w:val="24"/>
              </w:rPr>
            </w:pPr>
          </w:p>
        </w:tc>
        <w:tc>
          <w:tcPr>
            <w:tcW w:w="1273" w:type="dxa"/>
            <w:tcBorders>
              <w:left w:val="single" w:sz="8" w:space="0" w:color="auto"/>
            </w:tcBorders>
            <w:shd w:val="clear" w:color="auto" w:fill="auto"/>
          </w:tcPr>
          <w:p w14:paraId="555A1FE8" w14:textId="77777777" w:rsidR="007304E3" w:rsidRPr="001260F7" w:rsidRDefault="007304E3" w:rsidP="00120213">
            <w:pPr>
              <w:spacing w:before="0"/>
              <w:jc w:val="right"/>
              <w:rPr>
                <w:szCs w:val="24"/>
              </w:rPr>
            </w:pPr>
            <w:r w:rsidRPr="001260F7">
              <w:rPr>
                <w:b/>
                <w:bCs/>
                <w:color w:val="000000"/>
              </w:rPr>
              <w:t>Date</w:t>
            </w:r>
            <w:r w:rsidRPr="001260F7">
              <w:rPr>
                <w:color w:val="000000"/>
              </w:rPr>
              <w:t>:</w:t>
            </w:r>
          </w:p>
        </w:tc>
        <w:tc>
          <w:tcPr>
            <w:tcW w:w="3121" w:type="dxa"/>
            <w:shd w:val="clear" w:color="auto" w:fill="auto"/>
          </w:tcPr>
          <w:p w14:paraId="7D86FBA4" w14:textId="77777777" w:rsidR="007304E3" w:rsidRPr="001260F7" w:rsidRDefault="007304E3" w:rsidP="00120213">
            <w:pPr>
              <w:spacing w:before="0"/>
              <w:rPr>
                <w:szCs w:val="24"/>
              </w:rPr>
            </w:pPr>
            <w:r w:rsidRPr="001260F7">
              <w:rPr>
                <w:color w:val="000000"/>
                <w:highlight w:val="green"/>
              </w:rPr>
              <w:t>[Lieu,] [Date]</w:t>
            </w:r>
          </w:p>
        </w:tc>
      </w:tr>
    </w:tbl>
    <w:p w14:paraId="076E9E83" w14:textId="77777777" w:rsidR="007304E3" w:rsidRPr="001260F7" w:rsidRDefault="007304E3" w:rsidP="007304E3">
      <w:pPr>
        <w:rPr>
          <w:szCs w:val="24"/>
        </w:rPr>
      </w:pPr>
      <w:r w:rsidRPr="001260F7">
        <w:t>Madame, Monsieur,</w:t>
      </w:r>
    </w:p>
    <w:p w14:paraId="39C3C0FC" w14:textId="77777777" w:rsidR="007304E3" w:rsidRPr="001260F7" w:rsidRDefault="007304E3" w:rsidP="00C4759C">
      <w:pPr>
        <w:spacing w:after="120"/>
        <w:rPr>
          <w:szCs w:val="24"/>
        </w:rPr>
      </w:pPr>
      <w:r w:rsidRPr="001260F7">
        <w:t>Dans le cadre de la consultation des États Membres au sujet des projets de textes déterminés dont il est question dans la Circulaire TSB 65, je vous indique par la présente l'opinion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172"/>
      </w:tblGrid>
      <w:tr w:rsidR="007304E3" w:rsidRPr="001260F7" w14:paraId="60B4EAF3" w14:textId="77777777" w:rsidTr="00C4759C">
        <w:tc>
          <w:tcPr>
            <w:tcW w:w="2547" w:type="dxa"/>
            <w:shd w:val="clear" w:color="auto" w:fill="auto"/>
            <w:vAlign w:val="center"/>
          </w:tcPr>
          <w:p w14:paraId="25CF62A2" w14:textId="77777777" w:rsidR="007304E3" w:rsidRPr="001260F7" w:rsidRDefault="007304E3" w:rsidP="00120213">
            <w:pPr>
              <w:spacing w:before="40" w:after="40"/>
              <w:jc w:val="center"/>
              <w:rPr>
                <w:b/>
                <w:bCs/>
                <w:szCs w:val="24"/>
              </w:rPr>
            </w:pPr>
          </w:p>
        </w:tc>
        <w:tc>
          <w:tcPr>
            <w:tcW w:w="7172" w:type="dxa"/>
            <w:shd w:val="clear" w:color="auto" w:fill="auto"/>
            <w:vAlign w:val="center"/>
          </w:tcPr>
          <w:p w14:paraId="2007A796" w14:textId="77777777" w:rsidR="007304E3" w:rsidRPr="001260F7" w:rsidRDefault="007304E3" w:rsidP="00120213">
            <w:pPr>
              <w:tabs>
                <w:tab w:val="clear" w:pos="794"/>
                <w:tab w:val="clear" w:pos="1191"/>
                <w:tab w:val="clear" w:pos="1588"/>
                <w:tab w:val="clear" w:pos="1985"/>
              </w:tabs>
              <w:spacing w:before="40" w:after="40"/>
              <w:ind w:left="939" w:hanging="459"/>
              <w:jc w:val="center"/>
              <w:rPr>
                <w:b/>
                <w:bCs/>
                <w:szCs w:val="24"/>
              </w:rPr>
            </w:pPr>
            <w:r w:rsidRPr="001260F7">
              <w:rPr>
                <w:b/>
                <w:bCs/>
                <w:color w:val="000000"/>
                <w:szCs w:val="24"/>
              </w:rPr>
              <w:t>Cochez l'une des deux cases pour chaque texte</w:t>
            </w:r>
          </w:p>
        </w:tc>
      </w:tr>
      <w:tr w:rsidR="007304E3" w:rsidRPr="001260F7" w14:paraId="048DAC26" w14:textId="77777777" w:rsidTr="00C4759C">
        <w:trPr>
          <w:trHeight w:val="748"/>
        </w:trPr>
        <w:tc>
          <w:tcPr>
            <w:tcW w:w="2547" w:type="dxa"/>
            <w:vMerge w:val="restart"/>
            <w:shd w:val="clear" w:color="auto" w:fill="auto"/>
            <w:vAlign w:val="center"/>
          </w:tcPr>
          <w:p w14:paraId="17A654BB" w14:textId="46A09C10" w:rsidR="007304E3" w:rsidRPr="001260F7" w:rsidRDefault="007304E3" w:rsidP="00120213">
            <w:pPr>
              <w:spacing w:before="40" w:after="40"/>
              <w:jc w:val="center"/>
              <w:rPr>
                <w:b/>
                <w:bCs/>
                <w:szCs w:val="24"/>
              </w:rPr>
            </w:pPr>
            <w:r w:rsidRPr="001260F7">
              <w:rPr>
                <w:b/>
                <w:bCs/>
                <w:color w:val="000000"/>
                <w:szCs w:val="24"/>
              </w:rPr>
              <w:t>Projet de nouvelle Recommandation UIT</w:t>
            </w:r>
            <w:r w:rsidR="00C4759C" w:rsidRPr="001260F7">
              <w:rPr>
                <w:b/>
                <w:bCs/>
                <w:color w:val="000000"/>
                <w:szCs w:val="24"/>
              </w:rPr>
              <w:noBreakHyphen/>
            </w:r>
            <w:r w:rsidRPr="001260F7">
              <w:rPr>
                <w:b/>
                <w:bCs/>
                <w:color w:val="000000"/>
                <w:szCs w:val="24"/>
              </w:rPr>
              <w:t>T</w:t>
            </w:r>
            <w:r w:rsidR="00C4759C" w:rsidRPr="001260F7">
              <w:rPr>
                <w:b/>
                <w:bCs/>
                <w:color w:val="000000"/>
                <w:szCs w:val="24"/>
              </w:rPr>
              <w:t> </w:t>
            </w:r>
            <w:r w:rsidRPr="001260F7">
              <w:rPr>
                <w:b/>
                <w:bCs/>
                <w:color w:val="000000"/>
                <w:szCs w:val="24"/>
              </w:rPr>
              <w:t>Y.3188 (anciennement Y.LDT</w:t>
            </w:r>
            <w:r w:rsidR="00C4759C" w:rsidRPr="001260F7">
              <w:rPr>
                <w:b/>
                <w:bCs/>
                <w:color w:val="000000"/>
                <w:szCs w:val="24"/>
              </w:rPr>
              <w:noBreakHyphen/>
            </w:r>
            <w:r w:rsidRPr="001260F7">
              <w:rPr>
                <w:b/>
                <w:bCs/>
                <w:color w:val="000000"/>
                <w:szCs w:val="24"/>
              </w:rPr>
              <w:t>reqs-funcs)</w:t>
            </w:r>
          </w:p>
        </w:tc>
        <w:tc>
          <w:tcPr>
            <w:tcW w:w="7172" w:type="dxa"/>
            <w:shd w:val="clear" w:color="auto" w:fill="auto"/>
            <w:vAlign w:val="center"/>
          </w:tcPr>
          <w:p w14:paraId="630D455A" w14:textId="77777777" w:rsidR="007304E3" w:rsidRPr="001260F7" w:rsidRDefault="007304E3" w:rsidP="00120213">
            <w:pPr>
              <w:tabs>
                <w:tab w:val="clear" w:pos="794"/>
                <w:tab w:val="clear" w:pos="1191"/>
                <w:tab w:val="clear" w:pos="1588"/>
                <w:tab w:val="clear" w:pos="1985"/>
              </w:tabs>
              <w:spacing w:before="40" w:after="40"/>
              <w:ind w:left="459" w:hanging="459"/>
              <w:rPr>
                <w:szCs w:val="24"/>
              </w:rPr>
            </w:pPr>
            <w:r w:rsidRPr="001260F7">
              <w:rPr>
                <w:szCs w:val="24"/>
              </w:rPr>
              <w:fldChar w:fldCharType="begin">
                <w:ffData>
                  <w:name w:val="Check1"/>
                  <w:enabled/>
                  <w:calcOnExit w:val="0"/>
                  <w:checkBox>
                    <w:sizeAuto/>
                    <w:default w:val="0"/>
                  </w:checkBox>
                </w:ffData>
              </w:fldChar>
            </w:r>
            <w:r w:rsidRPr="001260F7">
              <w:rPr>
                <w:szCs w:val="24"/>
              </w:rPr>
              <w:instrText xml:space="preserve"> FORMCHECKBOX </w:instrText>
            </w:r>
            <w:r w:rsidRPr="001260F7">
              <w:rPr>
                <w:szCs w:val="24"/>
              </w:rPr>
            </w:r>
            <w:r w:rsidRPr="001260F7">
              <w:rPr>
                <w:szCs w:val="24"/>
              </w:rPr>
              <w:fldChar w:fldCharType="separate"/>
            </w:r>
            <w:r w:rsidRPr="001260F7">
              <w:rPr>
                <w:szCs w:val="24"/>
              </w:rPr>
              <w:fldChar w:fldCharType="end"/>
            </w:r>
            <w:r w:rsidRPr="001260F7">
              <w:rPr>
                <w:color w:val="000000"/>
                <w:szCs w:val="24"/>
              </w:rPr>
              <w:tab/>
            </w:r>
            <w:r w:rsidRPr="001260F7">
              <w:rPr>
                <w:b/>
                <w:bCs/>
                <w:color w:val="000000"/>
                <w:szCs w:val="24"/>
              </w:rPr>
              <w:t xml:space="preserve">Autorise </w:t>
            </w:r>
            <w:r w:rsidRPr="001260F7">
              <w:rPr>
                <w:color w:val="000000"/>
                <w:szCs w:val="24"/>
              </w:rPr>
              <w:t>la Commission d'études 13 à procéder à l'examen de ce document en vue de son approbation (dans ce cas, sélectionnez l'une des deux options ⃝):</w:t>
            </w:r>
          </w:p>
          <w:p w14:paraId="0F2A691C" w14:textId="77777777" w:rsidR="007304E3" w:rsidRPr="001260F7" w:rsidRDefault="007304E3" w:rsidP="00120213">
            <w:pPr>
              <w:tabs>
                <w:tab w:val="clear" w:pos="794"/>
                <w:tab w:val="clear" w:pos="1191"/>
                <w:tab w:val="clear" w:pos="1588"/>
                <w:tab w:val="clear" w:pos="1985"/>
              </w:tabs>
              <w:spacing w:before="40" w:after="40"/>
              <w:ind w:left="939" w:hanging="459"/>
              <w:rPr>
                <w:szCs w:val="24"/>
              </w:rPr>
            </w:pPr>
            <w:r w:rsidRPr="001260F7">
              <w:rPr>
                <w:color w:val="000000"/>
                <w:szCs w:val="24"/>
              </w:rPr>
              <w:t>⃝</w:t>
            </w:r>
            <w:r w:rsidRPr="001260F7">
              <w:rPr>
                <w:color w:val="000000"/>
                <w:szCs w:val="24"/>
              </w:rPr>
              <w:tab/>
              <w:t>Pas de commentaire ou de proposition de modification.</w:t>
            </w:r>
          </w:p>
          <w:p w14:paraId="690F21B9" w14:textId="77777777" w:rsidR="007304E3" w:rsidRPr="001260F7" w:rsidRDefault="007304E3" w:rsidP="00120213">
            <w:pPr>
              <w:tabs>
                <w:tab w:val="clear" w:pos="794"/>
                <w:tab w:val="clear" w:pos="1191"/>
                <w:tab w:val="clear" w:pos="1588"/>
                <w:tab w:val="clear" w:pos="1985"/>
              </w:tabs>
              <w:spacing w:before="40" w:after="40"/>
              <w:ind w:left="939" w:hanging="459"/>
              <w:rPr>
                <w:szCs w:val="24"/>
              </w:rPr>
            </w:pPr>
            <w:r w:rsidRPr="001260F7">
              <w:rPr>
                <w:color w:val="000000"/>
                <w:szCs w:val="24"/>
              </w:rPr>
              <w:t>⃝</w:t>
            </w:r>
            <w:r w:rsidRPr="001260F7">
              <w:rPr>
                <w:color w:val="000000"/>
                <w:szCs w:val="24"/>
              </w:rPr>
              <w:tab/>
              <w:t>Des commentaires ou propositions de modification sont joints à la présente.</w:t>
            </w:r>
          </w:p>
        </w:tc>
      </w:tr>
      <w:tr w:rsidR="007304E3" w:rsidRPr="001260F7" w14:paraId="2427E7E0" w14:textId="77777777" w:rsidTr="00C4759C">
        <w:trPr>
          <w:trHeight w:val="747"/>
        </w:trPr>
        <w:tc>
          <w:tcPr>
            <w:tcW w:w="2547" w:type="dxa"/>
            <w:vMerge/>
            <w:shd w:val="clear" w:color="auto" w:fill="auto"/>
            <w:vAlign w:val="center"/>
          </w:tcPr>
          <w:p w14:paraId="4A11DD89" w14:textId="77777777" w:rsidR="007304E3" w:rsidRPr="001260F7" w:rsidRDefault="007304E3" w:rsidP="00120213">
            <w:pPr>
              <w:spacing w:before="40" w:after="40"/>
              <w:jc w:val="center"/>
              <w:rPr>
                <w:b/>
                <w:bCs/>
                <w:szCs w:val="24"/>
              </w:rPr>
            </w:pPr>
          </w:p>
        </w:tc>
        <w:tc>
          <w:tcPr>
            <w:tcW w:w="7172" w:type="dxa"/>
            <w:shd w:val="clear" w:color="auto" w:fill="auto"/>
            <w:vAlign w:val="center"/>
          </w:tcPr>
          <w:p w14:paraId="2A6C9F4C" w14:textId="77777777" w:rsidR="007304E3" w:rsidRPr="001260F7" w:rsidRDefault="007304E3" w:rsidP="00120213">
            <w:pPr>
              <w:tabs>
                <w:tab w:val="clear" w:pos="794"/>
                <w:tab w:val="clear" w:pos="1191"/>
                <w:tab w:val="clear" w:pos="1588"/>
                <w:tab w:val="clear" w:pos="1985"/>
                <w:tab w:val="left" w:pos="250"/>
              </w:tabs>
              <w:spacing w:before="40" w:after="40"/>
              <w:ind w:left="459" w:hanging="459"/>
              <w:rPr>
                <w:szCs w:val="24"/>
              </w:rPr>
            </w:pPr>
            <w:r w:rsidRPr="001260F7">
              <w:rPr>
                <w:szCs w:val="24"/>
              </w:rPr>
              <w:fldChar w:fldCharType="begin">
                <w:ffData>
                  <w:name w:val="Check1"/>
                  <w:enabled/>
                  <w:calcOnExit w:val="0"/>
                  <w:checkBox>
                    <w:sizeAuto/>
                    <w:default w:val="0"/>
                  </w:checkBox>
                </w:ffData>
              </w:fldChar>
            </w:r>
            <w:r w:rsidRPr="001260F7">
              <w:rPr>
                <w:szCs w:val="24"/>
              </w:rPr>
              <w:instrText xml:space="preserve"> FORMCHECKBOX </w:instrText>
            </w:r>
            <w:r w:rsidRPr="001260F7">
              <w:rPr>
                <w:szCs w:val="24"/>
              </w:rPr>
            </w:r>
            <w:r w:rsidRPr="001260F7">
              <w:rPr>
                <w:szCs w:val="24"/>
              </w:rPr>
              <w:fldChar w:fldCharType="separate"/>
            </w:r>
            <w:r w:rsidRPr="001260F7">
              <w:rPr>
                <w:szCs w:val="24"/>
              </w:rPr>
              <w:fldChar w:fldCharType="end"/>
            </w:r>
            <w:r w:rsidRPr="001260F7">
              <w:rPr>
                <w:color w:val="000000"/>
                <w:szCs w:val="24"/>
              </w:rPr>
              <w:tab/>
            </w:r>
            <w:r w:rsidRPr="001260F7">
              <w:rPr>
                <w:b/>
                <w:bCs/>
                <w:color w:val="000000"/>
                <w:szCs w:val="24"/>
              </w:rPr>
              <w:t>N'autorise pas</w:t>
            </w:r>
            <w:r w:rsidRPr="001260F7">
              <w:rPr>
                <w:color w:val="000000"/>
                <w:szCs w:val="24"/>
              </w:rPr>
              <w:t xml:space="preserve"> la Commission d'études 13 à procéder à l'examen de ce document en vue de son approbation (les motifs de cette décision et une description des éventuelles modifications qui permettraient la poursuite des travaux sont joints à la présente).</w:t>
            </w:r>
          </w:p>
        </w:tc>
      </w:tr>
      <w:tr w:rsidR="007304E3" w:rsidRPr="001260F7" w14:paraId="54515357" w14:textId="77777777" w:rsidTr="00C4759C">
        <w:tc>
          <w:tcPr>
            <w:tcW w:w="2547" w:type="dxa"/>
            <w:vMerge w:val="restart"/>
            <w:shd w:val="clear" w:color="auto" w:fill="auto"/>
            <w:vAlign w:val="center"/>
          </w:tcPr>
          <w:p w14:paraId="29F737DF" w14:textId="3B1A3A6C" w:rsidR="007304E3" w:rsidRPr="001260F7" w:rsidRDefault="007304E3" w:rsidP="00120213">
            <w:pPr>
              <w:spacing w:before="40" w:after="40"/>
              <w:jc w:val="center"/>
              <w:rPr>
                <w:b/>
                <w:bCs/>
                <w:szCs w:val="24"/>
              </w:rPr>
            </w:pPr>
            <w:r w:rsidRPr="001260F7">
              <w:rPr>
                <w:b/>
                <w:bCs/>
                <w:color w:val="000000"/>
                <w:szCs w:val="24"/>
              </w:rPr>
              <w:t>Projet de nouvelle Recommandation UIT</w:t>
            </w:r>
            <w:r w:rsidR="00C4759C" w:rsidRPr="001260F7">
              <w:rPr>
                <w:b/>
                <w:bCs/>
                <w:color w:val="000000"/>
                <w:szCs w:val="24"/>
              </w:rPr>
              <w:noBreakHyphen/>
            </w:r>
            <w:r w:rsidRPr="001260F7">
              <w:rPr>
                <w:b/>
                <w:bCs/>
                <w:color w:val="000000"/>
                <w:szCs w:val="24"/>
              </w:rPr>
              <w:t>T</w:t>
            </w:r>
            <w:r w:rsidR="00C4759C" w:rsidRPr="001260F7">
              <w:rPr>
                <w:b/>
                <w:bCs/>
                <w:color w:val="000000"/>
                <w:szCs w:val="24"/>
              </w:rPr>
              <w:t> </w:t>
            </w:r>
            <w:r w:rsidRPr="001260F7">
              <w:rPr>
                <w:b/>
                <w:bCs/>
                <w:color w:val="000000"/>
                <w:szCs w:val="24"/>
              </w:rPr>
              <w:t>Y.3221 (anciennement Y.FMSC</w:t>
            </w:r>
            <w:r w:rsidR="00C4759C" w:rsidRPr="001260F7">
              <w:rPr>
                <w:b/>
                <w:bCs/>
                <w:color w:val="000000"/>
                <w:szCs w:val="24"/>
              </w:rPr>
              <w:noBreakHyphen/>
            </w:r>
            <w:r w:rsidRPr="001260F7">
              <w:rPr>
                <w:b/>
                <w:bCs/>
                <w:color w:val="000000"/>
                <w:szCs w:val="24"/>
              </w:rPr>
              <w:t>LDS)</w:t>
            </w:r>
          </w:p>
        </w:tc>
        <w:tc>
          <w:tcPr>
            <w:tcW w:w="7172" w:type="dxa"/>
            <w:shd w:val="clear" w:color="auto" w:fill="auto"/>
            <w:vAlign w:val="center"/>
          </w:tcPr>
          <w:p w14:paraId="0C272208" w14:textId="77777777" w:rsidR="007304E3" w:rsidRPr="001260F7" w:rsidRDefault="007304E3" w:rsidP="00120213">
            <w:pPr>
              <w:tabs>
                <w:tab w:val="clear" w:pos="794"/>
                <w:tab w:val="clear" w:pos="1191"/>
                <w:tab w:val="clear" w:pos="1588"/>
                <w:tab w:val="clear" w:pos="1985"/>
              </w:tabs>
              <w:spacing w:before="40" w:after="40"/>
              <w:ind w:left="939" w:hanging="459"/>
              <w:jc w:val="center"/>
              <w:rPr>
                <w:b/>
                <w:bCs/>
                <w:szCs w:val="24"/>
              </w:rPr>
            </w:pPr>
            <w:r w:rsidRPr="001260F7">
              <w:rPr>
                <w:b/>
                <w:bCs/>
                <w:color w:val="000000"/>
                <w:szCs w:val="24"/>
              </w:rPr>
              <w:t>Cochez l'une des deux cases pour chaque texte</w:t>
            </w:r>
          </w:p>
        </w:tc>
      </w:tr>
      <w:tr w:rsidR="007304E3" w:rsidRPr="001260F7" w14:paraId="498B86EE" w14:textId="77777777" w:rsidTr="00C4759C">
        <w:trPr>
          <w:trHeight w:val="748"/>
        </w:trPr>
        <w:tc>
          <w:tcPr>
            <w:tcW w:w="2547" w:type="dxa"/>
            <w:vMerge/>
            <w:shd w:val="clear" w:color="auto" w:fill="auto"/>
            <w:vAlign w:val="center"/>
          </w:tcPr>
          <w:p w14:paraId="4EF7008E" w14:textId="77777777" w:rsidR="007304E3" w:rsidRPr="001260F7" w:rsidRDefault="007304E3" w:rsidP="00120213">
            <w:pPr>
              <w:spacing w:before="40" w:after="40"/>
              <w:jc w:val="center"/>
              <w:rPr>
                <w:b/>
                <w:bCs/>
                <w:szCs w:val="24"/>
              </w:rPr>
            </w:pPr>
          </w:p>
        </w:tc>
        <w:tc>
          <w:tcPr>
            <w:tcW w:w="7172" w:type="dxa"/>
            <w:shd w:val="clear" w:color="auto" w:fill="auto"/>
            <w:vAlign w:val="center"/>
          </w:tcPr>
          <w:p w14:paraId="74DD1A27" w14:textId="77777777" w:rsidR="007304E3" w:rsidRPr="001260F7" w:rsidRDefault="007304E3" w:rsidP="00120213">
            <w:pPr>
              <w:tabs>
                <w:tab w:val="clear" w:pos="794"/>
                <w:tab w:val="clear" w:pos="1191"/>
                <w:tab w:val="clear" w:pos="1588"/>
                <w:tab w:val="clear" w:pos="1985"/>
              </w:tabs>
              <w:spacing w:before="40" w:after="40"/>
              <w:ind w:left="459" w:hanging="459"/>
              <w:rPr>
                <w:szCs w:val="24"/>
              </w:rPr>
            </w:pPr>
            <w:r w:rsidRPr="001260F7">
              <w:rPr>
                <w:szCs w:val="24"/>
              </w:rPr>
              <w:fldChar w:fldCharType="begin">
                <w:ffData>
                  <w:name w:val="Check1"/>
                  <w:enabled/>
                  <w:calcOnExit w:val="0"/>
                  <w:checkBox>
                    <w:sizeAuto/>
                    <w:default w:val="0"/>
                  </w:checkBox>
                </w:ffData>
              </w:fldChar>
            </w:r>
            <w:r w:rsidRPr="001260F7">
              <w:rPr>
                <w:szCs w:val="24"/>
              </w:rPr>
              <w:instrText xml:space="preserve"> FORMCHECKBOX </w:instrText>
            </w:r>
            <w:r w:rsidRPr="001260F7">
              <w:rPr>
                <w:szCs w:val="24"/>
              </w:rPr>
            </w:r>
            <w:r w:rsidRPr="001260F7">
              <w:rPr>
                <w:szCs w:val="24"/>
              </w:rPr>
              <w:fldChar w:fldCharType="separate"/>
            </w:r>
            <w:r w:rsidRPr="001260F7">
              <w:rPr>
                <w:szCs w:val="24"/>
              </w:rPr>
              <w:fldChar w:fldCharType="end"/>
            </w:r>
            <w:r w:rsidRPr="001260F7">
              <w:rPr>
                <w:color w:val="000000"/>
                <w:szCs w:val="24"/>
              </w:rPr>
              <w:tab/>
            </w:r>
            <w:r w:rsidRPr="001260F7">
              <w:rPr>
                <w:b/>
                <w:bCs/>
                <w:color w:val="000000"/>
                <w:szCs w:val="24"/>
              </w:rPr>
              <w:t xml:space="preserve">Autorise </w:t>
            </w:r>
            <w:r w:rsidRPr="001260F7">
              <w:rPr>
                <w:color w:val="000000"/>
                <w:szCs w:val="24"/>
              </w:rPr>
              <w:t>la Commission d'études 13 à procéder à l'examen de ce document en vue de son approbation (dans ce cas, sélectionnez l'une des deux options ⃝):</w:t>
            </w:r>
          </w:p>
          <w:p w14:paraId="614150D0" w14:textId="77777777" w:rsidR="007304E3" w:rsidRPr="001260F7" w:rsidRDefault="007304E3" w:rsidP="00120213">
            <w:pPr>
              <w:tabs>
                <w:tab w:val="clear" w:pos="794"/>
                <w:tab w:val="clear" w:pos="1191"/>
                <w:tab w:val="clear" w:pos="1588"/>
                <w:tab w:val="clear" w:pos="1985"/>
              </w:tabs>
              <w:spacing w:before="40" w:after="40"/>
              <w:ind w:left="939" w:hanging="459"/>
              <w:rPr>
                <w:szCs w:val="24"/>
              </w:rPr>
            </w:pPr>
            <w:r w:rsidRPr="001260F7">
              <w:rPr>
                <w:color w:val="000000"/>
                <w:szCs w:val="24"/>
              </w:rPr>
              <w:t>⃝</w:t>
            </w:r>
            <w:r w:rsidRPr="001260F7">
              <w:rPr>
                <w:color w:val="000000"/>
                <w:szCs w:val="24"/>
              </w:rPr>
              <w:tab/>
              <w:t>Pas de commentaire ou de proposition de modification.</w:t>
            </w:r>
          </w:p>
          <w:p w14:paraId="21C62523" w14:textId="77777777" w:rsidR="007304E3" w:rsidRPr="001260F7" w:rsidRDefault="007304E3" w:rsidP="00120213">
            <w:pPr>
              <w:tabs>
                <w:tab w:val="clear" w:pos="794"/>
                <w:tab w:val="clear" w:pos="1191"/>
                <w:tab w:val="clear" w:pos="1588"/>
                <w:tab w:val="clear" w:pos="1985"/>
              </w:tabs>
              <w:spacing w:before="40" w:after="40"/>
              <w:ind w:left="939" w:hanging="459"/>
              <w:rPr>
                <w:szCs w:val="24"/>
              </w:rPr>
            </w:pPr>
            <w:r w:rsidRPr="001260F7">
              <w:rPr>
                <w:color w:val="000000"/>
                <w:szCs w:val="24"/>
              </w:rPr>
              <w:t>⃝</w:t>
            </w:r>
            <w:r w:rsidRPr="001260F7">
              <w:rPr>
                <w:color w:val="000000"/>
                <w:szCs w:val="24"/>
              </w:rPr>
              <w:tab/>
              <w:t>Des commentaires ou propositions de modification sont joints à la présente.</w:t>
            </w:r>
          </w:p>
        </w:tc>
      </w:tr>
      <w:tr w:rsidR="007304E3" w:rsidRPr="001260F7" w14:paraId="5DF8E446" w14:textId="77777777" w:rsidTr="00C4759C">
        <w:trPr>
          <w:trHeight w:val="747"/>
        </w:trPr>
        <w:tc>
          <w:tcPr>
            <w:tcW w:w="2547" w:type="dxa"/>
            <w:vMerge/>
            <w:shd w:val="clear" w:color="auto" w:fill="auto"/>
            <w:vAlign w:val="center"/>
          </w:tcPr>
          <w:p w14:paraId="08C442CA" w14:textId="77777777" w:rsidR="007304E3" w:rsidRPr="001260F7" w:rsidRDefault="007304E3" w:rsidP="00120213">
            <w:pPr>
              <w:spacing w:before="40" w:after="40"/>
              <w:jc w:val="center"/>
              <w:rPr>
                <w:b/>
                <w:bCs/>
                <w:szCs w:val="24"/>
              </w:rPr>
            </w:pPr>
          </w:p>
        </w:tc>
        <w:tc>
          <w:tcPr>
            <w:tcW w:w="7172" w:type="dxa"/>
            <w:shd w:val="clear" w:color="auto" w:fill="auto"/>
            <w:vAlign w:val="center"/>
          </w:tcPr>
          <w:p w14:paraId="6C42E931" w14:textId="77777777" w:rsidR="007304E3" w:rsidRPr="001260F7" w:rsidRDefault="007304E3" w:rsidP="00120213">
            <w:pPr>
              <w:tabs>
                <w:tab w:val="clear" w:pos="794"/>
                <w:tab w:val="clear" w:pos="1191"/>
                <w:tab w:val="clear" w:pos="1588"/>
                <w:tab w:val="clear" w:pos="1985"/>
                <w:tab w:val="left" w:pos="250"/>
              </w:tabs>
              <w:spacing w:before="40" w:after="40"/>
              <w:ind w:left="459" w:hanging="459"/>
              <w:rPr>
                <w:szCs w:val="24"/>
              </w:rPr>
            </w:pPr>
            <w:r w:rsidRPr="001260F7">
              <w:rPr>
                <w:szCs w:val="24"/>
              </w:rPr>
              <w:fldChar w:fldCharType="begin">
                <w:ffData>
                  <w:name w:val="Check1"/>
                  <w:enabled/>
                  <w:calcOnExit w:val="0"/>
                  <w:checkBox>
                    <w:sizeAuto/>
                    <w:default w:val="0"/>
                  </w:checkBox>
                </w:ffData>
              </w:fldChar>
            </w:r>
            <w:r w:rsidRPr="001260F7">
              <w:rPr>
                <w:szCs w:val="24"/>
              </w:rPr>
              <w:instrText xml:space="preserve"> FORMCHECKBOX </w:instrText>
            </w:r>
            <w:r w:rsidRPr="001260F7">
              <w:rPr>
                <w:szCs w:val="24"/>
              </w:rPr>
            </w:r>
            <w:r w:rsidRPr="001260F7">
              <w:rPr>
                <w:szCs w:val="24"/>
              </w:rPr>
              <w:fldChar w:fldCharType="separate"/>
            </w:r>
            <w:r w:rsidRPr="001260F7">
              <w:rPr>
                <w:szCs w:val="24"/>
              </w:rPr>
              <w:fldChar w:fldCharType="end"/>
            </w:r>
            <w:r w:rsidRPr="001260F7">
              <w:rPr>
                <w:color w:val="000000"/>
                <w:szCs w:val="24"/>
              </w:rPr>
              <w:tab/>
            </w:r>
            <w:r w:rsidRPr="001260F7">
              <w:rPr>
                <w:b/>
                <w:bCs/>
                <w:color w:val="000000"/>
                <w:szCs w:val="24"/>
              </w:rPr>
              <w:t>N'autorise pas</w:t>
            </w:r>
            <w:r w:rsidRPr="001260F7">
              <w:rPr>
                <w:color w:val="000000"/>
                <w:szCs w:val="24"/>
              </w:rPr>
              <w:t xml:space="preserve"> la Commission d'études 13 à procéder à l'examen de ce document en vue de son approbation (les motifs de cette décision et une description des éventuelles modifications qui permettraient la poursuite des travaux sont joints à la présente).</w:t>
            </w:r>
          </w:p>
        </w:tc>
      </w:tr>
      <w:tr w:rsidR="007304E3" w:rsidRPr="001260F7" w14:paraId="736CFB98" w14:textId="77777777" w:rsidTr="00C4759C">
        <w:tc>
          <w:tcPr>
            <w:tcW w:w="2547" w:type="dxa"/>
            <w:vMerge w:val="restart"/>
            <w:shd w:val="clear" w:color="auto" w:fill="auto"/>
            <w:vAlign w:val="center"/>
          </w:tcPr>
          <w:p w14:paraId="305A4BCA" w14:textId="25ECF9AD" w:rsidR="007304E3" w:rsidRPr="001260F7" w:rsidRDefault="007304E3" w:rsidP="00C4759C">
            <w:pPr>
              <w:keepNext/>
              <w:keepLines/>
              <w:spacing w:before="40" w:after="40"/>
              <w:jc w:val="center"/>
              <w:rPr>
                <w:b/>
                <w:bCs/>
                <w:szCs w:val="24"/>
              </w:rPr>
            </w:pPr>
            <w:r w:rsidRPr="001260F7">
              <w:rPr>
                <w:b/>
                <w:bCs/>
                <w:color w:val="000000"/>
                <w:szCs w:val="24"/>
              </w:rPr>
              <w:lastRenderedPageBreak/>
              <w:t>Projet de nouvelle Recommandation UIT</w:t>
            </w:r>
            <w:r w:rsidR="00C4759C" w:rsidRPr="001260F7">
              <w:rPr>
                <w:b/>
                <w:bCs/>
                <w:color w:val="000000"/>
                <w:szCs w:val="24"/>
              </w:rPr>
              <w:noBreakHyphen/>
            </w:r>
            <w:r w:rsidRPr="001260F7">
              <w:rPr>
                <w:b/>
                <w:bCs/>
                <w:color w:val="000000"/>
                <w:szCs w:val="24"/>
              </w:rPr>
              <w:t>T</w:t>
            </w:r>
            <w:r w:rsidR="00C4759C" w:rsidRPr="001260F7">
              <w:rPr>
                <w:b/>
                <w:bCs/>
                <w:color w:val="000000"/>
                <w:szCs w:val="24"/>
              </w:rPr>
              <w:t> </w:t>
            </w:r>
            <w:r w:rsidRPr="001260F7">
              <w:rPr>
                <w:b/>
                <w:bCs/>
                <w:color w:val="000000"/>
                <w:szCs w:val="24"/>
              </w:rPr>
              <w:t>Y.3222 (anciennement Y.FMSC</w:t>
            </w:r>
            <w:r w:rsidR="00C4759C" w:rsidRPr="001260F7">
              <w:rPr>
                <w:b/>
                <w:bCs/>
                <w:color w:val="000000"/>
                <w:szCs w:val="24"/>
              </w:rPr>
              <w:noBreakHyphen/>
            </w:r>
            <w:r w:rsidRPr="001260F7">
              <w:rPr>
                <w:b/>
                <w:bCs/>
                <w:color w:val="000000"/>
                <w:szCs w:val="24"/>
              </w:rPr>
              <w:t>ConTrans)</w:t>
            </w:r>
          </w:p>
        </w:tc>
        <w:tc>
          <w:tcPr>
            <w:tcW w:w="7172" w:type="dxa"/>
            <w:shd w:val="clear" w:color="auto" w:fill="auto"/>
            <w:vAlign w:val="center"/>
          </w:tcPr>
          <w:p w14:paraId="131A4F9D" w14:textId="77777777" w:rsidR="007304E3" w:rsidRPr="001260F7" w:rsidRDefault="007304E3" w:rsidP="00C4759C">
            <w:pPr>
              <w:keepNext/>
              <w:keepLines/>
              <w:tabs>
                <w:tab w:val="clear" w:pos="794"/>
                <w:tab w:val="clear" w:pos="1191"/>
                <w:tab w:val="clear" w:pos="1588"/>
                <w:tab w:val="clear" w:pos="1985"/>
              </w:tabs>
              <w:spacing w:before="40" w:after="40"/>
              <w:ind w:left="939" w:hanging="459"/>
              <w:jc w:val="center"/>
              <w:rPr>
                <w:b/>
                <w:bCs/>
                <w:szCs w:val="24"/>
              </w:rPr>
            </w:pPr>
            <w:r w:rsidRPr="001260F7">
              <w:rPr>
                <w:b/>
                <w:bCs/>
                <w:color w:val="000000"/>
                <w:szCs w:val="24"/>
              </w:rPr>
              <w:t>Cochez l'une des deux cases pour chaque texte</w:t>
            </w:r>
          </w:p>
        </w:tc>
      </w:tr>
      <w:tr w:rsidR="007304E3" w:rsidRPr="001260F7" w14:paraId="1B5BCE1A" w14:textId="77777777" w:rsidTr="00C4759C">
        <w:trPr>
          <w:trHeight w:val="748"/>
        </w:trPr>
        <w:tc>
          <w:tcPr>
            <w:tcW w:w="2547" w:type="dxa"/>
            <w:vMerge/>
            <w:shd w:val="clear" w:color="auto" w:fill="auto"/>
            <w:vAlign w:val="center"/>
          </w:tcPr>
          <w:p w14:paraId="36FCF3F3" w14:textId="77777777" w:rsidR="007304E3" w:rsidRPr="001260F7" w:rsidRDefault="007304E3" w:rsidP="00C4759C">
            <w:pPr>
              <w:keepNext/>
              <w:keepLines/>
              <w:spacing w:before="40" w:after="40"/>
              <w:jc w:val="center"/>
              <w:rPr>
                <w:b/>
                <w:bCs/>
                <w:szCs w:val="24"/>
              </w:rPr>
            </w:pPr>
          </w:p>
        </w:tc>
        <w:tc>
          <w:tcPr>
            <w:tcW w:w="7172" w:type="dxa"/>
            <w:shd w:val="clear" w:color="auto" w:fill="auto"/>
            <w:vAlign w:val="center"/>
          </w:tcPr>
          <w:p w14:paraId="21278353" w14:textId="77777777" w:rsidR="007304E3" w:rsidRPr="001260F7" w:rsidRDefault="007304E3" w:rsidP="00C4759C">
            <w:pPr>
              <w:keepNext/>
              <w:keepLines/>
              <w:tabs>
                <w:tab w:val="clear" w:pos="794"/>
                <w:tab w:val="clear" w:pos="1191"/>
                <w:tab w:val="clear" w:pos="1588"/>
                <w:tab w:val="clear" w:pos="1985"/>
              </w:tabs>
              <w:spacing w:before="40" w:after="40"/>
              <w:ind w:left="459" w:hanging="459"/>
              <w:rPr>
                <w:szCs w:val="24"/>
              </w:rPr>
            </w:pPr>
            <w:r w:rsidRPr="001260F7">
              <w:rPr>
                <w:szCs w:val="24"/>
              </w:rPr>
              <w:fldChar w:fldCharType="begin">
                <w:ffData>
                  <w:name w:val="Check1"/>
                  <w:enabled/>
                  <w:calcOnExit w:val="0"/>
                  <w:checkBox>
                    <w:sizeAuto/>
                    <w:default w:val="0"/>
                  </w:checkBox>
                </w:ffData>
              </w:fldChar>
            </w:r>
            <w:r w:rsidRPr="001260F7">
              <w:rPr>
                <w:szCs w:val="24"/>
              </w:rPr>
              <w:instrText xml:space="preserve"> FORMCHECKBOX </w:instrText>
            </w:r>
            <w:r w:rsidRPr="001260F7">
              <w:rPr>
                <w:szCs w:val="24"/>
              </w:rPr>
            </w:r>
            <w:r w:rsidRPr="001260F7">
              <w:rPr>
                <w:szCs w:val="24"/>
              </w:rPr>
              <w:fldChar w:fldCharType="separate"/>
            </w:r>
            <w:r w:rsidRPr="001260F7">
              <w:rPr>
                <w:szCs w:val="24"/>
              </w:rPr>
              <w:fldChar w:fldCharType="end"/>
            </w:r>
            <w:r w:rsidRPr="001260F7">
              <w:rPr>
                <w:color w:val="000000"/>
                <w:szCs w:val="24"/>
              </w:rPr>
              <w:tab/>
            </w:r>
            <w:r w:rsidRPr="001260F7">
              <w:rPr>
                <w:b/>
                <w:bCs/>
                <w:color w:val="000000"/>
                <w:szCs w:val="24"/>
              </w:rPr>
              <w:t xml:space="preserve">Autorise </w:t>
            </w:r>
            <w:r w:rsidRPr="001260F7">
              <w:rPr>
                <w:color w:val="000000"/>
                <w:szCs w:val="24"/>
              </w:rPr>
              <w:t>la Commission d'études 13 à procéder à l'examen de ce document en vue de son approbation (dans ce cas, sélectionnez l'une des deux options ⃝):</w:t>
            </w:r>
          </w:p>
          <w:p w14:paraId="03E5DD06" w14:textId="77777777" w:rsidR="007304E3" w:rsidRPr="001260F7" w:rsidRDefault="007304E3" w:rsidP="00C4759C">
            <w:pPr>
              <w:keepNext/>
              <w:keepLines/>
              <w:tabs>
                <w:tab w:val="clear" w:pos="794"/>
                <w:tab w:val="clear" w:pos="1191"/>
                <w:tab w:val="clear" w:pos="1588"/>
                <w:tab w:val="clear" w:pos="1985"/>
              </w:tabs>
              <w:spacing w:before="40" w:after="40"/>
              <w:ind w:left="939" w:hanging="459"/>
              <w:rPr>
                <w:szCs w:val="24"/>
              </w:rPr>
            </w:pPr>
            <w:r w:rsidRPr="001260F7">
              <w:rPr>
                <w:color w:val="000000"/>
                <w:szCs w:val="24"/>
              </w:rPr>
              <w:t>⃝</w:t>
            </w:r>
            <w:r w:rsidRPr="001260F7">
              <w:rPr>
                <w:color w:val="000000"/>
                <w:szCs w:val="24"/>
              </w:rPr>
              <w:tab/>
              <w:t>Pas de commentaire ou de proposition de modification.</w:t>
            </w:r>
          </w:p>
          <w:p w14:paraId="245CE8CD" w14:textId="77777777" w:rsidR="007304E3" w:rsidRPr="001260F7" w:rsidRDefault="007304E3" w:rsidP="00C4759C">
            <w:pPr>
              <w:keepNext/>
              <w:keepLines/>
              <w:tabs>
                <w:tab w:val="clear" w:pos="794"/>
                <w:tab w:val="clear" w:pos="1191"/>
                <w:tab w:val="clear" w:pos="1588"/>
                <w:tab w:val="clear" w:pos="1985"/>
              </w:tabs>
              <w:spacing w:before="40" w:after="40"/>
              <w:ind w:left="939" w:hanging="459"/>
              <w:rPr>
                <w:szCs w:val="24"/>
              </w:rPr>
            </w:pPr>
            <w:r w:rsidRPr="001260F7">
              <w:rPr>
                <w:color w:val="000000"/>
                <w:szCs w:val="24"/>
              </w:rPr>
              <w:t>⃝</w:t>
            </w:r>
            <w:r w:rsidRPr="001260F7">
              <w:rPr>
                <w:color w:val="000000"/>
                <w:szCs w:val="24"/>
              </w:rPr>
              <w:tab/>
              <w:t>Des commentaires ou propositions de modification sont joints à la présente.</w:t>
            </w:r>
          </w:p>
        </w:tc>
      </w:tr>
      <w:tr w:rsidR="007304E3" w:rsidRPr="001260F7" w14:paraId="37DFEE1D" w14:textId="77777777" w:rsidTr="00C4759C">
        <w:trPr>
          <w:trHeight w:val="747"/>
        </w:trPr>
        <w:tc>
          <w:tcPr>
            <w:tcW w:w="2547" w:type="dxa"/>
            <w:vMerge/>
            <w:shd w:val="clear" w:color="auto" w:fill="auto"/>
            <w:vAlign w:val="center"/>
          </w:tcPr>
          <w:p w14:paraId="2BFE75D1" w14:textId="77777777" w:rsidR="007304E3" w:rsidRPr="001260F7" w:rsidRDefault="007304E3" w:rsidP="00120213">
            <w:pPr>
              <w:spacing w:before="40" w:after="40"/>
              <w:jc w:val="center"/>
              <w:rPr>
                <w:b/>
                <w:bCs/>
                <w:szCs w:val="24"/>
              </w:rPr>
            </w:pPr>
          </w:p>
        </w:tc>
        <w:tc>
          <w:tcPr>
            <w:tcW w:w="7172" w:type="dxa"/>
            <w:shd w:val="clear" w:color="auto" w:fill="auto"/>
            <w:vAlign w:val="center"/>
          </w:tcPr>
          <w:p w14:paraId="5BFA9982" w14:textId="77777777" w:rsidR="007304E3" w:rsidRPr="001260F7" w:rsidRDefault="007304E3" w:rsidP="00120213">
            <w:pPr>
              <w:tabs>
                <w:tab w:val="clear" w:pos="794"/>
                <w:tab w:val="clear" w:pos="1191"/>
                <w:tab w:val="clear" w:pos="1588"/>
                <w:tab w:val="clear" w:pos="1985"/>
                <w:tab w:val="left" w:pos="250"/>
              </w:tabs>
              <w:spacing w:before="40" w:after="40"/>
              <w:ind w:left="459" w:hanging="459"/>
              <w:rPr>
                <w:szCs w:val="24"/>
              </w:rPr>
            </w:pPr>
            <w:r w:rsidRPr="001260F7">
              <w:rPr>
                <w:szCs w:val="24"/>
              </w:rPr>
              <w:fldChar w:fldCharType="begin">
                <w:ffData>
                  <w:name w:val="Check1"/>
                  <w:enabled/>
                  <w:calcOnExit w:val="0"/>
                  <w:checkBox>
                    <w:sizeAuto/>
                    <w:default w:val="0"/>
                  </w:checkBox>
                </w:ffData>
              </w:fldChar>
            </w:r>
            <w:r w:rsidRPr="001260F7">
              <w:rPr>
                <w:szCs w:val="24"/>
              </w:rPr>
              <w:instrText xml:space="preserve"> FORMCHECKBOX </w:instrText>
            </w:r>
            <w:r w:rsidRPr="001260F7">
              <w:rPr>
                <w:szCs w:val="24"/>
              </w:rPr>
            </w:r>
            <w:r w:rsidRPr="001260F7">
              <w:rPr>
                <w:szCs w:val="24"/>
              </w:rPr>
              <w:fldChar w:fldCharType="separate"/>
            </w:r>
            <w:r w:rsidRPr="001260F7">
              <w:rPr>
                <w:szCs w:val="24"/>
              </w:rPr>
              <w:fldChar w:fldCharType="end"/>
            </w:r>
            <w:r w:rsidRPr="001260F7">
              <w:rPr>
                <w:color w:val="000000"/>
                <w:szCs w:val="24"/>
              </w:rPr>
              <w:tab/>
            </w:r>
            <w:r w:rsidRPr="001260F7">
              <w:rPr>
                <w:b/>
                <w:bCs/>
                <w:color w:val="000000"/>
                <w:szCs w:val="24"/>
              </w:rPr>
              <w:t>N'autorise pas</w:t>
            </w:r>
            <w:r w:rsidRPr="001260F7">
              <w:rPr>
                <w:color w:val="000000"/>
                <w:szCs w:val="24"/>
              </w:rPr>
              <w:t xml:space="preserve"> la Commission d'études 13 à procéder à l'examen de ce document en vue de son approbation (les motifs de cette décision et une description des éventuelles modifications qui permettraient la poursuite des travaux sont joints à la présente).</w:t>
            </w:r>
          </w:p>
        </w:tc>
      </w:tr>
    </w:tbl>
    <w:p w14:paraId="3EFB3751" w14:textId="77777777" w:rsidR="007304E3" w:rsidRPr="001260F7" w:rsidRDefault="007304E3" w:rsidP="00C4759C">
      <w:r w:rsidRPr="001260F7">
        <w:t>Veuillez agréer, Madame, Monsieur, l'assurance de ma considération distinguée.</w:t>
      </w:r>
    </w:p>
    <w:p w14:paraId="468600E2" w14:textId="77777777" w:rsidR="007304E3" w:rsidRPr="001260F7" w:rsidRDefault="007304E3" w:rsidP="00B43278">
      <w:pPr>
        <w:spacing w:before="840"/>
        <w:rPr>
          <w:szCs w:val="24"/>
          <w:highlight w:val="green"/>
        </w:rPr>
      </w:pPr>
      <w:r w:rsidRPr="001260F7">
        <w:rPr>
          <w:highlight w:val="green"/>
        </w:rPr>
        <w:t>[Nom]</w:t>
      </w:r>
    </w:p>
    <w:p w14:paraId="1DDCAB81" w14:textId="77777777" w:rsidR="007304E3" w:rsidRPr="001260F7" w:rsidRDefault="007304E3" w:rsidP="007304E3">
      <w:pPr>
        <w:rPr>
          <w:szCs w:val="24"/>
        </w:rPr>
      </w:pPr>
      <w:r w:rsidRPr="001260F7">
        <w:rPr>
          <w:highlight w:val="green"/>
        </w:rPr>
        <w:t>[Rôle/titre officiel]</w:t>
      </w:r>
    </w:p>
    <w:p w14:paraId="35AC3FB1" w14:textId="77777777" w:rsidR="007304E3" w:rsidRPr="001260F7" w:rsidRDefault="007304E3" w:rsidP="007304E3">
      <w:pPr>
        <w:rPr>
          <w:szCs w:val="24"/>
        </w:rPr>
      </w:pPr>
      <w:r w:rsidRPr="001260F7">
        <w:t xml:space="preserve">Administration de </w:t>
      </w:r>
      <w:r w:rsidRPr="001260F7">
        <w:rPr>
          <w:highlight w:val="green"/>
        </w:rPr>
        <w:t>[État Membre]</w:t>
      </w:r>
    </w:p>
    <w:sectPr w:rsidR="007304E3" w:rsidRPr="001260F7" w:rsidSect="00A15179">
      <w:headerReference w:type="default" r:id="rId21"/>
      <w:footerReference w:type="first" r:id="rId2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3C404B9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0932854C" w:rsidR="00697BC1" w:rsidRPr="00697BC1" w:rsidRDefault="001F32E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7304E3">
      <w:rPr>
        <w:noProof/>
        <w:sz w:val="18"/>
        <w:szCs w:val="16"/>
      </w:rPr>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260F7"/>
    <w:rsid w:val="00167472"/>
    <w:rsid w:val="00167F92"/>
    <w:rsid w:val="00173738"/>
    <w:rsid w:val="001A2BDA"/>
    <w:rsid w:val="001B79A3"/>
    <w:rsid w:val="001F32E0"/>
    <w:rsid w:val="002152A3"/>
    <w:rsid w:val="0023667A"/>
    <w:rsid w:val="002627C3"/>
    <w:rsid w:val="00284E9B"/>
    <w:rsid w:val="002937DB"/>
    <w:rsid w:val="002E395D"/>
    <w:rsid w:val="00307FB4"/>
    <w:rsid w:val="003131F0"/>
    <w:rsid w:val="00333A80"/>
    <w:rsid w:val="00341117"/>
    <w:rsid w:val="00350BE5"/>
    <w:rsid w:val="00364E95"/>
    <w:rsid w:val="00372875"/>
    <w:rsid w:val="003742F8"/>
    <w:rsid w:val="003B1E80"/>
    <w:rsid w:val="003B66E8"/>
    <w:rsid w:val="003D138E"/>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6F52F7"/>
    <w:rsid w:val="00716BBC"/>
    <w:rsid w:val="007304E3"/>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3278"/>
    <w:rsid w:val="00B46F2D"/>
    <w:rsid w:val="00B5085C"/>
    <w:rsid w:val="00B60868"/>
    <w:rsid w:val="00B8573E"/>
    <w:rsid w:val="00BB24C0"/>
    <w:rsid w:val="00BB7E53"/>
    <w:rsid w:val="00BD6ECF"/>
    <w:rsid w:val="00C26F2E"/>
    <w:rsid w:val="00C302E3"/>
    <w:rsid w:val="00C41B89"/>
    <w:rsid w:val="00C45376"/>
    <w:rsid w:val="00C4759C"/>
    <w:rsid w:val="00C9028F"/>
    <w:rsid w:val="00CA0416"/>
    <w:rsid w:val="00CB1125"/>
    <w:rsid w:val="00CB4E80"/>
    <w:rsid w:val="00CD042E"/>
    <w:rsid w:val="00CF0771"/>
    <w:rsid w:val="00CF2560"/>
    <w:rsid w:val="00CF5B46"/>
    <w:rsid w:val="00D46B68"/>
    <w:rsid w:val="00D542A5"/>
    <w:rsid w:val="00D674CC"/>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Annextitle0">
    <w:name w:val="Annex_title"/>
    <w:basedOn w:val="Normal"/>
    <w:next w:val="Normal"/>
    <w:rsid w:val="007304E3"/>
    <w:pPr>
      <w:keepNext/>
      <w:keepLines/>
      <w:spacing w:before="240" w:after="280"/>
      <w:jc w:val="center"/>
    </w:pPr>
    <w:rPr>
      <w:rFonts w:ascii="Calibri" w:hAnsi="Calibri"/>
      <w:b/>
      <w:sz w:val="28"/>
      <w:lang w:val="en-GB"/>
    </w:rPr>
  </w:style>
  <w:style w:type="character" w:styleId="CommentReference">
    <w:name w:val="annotation reference"/>
    <w:rsid w:val="007304E3"/>
    <w:rPr>
      <w:sz w:val="16"/>
      <w:szCs w:val="16"/>
    </w:rPr>
  </w:style>
  <w:style w:type="paragraph" w:styleId="CommentText">
    <w:name w:val="annotation text"/>
    <w:basedOn w:val="Normal"/>
    <w:link w:val="CommentTextChar"/>
    <w:rsid w:val="007304E3"/>
    <w:rPr>
      <w:rFonts w:ascii="Calibri" w:hAnsi="Calibri"/>
      <w:sz w:val="20"/>
      <w:lang w:val="en-GB"/>
    </w:rPr>
  </w:style>
  <w:style w:type="character" w:customStyle="1" w:styleId="CommentTextChar">
    <w:name w:val="Comment Text Char"/>
    <w:basedOn w:val="DefaultParagraphFont"/>
    <w:link w:val="CommentText"/>
    <w:rsid w:val="007304E3"/>
    <w:rPr>
      <w:rFonts w:ascii="Calibri" w:hAnsi="Calibri"/>
      <w:lang w:val="en-GB" w:eastAsia="en-US"/>
    </w:rPr>
  </w:style>
  <w:style w:type="paragraph" w:customStyle="1" w:styleId="a">
    <w:name w:val="文本正文"/>
    <w:basedOn w:val="Normal"/>
    <w:qFormat/>
    <w:rsid w:val="007304E3"/>
    <w:pPr>
      <w:widowControl w:val="0"/>
      <w:tabs>
        <w:tab w:val="clear" w:pos="794"/>
        <w:tab w:val="clear" w:pos="1191"/>
        <w:tab w:val="clear" w:pos="1588"/>
        <w:tab w:val="clear" w:pos="1985"/>
      </w:tabs>
      <w:overflowPunct/>
      <w:autoSpaceDE/>
      <w:autoSpaceDN/>
      <w:adjustRightInd/>
      <w:ind w:firstLineChars="200" w:firstLine="200"/>
      <w:jc w:val="both"/>
      <w:textAlignment w:val="auto"/>
    </w:pPr>
    <w:rPr>
      <w:rFonts w:ascii="Times New Roman" w:eastAsia="SimSun" w:hAnsi="Times New Roman" w:cstheme="minorBidi"/>
      <w:kern w:val="2"/>
      <w:szCs w:val="22"/>
      <w:lang w:val="en-US" w:eastAsia="zh-CN"/>
    </w:rPr>
  </w:style>
  <w:style w:type="paragraph" w:customStyle="1" w:styleId="Reasons">
    <w:name w:val="Reasons"/>
    <w:basedOn w:val="Normal"/>
    <w:qFormat/>
    <w:rsid w:val="00C4759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itu.int/md/T25-SG13-R-0010/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fr/ITU-T/ipr/Pages/default.aspx" TargetMode="External"/><Relationship Id="rId17" Type="http://schemas.openxmlformats.org/officeDocument/2006/relationships/hyperlink" Target="https://www.itu.int/md/T25-SG13-R-0009/en" TargetMode="External"/><Relationship Id="rId2" Type="http://schemas.openxmlformats.org/officeDocument/2006/relationships/numbering" Target="numbering.xml"/><Relationship Id="rId16" Type="http://schemas.openxmlformats.org/officeDocument/2006/relationships/hyperlink" Target="https://www.itu.int/md/T25-SG13-R-0009/en" TargetMode="External"/><Relationship Id="rId20" Type="http://schemas.openxmlformats.org/officeDocument/2006/relationships/hyperlink" Target="mailto:tsbdir@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3-COL-0003/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T25-SG13-R-0008/en" TargetMode="External"/><Relationship Id="rId23" Type="http://schemas.openxmlformats.org/officeDocument/2006/relationships/fontTable" Target="fontTable.xml"/><Relationship Id="rId10" Type="http://schemas.openxmlformats.org/officeDocument/2006/relationships/hyperlink" Target="https://www.itu.int/md/T25-SG13-COL-0003/en" TargetMode="External"/><Relationship Id="rId19" Type="http://schemas.openxmlformats.org/officeDocument/2006/relationships/hyperlink" Target="https://www.itu.int/md/T25-SG13-R-0010/en"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md/T25-SG13-R-0008/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40</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11901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11</cp:revision>
  <cp:lastPrinted>2025-08-06T12:05:00Z</cp:lastPrinted>
  <dcterms:created xsi:type="dcterms:W3CDTF">2025-07-31T05:43:00Z</dcterms:created>
  <dcterms:modified xsi:type="dcterms:W3CDTF">2025-08-06T12:06:00Z</dcterms:modified>
</cp:coreProperties>
</file>