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27"/>
        <w:gridCol w:w="3780"/>
        <w:gridCol w:w="2847"/>
        <w:gridCol w:w="1984"/>
      </w:tblGrid>
      <w:tr w:rsidR="00344BEA" w:rsidRPr="00866663" w14:paraId="494DC770" w14:textId="77777777" w:rsidTr="00E10A7C">
        <w:trPr>
          <w:cantSplit/>
          <w:trHeight w:val="80"/>
        </w:trPr>
        <w:tc>
          <w:tcPr>
            <w:tcW w:w="1170" w:type="dxa"/>
            <w:gridSpan w:val="2"/>
            <w:vAlign w:val="center"/>
          </w:tcPr>
          <w:p w14:paraId="778EC8A4" w14:textId="5024FCDB" w:rsidR="00344BEA" w:rsidRPr="00866663" w:rsidRDefault="007C7926" w:rsidP="00344BEA">
            <w:pPr>
              <w:pStyle w:val="Tabletext"/>
              <w:jc w:val="center"/>
            </w:pPr>
            <w:r w:rsidRPr="00866663">
              <w:rPr>
                <w:noProof/>
                <w:lang w:eastAsia="en-GB"/>
              </w:rPr>
              <w:drawing>
                <wp:inline distT="0" distB="0" distL="0" distR="0" wp14:anchorId="360532FA" wp14:editId="1B28668F">
                  <wp:extent cx="7715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inline>
              </w:drawing>
            </w:r>
          </w:p>
        </w:tc>
        <w:tc>
          <w:tcPr>
            <w:tcW w:w="6627" w:type="dxa"/>
            <w:gridSpan w:val="2"/>
            <w:tcMar>
              <w:left w:w="142" w:type="dxa"/>
            </w:tcMar>
            <w:vAlign w:val="center"/>
          </w:tcPr>
          <w:p w14:paraId="3BB42CA5" w14:textId="77777777" w:rsidR="00F01D97" w:rsidRPr="00866663" w:rsidRDefault="00F01D97" w:rsidP="00F01D97">
            <w:pPr>
              <w:spacing w:before="0"/>
              <w:rPr>
                <w:rFonts w:cs="Times New Roman Bold"/>
                <w:b/>
                <w:bCs/>
                <w:smallCaps/>
                <w:sz w:val="26"/>
                <w:szCs w:val="26"/>
              </w:rPr>
            </w:pPr>
            <w:r w:rsidRPr="00866663">
              <w:rPr>
                <w:rFonts w:cs="Times New Roman Bold"/>
                <w:b/>
                <w:bCs/>
                <w:smallCaps/>
                <w:sz w:val="36"/>
                <w:szCs w:val="36"/>
              </w:rPr>
              <w:t>International telecommunication union</w:t>
            </w:r>
          </w:p>
          <w:p w14:paraId="0A219388" w14:textId="77777777" w:rsidR="00344BEA" w:rsidRPr="00866663" w:rsidRDefault="00F01D97" w:rsidP="00642014">
            <w:pPr>
              <w:spacing w:before="0"/>
              <w:rPr>
                <w:rFonts w:ascii="Verdana" w:hAnsi="Verdana"/>
                <w:color w:val="FFFFFF"/>
                <w:sz w:val="26"/>
                <w:szCs w:val="26"/>
              </w:rPr>
            </w:pPr>
            <w:r w:rsidRPr="00866663">
              <w:rPr>
                <w:rFonts w:cs="Times New Roman Bold"/>
                <w:b/>
                <w:bCs/>
                <w:iCs/>
                <w:smallCaps/>
                <w:sz w:val="28"/>
                <w:szCs w:val="28"/>
              </w:rPr>
              <w:t>Telecommunication Standardization Bureau</w:t>
            </w:r>
          </w:p>
        </w:tc>
        <w:tc>
          <w:tcPr>
            <w:tcW w:w="1984" w:type="dxa"/>
            <w:vAlign w:val="center"/>
          </w:tcPr>
          <w:p w14:paraId="452576DD" w14:textId="77777777" w:rsidR="00344BEA" w:rsidRPr="00866663" w:rsidRDefault="00344BEA" w:rsidP="00344BEA">
            <w:pPr>
              <w:spacing w:before="0"/>
              <w:jc w:val="right"/>
              <w:rPr>
                <w:rFonts w:ascii="Verdana" w:hAnsi="Verdana"/>
                <w:color w:val="FFFFFF"/>
                <w:sz w:val="26"/>
                <w:szCs w:val="26"/>
              </w:rPr>
            </w:pPr>
          </w:p>
        </w:tc>
      </w:tr>
      <w:tr w:rsidR="003D38E3" w:rsidRPr="00866663" w14:paraId="09EE027D" w14:textId="77777777" w:rsidTr="00E10A7C">
        <w:trPr>
          <w:cantSplit/>
          <w:trHeight w:val="80"/>
        </w:trPr>
        <w:tc>
          <w:tcPr>
            <w:tcW w:w="4950" w:type="dxa"/>
            <w:gridSpan w:val="3"/>
            <w:vAlign w:val="center"/>
          </w:tcPr>
          <w:p w14:paraId="47E8F4A5" w14:textId="3A221D95" w:rsidR="003D38E3" w:rsidRPr="00866663" w:rsidRDefault="003D38E3" w:rsidP="00932E45">
            <w:pPr>
              <w:pStyle w:val="Tabletext"/>
              <w:jc w:val="right"/>
              <w:rPr>
                <w:rFonts w:cstheme="minorHAnsi"/>
                <w:szCs w:val="22"/>
              </w:rPr>
            </w:pPr>
          </w:p>
        </w:tc>
        <w:tc>
          <w:tcPr>
            <w:tcW w:w="4831" w:type="dxa"/>
            <w:gridSpan w:val="2"/>
            <w:shd w:val="clear" w:color="auto" w:fill="auto"/>
            <w:vAlign w:val="center"/>
          </w:tcPr>
          <w:p w14:paraId="4EFE396E" w14:textId="11F23222" w:rsidR="003D38E3" w:rsidRPr="00866663" w:rsidRDefault="003D38E3" w:rsidP="00E10A7C">
            <w:pPr>
              <w:pStyle w:val="Tabletext"/>
              <w:spacing w:before="120" w:after="120"/>
              <w:ind w:right="75"/>
              <w:rPr>
                <w:rFonts w:cstheme="minorHAnsi"/>
                <w:szCs w:val="22"/>
              </w:rPr>
            </w:pPr>
            <w:r w:rsidRPr="00866663">
              <w:rPr>
                <w:rFonts w:cstheme="minorHAnsi"/>
                <w:szCs w:val="22"/>
              </w:rPr>
              <w:t xml:space="preserve">Geneva, </w:t>
            </w:r>
            <w:r w:rsidR="00043EC4" w:rsidRPr="00866663">
              <w:rPr>
                <w:rFonts w:cstheme="minorHAnsi"/>
                <w:szCs w:val="22"/>
              </w:rPr>
              <w:t>2</w:t>
            </w:r>
            <w:r w:rsidR="00780B1B">
              <w:rPr>
                <w:rFonts w:cstheme="minorHAnsi"/>
                <w:szCs w:val="22"/>
              </w:rPr>
              <w:t>3</w:t>
            </w:r>
            <w:r w:rsidR="007D7FF7" w:rsidRPr="00866663">
              <w:rPr>
                <w:rFonts w:cstheme="minorHAnsi"/>
                <w:szCs w:val="22"/>
              </w:rPr>
              <w:t xml:space="preserve"> </w:t>
            </w:r>
            <w:r w:rsidR="00E03516" w:rsidRPr="00866663">
              <w:rPr>
                <w:rFonts w:cstheme="minorHAnsi"/>
                <w:szCs w:val="22"/>
              </w:rPr>
              <w:t xml:space="preserve">July </w:t>
            </w:r>
            <w:r w:rsidR="009B4024" w:rsidRPr="00866663">
              <w:rPr>
                <w:rFonts w:cstheme="minorHAnsi"/>
                <w:szCs w:val="22"/>
              </w:rPr>
              <w:t>20</w:t>
            </w:r>
            <w:r w:rsidR="00162683" w:rsidRPr="00866663">
              <w:rPr>
                <w:rFonts w:cstheme="minorHAnsi"/>
                <w:szCs w:val="22"/>
              </w:rPr>
              <w:t>25</w:t>
            </w:r>
          </w:p>
        </w:tc>
      </w:tr>
      <w:tr w:rsidR="00114524" w:rsidRPr="00866663" w14:paraId="0704AA02" w14:textId="77777777" w:rsidTr="00E10A7C">
        <w:trPr>
          <w:cantSplit/>
          <w:trHeight w:val="700"/>
        </w:trPr>
        <w:tc>
          <w:tcPr>
            <w:tcW w:w="1143" w:type="dxa"/>
          </w:tcPr>
          <w:p w14:paraId="0AE21A81" w14:textId="77777777" w:rsidR="00114524" w:rsidRPr="00866663" w:rsidRDefault="00114524" w:rsidP="0088403A">
            <w:pPr>
              <w:pStyle w:val="Tabletext"/>
              <w:rPr>
                <w:rFonts w:cstheme="minorHAnsi"/>
                <w:szCs w:val="22"/>
              </w:rPr>
            </w:pPr>
            <w:r w:rsidRPr="00E10A7C">
              <w:rPr>
                <w:rFonts w:cstheme="minorHAnsi"/>
                <w:b/>
                <w:bCs/>
                <w:szCs w:val="22"/>
              </w:rPr>
              <w:t>Ref</w:t>
            </w:r>
            <w:r w:rsidRPr="00866663">
              <w:rPr>
                <w:rFonts w:cstheme="minorHAnsi"/>
                <w:szCs w:val="22"/>
              </w:rPr>
              <w:t>:</w:t>
            </w:r>
          </w:p>
        </w:tc>
        <w:tc>
          <w:tcPr>
            <w:tcW w:w="3807" w:type="dxa"/>
            <w:gridSpan w:val="2"/>
          </w:tcPr>
          <w:p w14:paraId="1F1F76F8" w14:textId="6CF93E04" w:rsidR="00114524" w:rsidRPr="00866663" w:rsidRDefault="00114524" w:rsidP="00FE5E81">
            <w:pPr>
              <w:pStyle w:val="DocNumber"/>
              <w:framePr w:hSpace="0" w:wrap="auto" w:vAnchor="margin" w:xAlign="left" w:yAlign="inline"/>
              <w:suppressOverlap w:val="0"/>
              <w:rPr>
                <w:lang w:val="en-GB"/>
              </w:rPr>
            </w:pPr>
            <w:r w:rsidRPr="00866663">
              <w:rPr>
                <w:lang w:val="en-GB"/>
              </w:rPr>
              <w:t>TSB Circular 63</w:t>
            </w:r>
          </w:p>
          <w:p w14:paraId="1523D31A" w14:textId="562B1D51" w:rsidR="00114524" w:rsidRPr="00866663" w:rsidRDefault="00114524" w:rsidP="00B910C0">
            <w:pPr>
              <w:pStyle w:val="Tabletext"/>
              <w:rPr>
                <w:rFonts w:cstheme="minorHAnsi"/>
                <w:szCs w:val="22"/>
              </w:rPr>
            </w:pPr>
            <w:r w:rsidRPr="00866663">
              <w:rPr>
                <w:rFonts w:cstheme="minorHAnsi"/>
                <w:szCs w:val="22"/>
              </w:rPr>
              <w:t>TSB Events/DA</w:t>
            </w:r>
          </w:p>
        </w:tc>
        <w:tc>
          <w:tcPr>
            <w:tcW w:w="4831" w:type="dxa"/>
            <w:gridSpan w:val="2"/>
            <w:vMerge w:val="restart"/>
          </w:tcPr>
          <w:p w14:paraId="1A66391B" w14:textId="77777777" w:rsidR="00114524" w:rsidRPr="00866663" w:rsidRDefault="00114524" w:rsidP="00E10A7C">
            <w:pPr>
              <w:pStyle w:val="Tabletext"/>
              <w:spacing w:before="0" w:after="20"/>
              <w:ind w:left="283" w:right="75" w:hanging="283"/>
              <w:rPr>
                <w:rFonts w:cstheme="minorHAnsi"/>
                <w:b/>
                <w:bCs/>
                <w:szCs w:val="22"/>
              </w:rPr>
            </w:pPr>
            <w:bookmarkStart w:id="0" w:name="Addressee_E"/>
            <w:bookmarkEnd w:id="0"/>
            <w:r w:rsidRPr="00866663">
              <w:rPr>
                <w:rFonts w:cstheme="minorHAnsi"/>
                <w:b/>
                <w:bCs/>
                <w:szCs w:val="22"/>
              </w:rPr>
              <w:t>To:</w:t>
            </w:r>
          </w:p>
          <w:p w14:paraId="498C9009" w14:textId="4F56A2F9" w:rsidR="00114524" w:rsidRPr="00866663" w:rsidRDefault="00114524" w:rsidP="00E10A7C">
            <w:pPr>
              <w:pStyle w:val="Tabletext"/>
              <w:numPr>
                <w:ilvl w:val="0"/>
                <w:numId w:val="10"/>
              </w:numPr>
              <w:tabs>
                <w:tab w:val="clear" w:pos="284"/>
                <w:tab w:val="left" w:pos="374"/>
              </w:tabs>
              <w:spacing w:before="0" w:after="20"/>
              <w:ind w:right="75"/>
              <w:rPr>
                <w:rFonts w:cstheme="minorHAnsi"/>
                <w:szCs w:val="22"/>
              </w:rPr>
            </w:pPr>
            <w:r w:rsidRPr="00866663">
              <w:rPr>
                <w:rFonts w:cstheme="minorHAnsi"/>
                <w:szCs w:val="22"/>
              </w:rPr>
              <w:t xml:space="preserve">Administrations of Member States of the </w:t>
            </w:r>
            <w:proofErr w:type="gramStart"/>
            <w:r w:rsidRPr="00866663">
              <w:rPr>
                <w:rFonts w:cstheme="minorHAnsi"/>
                <w:szCs w:val="22"/>
              </w:rPr>
              <w:t>Union;</w:t>
            </w:r>
            <w:proofErr w:type="gramEnd"/>
          </w:p>
          <w:p w14:paraId="0B538950" w14:textId="3E92B967" w:rsidR="00114524" w:rsidRPr="00866663" w:rsidRDefault="00114524" w:rsidP="00E10A7C">
            <w:pPr>
              <w:pStyle w:val="Tabletext"/>
              <w:numPr>
                <w:ilvl w:val="0"/>
                <w:numId w:val="10"/>
              </w:numPr>
              <w:tabs>
                <w:tab w:val="clear" w:pos="284"/>
                <w:tab w:val="left" w:pos="374"/>
              </w:tabs>
              <w:spacing w:before="0" w:after="20"/>
              <w:ind w:right="75"/>
              <w:rPr>
                <w:rFonts w:cstheme="minorHAnsi"/>
                <w:szCs w:val="22"/>
              </w:rPr>
            </w:pPr>
            <w:r w:rsidRPr="00866663">
              <w:rPr>
                <w:rFonts w:cstheme="minorHAnsi"/>
                <w:szCs w:val="22"/>
              </w:rPr>
              <w:t xml:space="preserve">The State of Palestine (Res. 99 (Rev. Dubai, </w:t>
            </w:r>
            <w:proofErr w:type="gramStart"/>
            <w:r w:rsidRPr="00866663">
              <w:rPr>
                <w:rFonts w:cstheme="minorHAnsi"/>
                <w:szCs w:val="22"/>
              </w:rPr>
              <w:t>2018</w:t>
            </w:r>
            <w:r>
              <w:rPr>
                <w:rFonts w:cstheme="minorHAnsi"/>
                <w:szCs w:val="22"/>
              </w:rPr>
              <w:t>;</w:t>
            </w:r>
            <w:proofErr w:type="gramEnd"/>
          </w:p>
          <w:p w14:paraId="275A551F" w14:textId="65C10BC2" w:rsidR="00114524" w:rsidRPr="00866663" w:rsidRDefault="00114524" w:rsidP="00E10A7C">
            <w:pPr>
              <w:pStyle w:val="Tabletext"/>
              <w:numPr>
                <w:ilvl w:val="0"/>
                <w:numId w:val="10"/>
              </w:numPr>
              <w:tabs>
                <w:tab w:val="clear" w:pos="284"/>
                <w:tab w:val="left" w:pos="374"/>
              </w:tabs>
              <w:spacing w:before="0" w:after="20"/>
              <w:ind w:right="75"/>
              <w:rPr>
                <w:rFonts w:cstheme="minorHAnsi"/>
                <w:color w:val="000000"/>
                <w:szCs w:val="22"/>
              </w:rPr>
            </w:pPr>
            <w:r w:rsidRPr="00866663">
              <w:rPr>
                <w:rFonts w:cstheme="minorHAnsi"/>
                <w:color w:val="000000"/>
                <w:szCs w:val="22"/>
              </w:rPr>
              <w:t xml:space="preserve">ITU-T Sector </w:t>
            </w:r>
            <w:proofErr w:type="gramStart"/>
            <w:r w:rsidRPr="00866663">
              <w:rPr>
                <w:rFonts w:cstheme="minorHAnsi"/>
                <w:color w:val="000000"/>
                <w:szCs w:val="22"/>
              </w:rPr>
              <w:t>Members;</w:t>
            </w:r>
            <w:proofErr w:type="gramEnd"/>
          </w:p>
          <w:p w14:paraId="4F8058C2" w14:textId="39ED0338" w:rsidR="00114524" w:rsidRPr="00866663" w:rsidRDefault="00114524" w:rsidP="00E10A7C">
            <w:pPr>
              <w:pStyle w:val="Tabletext"/>
              <w:numPr>
                <w:ilvl w:val="0"/>
                <w:numId w:val="10"/>
              </w:numPr>
              <w:tabs>
                <w:tab w:val="clear" w:pos="284"/>
                <w:tab w:val="left" w:pos="374"/>
              </w:tabs>
              <w:spacing w:before="0" w:after="20"/>
              <w:ind w:right="75"/>
              <w:rPr>
                <w:rFonts w:cstheme="minorHAnsi"/>
                <w:color w:val="000000"/>
                <w:szCs w:val="22"/>
              </w:rPr>
            </w:pPr>
            <w:r w:rsidRPr="00866663">
              <w:rPr>
                <w:rFonts w:cstheme="minorHAnsi"/>
                <w:color w:val="000000"/>
                <w:szCs w:val="22"/>
              </w:rPr>
              <w:t xml:space="preserve">ITU-T </w:t>
            </w:r>
            <w:proofErr w:type="gramStart"/>
            <w:r w:rsidRPr="00866663">
              <w:rPr>
                <w:rFonts w:cstheme="minorHAnsi"/>
                <w:color w:val="000000"/>
                <w:szCs w:val="22"/>
              </w:rPr>
              <w:t>Associates;</w:t>
            </w:r>
            <w:proofErr w:type="gramEnd"/>
          </w:p>
          <w:p w14:paraId="72D50B5D" w14:textId="2051B3EC" w:rsidR="00114524" w:rsidRPr="00866663" w:rsidRDefault="00114524" w:rsidP="00E10A7C">
            <w:pPr>
              <w:pStyle w:val="Tabletext"/>
              <w:numPr>
                <w:ilvl w:val="0"/>
                <w:numId w:val="10"/>
              </w:numPr>
              <w:tabs>
                <w:tab w:val="clear" w:pos="284"/>
                <w:tab w:val="left" w:pos="374"/>
              </w:tabs>
              <w:spacing w:before="0" w:after="20"/>
              <w:ind w:right="75"/>
              <w:rPr>
                <w:rFonts w:cstheme="minorHAnsi"/>
                <w:szCs w:val="22"/>
              </w:rPr>
            </w:pPr>
            <w:r w:rsidRPr="00866663">
              <w:rPr>
                <w:rFonts w:cstheme="minorHAnsi"/>
                <w:color w:val="000000"/>
                <w:szCs w:val="22"/>
              </w:rPr>
              <w:t xml:space="preserve">ITU </w:t>
            </w:r>
            <w:proofErr w:type="gramStart"/>
            <w:r w:rsidRPr="00866663">
              <w:rPr>
                <w:rFonts w:cstheme="minorHAnsi"/>
                <w:color w:val="000000"/>
                <w:szCs w:val="22"/>
              </w:rPr>
              <w:t>Academia;</w:t>
            </w:r>
            <w:proofErr w:type="gramEnd"/>
          </w:p>
          <w:p w14:paraId="4E0E086A" w14:textId="7FFEFA6F" w:rsidR="00114524" w:rsidRPr="00866663" w:rsidRDefault="00114524" w:rsidP="00E10A7C">
            <w:pPr>
              <w:pStyle w:val="Tabletext"/>
              <w:numPr>
                <w:ilvl w:val="0"/>
                <w:numId w:val="10"/>
              </w:numPr>
              <w:tabs>
                <w:tab w:val="clear" w:pos="284"/>
                <w:tab w:val="left" w:pos="374"/>
              </w:tabs>
              <w:spacing w:before="0" w:after="20"/>
              <w:ind w:right="75"/>
              <w:rPr>
                <w:rFonts w:cstheme="minorHAnsi"/>
                <w:color w:val="000000"/>
                <w:szCs w:val="22"/>
              </w:rPr>
            </w:pPr>
            <w:r w:rsidRPr="00866663">
              <w:rPr>
                <w:rFonts w:cstheme="minorHAnsi"/>
                <w:color w:val="000000"/>
                <w:szCs w:val="22"/>
              </w:rPr>
              <w:t xml:space="preserve">ITU Regional Office for Africa </w:t>
            </w:r>
            <w:proofErr w:type="gramStart"/>
            <w:r w:rsidRPr="00866663">
              <w:rPr>
                <w:rFonts w:cstheme="minorHAnsi"/>
                <w:color w:val="000000"/>
                <w:szCs w:val="22"/>
              </w:rPr>
              <w:t>Region;</w:t>
            </w:r>
            <w:proofErr w:type="gramEnd"/>
          </w:p>
          <w:p w14:paraId="7BC602D7" w14:textId="77777777" w:rsidR="00114524" w:rsidRPr="00866663" w:rsidRDefault="00114524" w:rsidP="00E10A7C">
            <w:pPr>
              <w:pStyle w:val="Tabletext"/>
              <w:numPr>
                <w:ilvl w:val="0"/>
                <w:numId w:val="10"/>
              </w:numPr>
              <w:tabs>
                <w:tab w:val="clear" w:pos="284"/>
                <w:tab w:val="left" w:pos="374"/>
              </w:tabs>
              <w:spacing w:before="0" w:after="20"/>
              <w:ind w:right="75"/>
              <w:rPr>
                <w:rFonts w:cstheme="minorHAnsi"/>
                <w:szCs w:val="22"/>
              </w:rPr>
            </w:pPr>
            <w:r w:rsidRPr="00866663">
              <w:rPr>
                <w:rFonts w:cstheme="minorHAnsi"/>
                <w:color w:val="000000"/>
                <w:szCs w:val="22"/>
              </w:rPr>
              <w:t>African Telecommunications Union.</w:t>
            </w:r>
          </w:p>
          <w:p w14:paraId="7667DE73" w14:textId="77777777" w:rsidR="00114524" w:rsidRPr="00866663" w:rsidRDefault="00114524" w:rsidP="00E10A7C">
            <w:pPr>
              <w:pStyle w:val="Tabletext"/>
              <w:spacing w:before="0" w:after="20"/>
              <w:ind w:right="75"/>
              <w:rPr>
                <w:rFonts w:cstheme="minorHAnsi"/>
                <w:b/>
                <w:szCs w:val="22"/>
              </w:rPr>
            </w:pPr>
            <w:r w:rsidRPr="00866663">
              <w:rPr>
                <w:rFonts w:cstheme="minorHAnsi"/>
                <w:b/>
                <w:szCs w:val="22"/>
              </w:rPr>
              <w:t>Copy to:</w:t>
            </w:r>
          </w:p>
          <w:p w14:paraId="09CDD4CC" w14:textId="77777777" w:rsidR="00114524" w:rsidRPr="00866663" w:rsidRDefault="00114524" w:rsidP="00E10A7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20"/>
              <w:ind w:left="283" w:right="75" w:hanging="283"/>
              <w:rPr>
                <w:rFonts w:cstheme="minorHAnsi"/>
                <w:szCs w:val="22"/>
              </w:rPr>
            </w:pPr>
            <w:r w:rsidRPr="00866663">
              <w:rPr>
                <w:rFonts w:cstheme="minorHAnsi"/>
                <w:szCs w:val="22"/>
              </w:rPr>
              <w:t>-</w:t>
            </w:r>
            <w:r w:rsidRPr="00866663">
              <w:rPr>
                <w:rFonts w:cstheme="minorHAnsi"/>
                <w:szCs w:val="22"/>
              </w:rPr>
              <w:tab/>
              <w:t xml:space="preserve">The Chairs and Vice-Chairs of ITU-T Study </w:t>
            </w:r>
            <w:proofErr w:type="gramStart"/>
            <w:r w:rsidRPr="00866663">
              <w:rPr>
                <w:rFonts w:cstheme="minorHAnsi"/>
                <w:szCs w:val="22"/>
              </w:rPr>
              <w:t>Groups;</w:t>
            </w:r>
            <w:proofErr w:type="gramEnd"/>
          </w:p>
          <w:p w14:paraId="386942B1" w14:textId="77777777" w:rsidR="00114524" w:rsidRPr="00866663" w:rsidRDefault="00114524" w:rsidP="00E10A7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20"/>
              <w:ind w:left="283" w:right="75" w:hanging="283"/>
              <w:rPr>
                <w:rFonts w:cstheme="minorHAnsi"/>
                <w:szCs w:val="22"/>
              </w:rPr>
            </w:pPr>
            <w:r w:rsidRPr="00866663">
              <w:rPr>
                <w:rFonts w:cstheme="minorHAnsi"/>
                <w:szCs w:val="22"/>
              </w:rPr>
              <w:t>-</w:t>
            </w:r>
            <w:r w:rsidRPr="00866663">
              <w:rPr>
                <w:rFonts w:cstheme="minorHAnsi"/>
                <w:szCs w:val="22"/>
              </w:rPr>
              <w:tab/>
              <w:t xml:space="preserve">The Director of the Telecommunication Development </w:t>
            </w:r>
            <w:proofErr w:type="gramStart"/>
            <w:r w:rsidRPr="00866663">
              <w:rPr>
                <w:rFonts w:cstheme="minorHAnsi"/>
                <w:szCs w:val="22"/>
              </w:rPr>
              <w:t>Bureau;</w:t>
            </w:r>
            <w:proofErr w:type="gramEnd"/>
          </w:p>
          <w:p w14:paraId="09D9E3CB" w14:textId="39305D10" w:rsidR="00114524" w:rsidRPr="00866663" w:rsidRDefault="00114524" w:rsidP="00E10A7C">
            <w:pPr>
              <w:pStyle w:val="Tabletext"/>
              <w:spacing w:before="0" w:after="20"/>
              <w:ind w:left="283" w:right="75" w:hanging="283"/>
              <w:rPr>
                <w:rFonts w:cstheme="minorHAnsi"/>
                <w:szCs w:val="22"/>
              </w:rPr>
            </w:pPr>
            <w:r w:rsidRPr="00866663">
              <w:rPr>
                <w:rFonts w:cstheme="minorHAnsi"/>
                <w:szCs w:val="22"/>
              </w:rPr>
              <w:t>-</w:t>
            </w:r>
            <w:r w:rsidRPr="00866663">
              <w:rPr>
                <w:rFonts w:cstheme="minorHAnsi"/>
                <w:szCs w:val="22"/>
              </w:rPr>
              <w:tab/>
              <w:t>The Director of the Radiocommunication Bureau.</w:t>
            </w:r>
          </w:p>
        </w:tc>
      </w:tr>
      <w:tr w:rsidR="00114524" w:rsidRPr="00866663" w14:paraId="4501FBA6" w14:textId="77777777" w:rsidTr="00E10A7C">
        <w:trPr>
          <w:cantSplit/>
          <w:trHeight w:val="289"/>
        </w:trPr>
        <w:tc>
          <w:tcPr>
            <w:tcW w:w="1143" w:type="dxa"/>
          </w:tcPr>
          <w:p w14:paraId="58FAB83C" w14:textId="77777777" w:rsidR="00114524" w:rsidRPr="00866663" w:rsidRDefault="00114524" w:rsidP="009B6449">
            <w:pPr>
              <w:pStyle w:val="Tabletext"/>
              <w:rPr>
                <w:rFonts w:cstheme="minorHAnsi"/>
                <w:szCs w:val="22"/>
              </w:rPr>
            </w:pPr>
            <w:r w:rsidRPr="00866663">
              <w:rPr>
                <w:rFonts w:cstheme="minorHAnsi"/>
                <w:szCs w:val="22"/>
              </w:rPr>
              <w:t>Contact:</w:t>
            </w:r>
          </w:p>
        </w:tc>
        <w:tc>
          <w:tcPr>
            <w:tcW w:w="3807" w:type="dxa"/>
            <w:gridSpan w:val="2"/>
          </w:tcPr>
          <w:p w14:paraId="257AC7C4" w14:textId="6865D5AA" w:rsidR="00114524" w:rsidRPr="00866663" w:rsidRDefault="00114524" w:rsidP="009B6449">
            <w:pPr>
              <w:pStyle w:val="Tabletext"/>
              <w:rPr>
                <w:rFonts w:cstheme="minorHAnsi"/>
                <w:b/>
                <w:szCs w:val="22"/>
              </w:rPr>
            </w:pPr>
            <w:r w:rsidRPr="00866663">
              <w:rPr>
                <w:rFonts w:cstheme="minorHAnsi"/>
                <w:b/>
                <w:szCs w:val="22"/>
              </w:rPr>
              <w:t xml:space="preserve">Denis </w:t>
            </w:r>
            <w:r>
              <w:rPr>
                <w:rFonts w:cstheme="minorHAnsi"/>
                <w:b/>
                <w:szCs w:val="22"/>
              </w:rPr>
              <w:t>Andreev</w:t>
            </w:r>
          </w:p>
        </w:tc>
        <w:tc>
          <w:tcPr>
            <w:tcW w:w="4831" w:type="dxa"/>
            <w:gridSpan w:val="2"/>
            <w:vMerge/>
          </w:tcPr>
          <w:p w14:paraId="724E683E" w14:textId="58EC4954" w:rsidR="00114524" w:rsidRPr="00866663" w:rsidRDefault="00114524" w:rsidP="00783BE8">
            <w:pPr>
              <w:pStyle w:val="Tabletext"/>
              <w:ind w:left="283" w:hanging="283"/>
              <w:rPr>
                <w:rFonts w:cstheme="minorHAnsi"/>
                <w:szCs w:val="22"/>
              </w:rPr>
            </w:pPr>
          </w:p>
        </w:tc>
      </w:tr>
      <w:tr w:rsidR="00114524" w:rsidRPr="00866663" w14:paraId="7A9D60EA" w14:textId="77777777" w:rsidTr="00E10A7C">
        <w:trPr>
          <w:cantSplit/>
          <w:trHeight w:val="221"/>
        </w:trPr>
        <w:tc>
          <w:tcPr>
            <w:tcW w:w="1143" w:type="dxa"/>
          </w:tcPr>
          <w:p w14:paraId="781FE325" w14:textId="77777777" w:rsidR="00114524" w:rsidRPr="00866663" w:rsidRDefault="00114524" w:rsidP="009B6449">
            <w:pPr>
              <w:pStyle w:val="Tabletext"/>
              <w:rPr>
                <w:rFonts w:cstheme="minorHAnsi"/>
                <w:szCs w:val="22"/>
              </w:rPr>
            </w:pPr>
            <w:r w:rsidRPr="00866663">
              <w:rPr>
                <w:rFonts w:cstheme="minorHAnsi"/>
                <w:szCs w:val="22"/>
              </w:rPr>
              <w:t>Tel:</w:t>
            </w:r>
          </w:p>
        </w:tc>
        <w:tc>
          <w:tcPr>
            <w:tcW w:w="3807" w:type="dxa"/>
            <w:gridSpan w:val="2"/>
          </w:tcPr>
          <w:p w14:paraId="7A5A0C75" w14:textId="77777777" w:rsidR="00114524" w:rsidRPr="00866663" w:rsidRDefault="00114524" w:rsidP="00B910C0">
            <w:pPr>
              <w:pStyle w:val="Tabletext"/>
              <w:rPr>
                <w:rFonts w:cstheme="minorHAnsi"/>
                <w:b/>
                <w:szCs w:val="22"/>
              </w:rPr>
            </w:pPr>
            <w:r w:rsidRPr="00866663">
              <w:rPr>
                <w:rFonts w:cstheme="minorHAnsi"/>
                <w:szCs w:val="22"/>
              </w:rPr>
              <w:t>+41 22 730 5780</w:t>
            </w:r>
          </w:p>
        </w:tc>
        <w:tc>
          <w:tcPr>
            <w:tcW w:w="4831" w:type="dxa"/>
            <w:gridSpan w:val="2"/>
            <w:vMerge/>
          </w:tcPr>
          <w:p w14:paraId="6B9CD4D2" w14:textId="6918F700" w:rsidR="00114524" w:rsidRPr="00866663" w:rsidRDefault="00114524" w:rsidP="00783BE8">
            <w:pPr>
              <w:pStyle w:val="Tabletext"/>
              <w:ind w:left="283" w:hanging="283"/>
              <w:rPr>
                <w:rFonts w:cstheme="minorHAnsi"/>
                <w:szCs w:val="22"/>
              </w:rPr>
            </w:pPr>
          </w:p>
        </w:tc>
      </w:tr>
      <w:tr w:rsidR="00114524" w:rsidRPr="00866663" w14:paraId="211ADCE0" w14:textId="77777777" w:rsidTr="00E10A7C">
        <w:trPr>
          <w:cantSplit/>
          <w:trHeight w:val="282"/>
        </w:trPr>
        <w:tc>
          <w:tcPr>
            <w:tcW w:w="1143" w:type="dxa"/>
          </w:tcPr>
          <w:p w14:paraId="4E06014D" w14:textId="77777777" w:rsidR="00114524" w:rsidRPr="00866663" w:rsidRDefault="00114524" w:rsidP="009B6449">
            <w:pPr>
              <w:pStyle w:val="Tabletext"/>
              <w:rPr>
                <w:rFonts w:cstheme="minorHAnsi"/>
                <w:szCs w:val="22"/>
              </w:rPr>
            </w:pPr>
            <w:r w:rsidRPr="00866663">
              <w:rPr>
                <w:rFonts w:cstheme="minorHAnsi"/>
                <w:szCs w:val="22"/>
              </w:rPr>
              <w:t>Fax:</w:t>
            </w:r>
          </w:p>
          <w:p w14:paraId="029BEF1E" w14:textId="26940204" w:rsidR="00114524" w:rsidRPr="00866663" w:rsidRDefault="00114524" w:rsidP="009B6449">
            <w:pPr>
              <w:pStyle w:val="Tabletext"/>
              <w:rPr>
                <w:rFonts w:cstheme="minorHAnsi"/>
                <w:szCs w:val="22"/>
              </w:rPr>
            </w:pPr>
            <w:r w:rsidRPr="00866663">
              <w:rPr>
                <w:rFonts w:cstheme="minorHAnsi"/>
                <w:szCs w:val="22"/>
              </w:rPr>
              <w:t>E-mail:</w:t>
            </w:r>
          </w:p>
        </w:tc>
        <w:tc>
          <w:tcPr>
            <w:tcW w:w="3807" w:type="dxa"/>
            <w:gridSpan w:val="2"/>
          </w:tcPr>
          <w:p w14:paraId="20D2290D" w14:textId="77777777" w:rsidR="00114524" w:rsidRPr="00866663" w:rsidRDefault="00114524" w:rsidP="009B6449">
            <w:pPr>
              <w:pStyle w:val="Tabletext"/>
              <w:rPr>
                <w:rFonts w:cstheme="minorHAnsi"/>
                <w:szCs w:val="22"/>
              </w:rPr>
            </w:pPr>
            <w:r w:rsidRPr="00866663">
              <w:rPr>
                <w:rFonts w:cstheme="minorHAnsi"/>
                <w:szCs w:val="22"/>
              </w:rPr>
              <w:t>+41 22 730 5853</w:t>
            </w:r>
          </w:p>
          <w:p w14:paraId="3330F9FC" w14:textId="69196F17" w:rsidR="00114524" w:rsidRPr="00866663" w:rsidRDefault="00114524" w:rsidP="009B6449">
            <w:pPr>
              <w:pStyle w:val="Tabletext"/>
              <w:rPr>
                <w:rFonts w:cstheme="minorHAnsi"/>
                <w:b/>
                <w:szCs w:val="22"/>
              </w:rPr>
            </w:pPr>
            <w:hyperlink r:id="rId9" w:history="1">
              <w:r w:rsidRPr="00866663">
                <w:rPr>
                  <w:rStyle w:val="Hyperlink"/>
                  <w:rFonts w:cstheme="minorHAnsi"/>
                  <w:szCs w:val="22"/>
                </w:rPr>
                <w:t>tsbevents@itu.int</w:t>
              </w:r>
            </w:hyperlink>
          </w:p>
        </w:tc>
        <w:tc>
          <w:tcPr>
            <w:tcW w:w="4831" w:type="dxa"/>
            <w:gridSpan w:val="2"/>
            <w:vMerge/>
          </w:tcPr>
          <w:p w14:paraId="78F31934" w14:textId="32838A80" w:rsidR="00114524" w:rsidRPr="00866663" w:rsidRDefault="00114524" w:rsidP="00783BE8">
            <w:pPr>
              <w:pStyle w:val="Tabletext"/>
              <w:ind w:left="283" w:hanging="283"/>
              <w:rPr>
                <w:rFonts w:cstheme="minorHAnsi"/>
                <w:szCs w:val="22"/>
              </w:rPr>
            </w:pPr>
          </w:p>
        </w:tc>
      </w:tr>
      <w:tr w:rsidR="00114524" w:rsidRPr="00866663" w14:paraId="24A9EBD5" w14:textId="77777777" w:rsidTr="00E10A7C">
        <w:trPr>
          <w:cantSplit/>
          <w:trHeight w:val="1815"/>
        </w:trPr>
        <w:tc>
          <w:tcPr>
            <w:tcW w:w="1143" w:type="dxa"/>
          </w:tcPr>
          <w:p w14:paraId="1E982FF4" w14:textId="30CD10F9" w:rsidR="00114524" w:rsidRPr="00866663" w:rsidRDefault="00114524" w:rsidP="009B6449">
            <w:pPr>
              <w:pStyle w:val="Tabletext"/>
              <w:rPr>
                <w:rFonts w:cstheme="minorHAnsi"/>
                <w:szCs w:val="22"/>
              </w:rPr>
            </w:pPr>
          </w:p>
        </w:tc>
        <w:tc>
          <w:tcPr>
            <w:tcW w:w="3807" w:type="dxa"/>
            <w:gridSpan w:val="2"/>
          </w:tcPr>
          <w:p w14:paraId="4F746E6B" w14:textId="356E5AD8" w:rsidR="00114524" w:rsidRPr="00866663" w:rsidRDefault="00114524" w:rsidP="001D1C12">
            <w:pPr>
              <w:pStyle w:val="Tabletext"/>
              <w:rPr>
                <w:rFonts w:cstheme="minorHAnsi"/>
                <w:szCs w:val="22"/>
              </w:rPr>
            </w:pPr>
          </w:p>
        </w:tc>
        <w:tc>
          <w:tcPr>
            <w:tcW w:w="4831" w:type="dxa"/>
            <w:gridSpan w:val="2"/>
            <w:vMerge/>
          </w:tcPr>
          <w:p w14:paraId="1D8223F3" w14:textId="2FA6A293" w:rsidR="00114524" w:rsidRPr="00866663" w:rsidRDefault="00114524"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Cs w:val="22"/>
              </w:rPr>
            </w:pPr>
          </w:p>
        </w:tc>
      </w:tr>
      <w:tr w:rsidR="00222D56" w:rsidRPr="00866663" w14:paraId="1A98A9D3" w14:textId="77777777" w:rsidTr="00A5354B">
        <w:trPr>
          <w:cantSplit/>
          <w:trHeight w:val="80"/>
        </w:trPr>
        <w:tc>
          <w:tcPr>
            <w:tcW w:w="1143" w:type="dxa"/>
          </w:tcPr>
          <w:p w14:paraId="25C919F4" w14:textId="77777777" w:rsidR="00222D56" w:rsidRPr="00866663" w:rsidRDefault="00222D56" w:rsidP="00114524">
            <w:pPr>
              <w:pStyle w:val="Tabletext"/>
              <w:spacing w:before="0" w:after="0"/>
              <w:rPr>
                <w:rFonts w:cstheme="minorHAnsi"/>
                <w:b/>
                <w:bCs/>
                <w:szCs w:val="22"/>
              </w:rPr>
            </w:pPr>
            <w:r w:rsidRPr="00866663">
              <w:rPr>
                <w:rFonts w:cstheme="minorHAnsi"/>
                <w:b/>
                <w:bCs/>
                <w:szCs w:val="22"/>
              </w:rPr>
              <w:t>Subject:</w:t>
            </w:r>
          </w:p>
        </w:tc>
        <w:tc>
          <w:tcPr>
            <w:tcW w:w="8638" w:type="dxa"/>
            <w:gridSpan w:val="4"/>
          </w:tcPr>
          <w:p w14:paraId="2EF57BBC" w14:textId="24B102C2" w:rsidR="00222D56" w:rsidRPr="00866663" w:rsidRDefault="00162683" w:rsidP="00114524">
            <w:pPr>
              <w:pStyle w:val="Tabletext"/>
              <w:spacing w:before="0" w:after="0"/>
              <w:rPr>
                <w:rFonts w:eastAsia="Batang" w:cstheme="minorHAnsi"/>
                <w:b/>
                <w:bCs/>
                <w:szCs w:val="22"/>
                <w:lang w:eastAsia="ko-KR"/>
              </w:rPr>
            </w:pPr>
            <w:r w:rsidRPr="00866663">
              <w:rPr>
                <w:rFonts w:eastAsia="Batang" w:cstheme="minorHAnsi"/>
                <w:b/>
                <w:bCs/>
                <w:szCs w:val="22"/>
                <w:lang w:eastAsia="ko-KR"/>
              </w:rPr>
              <w:t xml:space="preserve">Fourth </w:t>
            </w:r>
            <w:r w:rsidR="00B32B08" w:rsidRPr="00866663">
              <w:rPr>
                <w:rFonts w:eastAsia="Batang" w:cstheme="minorHAnsi"/>
                <w:b/>
                <w:bCs/>
                <w:szCs w:val="22"/>
                <w:lang w:eastAsia="ko-KR"/>
              </w:rPr>
              <w:t>ITU</w:t>
            </w:r>
            <w:r w:rsidRPr="00866663">
              <w:rPr>
                <w:rFonts w:eastAsia="Batang" w:cstheme="minorHAnsi"/>
                <w:b/>
                <w:bCs/>
                <w:szCs w:val="22"/>
                <w:lang w:eastAsia="ko-KR"/>
              </w:rPr>
              <w:t xml:space="preserve"> </w:t>
            </w:r>
            <w:r w:rsidR="00B32B08" w:rsidRPr="00866663">
              <w:rPr>
                <w:rFonts w:eastAsia="Batang" w:cstheme="minorHAnsi"/>
                <w:b/>
                <w:bCs/>
                <w:szCs w:val="22"/>
                <w:lang w:eastAsia="ko-KR"/>
              </w:rPr>
              <w:t xml:space="preserve">Regional Workshop for Africa </w:t>
            </w:r>
            <w:r w:rsidRPr="00866663">
              <w:rPr>
                <w:rFonts w:eastAsia="Batang" w:cstheme="minorHAnsi"/>
                <w:b/>
                <w:bCs/>
                <w:szCs w:val="22"/>
                <w:lang w:eastAsia="ko-KR"/>
              </w:rPr>
              <w:t>on</w:t>
            </w:r>
            <w:r w:rsidR="00B32B08" w:rsidRPr="00866663">
              <w:rPr>
                <w:rFonts w:eastAsia="Batang" w:cstheme="minorHAnsi"/>
                <w:b/>
                <w:bCs/>
                <w:szCs w:val="22"/>
                <w:lang w:eastAsia="ko-KR"/>
              </w:rPr>
              <w:t xml:space="preserve"> “</w:t>
            </w:r>
            <w:r w:rsidR="001F0B05" w:rsidRPr="00866663">
              <w:rPr>
                <w:rFonts w:eastAsia="Batang" w:cstheme="minorHAnsi"/>
                <w:b/>
                <w:bCs/>
                <w:i/>
                <w:iCs/>
                <w:szCs w:val="22"/>
                <w:lang w:eastAsia="ko-KR"/>
              </w:rPr>
              <w:t xml:space="preserve">Strengthening ICT </w:t>
            </w:r>
            <w:r w:rsidR="00132544" w:rsidRPr="00866663">
              <w:rPr>
                <w:rFonts w:eastAsia="Batang" w:cstheme="minorHAnsi"/>
                <w:b/>
                <w:bCs/>
                <w:i/>
                <w:iCs/>
                <w:szCs w:val="22"/>
                <w:lang w:eastAsia="ko-KR"/>
              </w:rPr>
              <w:t>integrity</w:t>
            </w:r>
            <w:r w:rsidR="001F0B05" w:rsidRPr="00866663">
              <w:rPr>
                <w:rFonts w:eastAsia="Batang" w:cstheme="minorHAnsi"/>
                <w:b/>
                <w:bCs/>
                <w:i/>
                <w:iCs/>
                <w:szCs w:val="22"/>
                <w:lang w:eastAsia="ko-KR"/>
              </w:rPr>
              <w:t xml:space="preserve">: Combating </w:t>
            </w:r>
            <w:r w:rsidR="00132544" w:rsidRPr="00866663">
              <w:rPr>
                <w:rFonts w:eastAsia="Batang" w:cstheme="minorHAnsi"/>
                <w:b/>
                <w:bCs/>
                <w:i/>
                <w:iCs/>
                <w:szCs w:val="22"/>
                <w:lang w:eastAsia="ko-KR"/>
              </w:rPr>
              <w:t xml:space="preserve">counterfeits, testing challenges, and fraudulent communications </w:t>
            </w:r>
            <w:r w:rsidR="001F0B05" w:rsidRPr="00866663">
              <w:rPr>
                <w:rFonts w:eastAsia="Batang" w:cstheme="minorHAnsi"/>
                <w:b/>
                <w:bCs/>
                <w:i/>
                <w:iCs/>
                <w:szCs w:val="22"/>
                <w:lang w:eastAsia="ko-KR"/>
              </w:rPr>
              <w:t>in</w:t>
            </w:r>
            <w:r w:rsidR="001B2430" w:rsidRPr="00866663">
              <w:rPr>
                <w:rFonts w:eastAsia="Batang" w:cstheme="minorHAnsi"/>
                <w:b/>
                <w:bCs/>
                <w:i/>
                <w:iCs/>
                <w:szCs w:val="22"/>
                <w:lang w:eastAsia="ko-KR"/>
              </w:rPr>
              <w:t xml:space="preserve"> the</w:t>
            </w:r>
            <w:r w:rsidR="001F0B05" w:rsidRPr="00866663">
              <w:rPr>
                <w:rFonts w:eastAsia="Batang" w:cstheme="minorHAnsi"/>
                <w:b/>
                <w:bCs/>
                <w:i/>
                <w:iCs/>
                <w:szCs w:val="22"/>
                <w:lang w:eastAsia="ko-KR"/>
              </w:rPr>
              <w:t xml:space="preserve"> Africa </w:t>
            </w:r>
            <w:r w:rsidR="00132544" w:rsidRPr="00866663">
              <w:rPr>
                <w:rFonts w:eastAsia="Batang" w:cstheme="minorHAnsi"/>
                <w:b/>
                <w:bCs/>
                <w:i/>
                <w:iCs/>
                <w:szCs w:val="22"/>
                <w:lang w:eastAsia="ko-KR"/>
              </w:rPr>
              <w:t>region</w:t>
            </w:r>
            <w:r w:rsidR="00B32B08" w:rsidRPr="00866663">
              <w:rPr>
                <w:rFonts w:eastAsia="Batang" w:cstheme="minorHAnsi"/>
                <w:b/>
                <w:bCs/>
                <w:szCs w:val="22"/>
                <w:lang w:eastAsia="ko-KR"/>
              </w:rPr>
              <w:t>”</w:t>
            </w:r>
            <w:r w:rsidR="00B859C5" w:rsidRPr="00866663">
              <w:rPr>
                <w:rFonts w:eastAsia="Batang" w:cstheme="minorHAnsi"/>
                <w:b/>
                <w:bCs/>
                <w:szCs w:val="22"/>
                <w:lang w:eastAsia="ko-KR"/>
              </w:rPr>
              <w:t xml:space="preserve"> </w:t>
            </w:r>
            <w:r w:rsidR="000408EC" w:rsidRPr="00866663">
              <w:rPr>
                <w:rFonts w:eastAsia="Batang" w:cstheme="minorHAnsi"/>
                <w:b/>
                <w:bCs/>
                <w:szCs w:val="22"/>
                <w:lang w:eastAsia="ko-KR"/>
              </w:rPr>
              <w:br/>
              <w:t>(</w:t>
            </w:r>
            <w:r w:rsidR="00B32B08" w:rsidRPr="00866663">
              <w:rPr>
                <w:rFonts w:cstheme="minorHAnsi"/>
                <w:b/>
                <w:bCs/>
                <w:szCs w:val="22"/>
              </w:rPr>
              <w:t>Tunis</w:t>
            </w:r>
            <w:r w:rsidR="00B910C0" w:rsidRPr="00866663">
              <w:rPr>
                <w:rFonts w:cstheme="minorHAnsi"/>
                <w:b/>
                <w:bCs/>
                <w:szCs w:val="22"/>
              </w:rPr>
              <w:t>,</w:t>
            </w:r>
            <w:r w:rsidR="00B32B08" w:rsidRPr="00866663">
              <w:rPr>
                <w:rFonts w:cstheme="minorHAnsi"/>
                <w:b/>
                <w:bCs/>
                <w:szCs w:val="22"/>
              </w:rPr>
              <w:t xml:space="preserve"> Tunisia,</w:t>
            </w:r>
            <w:r w:rsidR="00B910C0" w:rsidRPr="00866663">
              <w:rPr>
                <w:rFonts w:cstheme="minorHAnsi"/>
                <w:b/>
                <w:bCs/>
                <w:szCs w:val="22"/>
              </w:rPr>
              <w:t xml:space="preserve"> </w:t>
            </w:r>
            <w:r w:rsidRPr="00866663">
              <w:rPr>
                <w:rFonts w:cstheme="minorHAnsi"/>
                <w:b/>
                <w:bCs/>
                <w:szCs w:val="22"/>
              </w:rPr>
              <w:t>1 October 2025</w:t>
            </w:r>
            <w:r w:rsidR="000408EC" w:rsidRPr="00866663">
              <w:rPr>
                <w:rFonts w:cstheme="minorHAnsi"/>
                <w:b/>
                <w:bCs/>
                <w:szCs w:val="22"/>
              </w:rPr>
              <w:t>)</w:t>
            </w:r>
          </w:p>
        </w:tc>
      </w:tr>
    </w:tbl>
    <w:p w14:paraId="6C11116F" w14:textId="702B34D1" w:rsidR="001B2430" w:rsidRPr="00866663" w:rsidRDefault="0087300D" w:rsidP="00114524">
      <w:pPr>
        <w:rPr>
          <w:rFonts w:cstheme="minorHAnsi"/>
          <w:szCs w:val="22"/>
        </w:rPr>
      </w:pPr>
      <w:bookmarkStart w:id="1" w:name="StartTyping_E"/>
      <w:bookmarkEnd w:id="1"/>
      <w:r w:rsidRPr="00866663">
        <w:rPr>
          <w:rFonts w:cstheme="minorHAnsi"/>
          <w:szCs w:val="22"/>
        </w:rPr>
        <w:t>Dear Sir/Mada</w:t>
      </w:r>
      <w:r w:rsidR="00E01ADF" w:rsidRPr="00866663">
        <w:rPr>
          <w:rFonts w:cstheme="minorHAnsi"/>
          <w:szCs w:val="22"/>
        </w:rPr>
        <w:t>m</w:t>
      </w:r>
      <w:r w:rsidRPr="00866663">
        <w:rPr>
          <w:rFonts w:cstheme="minorHAnsi"/>
          <w:szCs w:val="22"/>
        </w:rPr>
        <w:t>,</w:t>
      </w:r>
    </w:p>
    <w:p w14:paraId="581579FD" w14:textId="3D03E8E4" w:rsidR="00A9018E" w:rsidRPr="00866663" w:rsidRDefault="0087300D" w:rsidP="00114524">
      <w:pPr>
        <w:pStyle w:val="Normalaftertitle0"/>
        <w:spacing w:before="120"/>
        <w:rPr>
          <w:rFonts w:cstheme="minorHAnsi"/>
          <w:szCs w:val="22"/>
        </w:rPr>
      </w:pPr>
      <w:bookmarkStart w:id="2" w:name="suitetext"/>
      <w:bookmarkStart w:id="3" w:name="text"/>
      <w:bookmarkEnd w:id="2"/>
      <w:bookmarkEnd w:id="3"/>
      <w:r w:rsidRPr="00866663">
        <w:rPr>
          <w:rFonts w:cstheme="minorHAnsi"/>
          <w:bCs/>
          <w:szCs w:val="22"/>
        </w:rPr>
        <w:t>1</w:t>
      </w:r>
      <w:r w:rsidRPr="00866663">
        <w:rPr>
          <w:rFonts w:cstheme="minorHAnsi"/>
          <w:szCs w:val="22"/>
        </w:rPr>
        <w:tab/>
        <w:t xml:space="preserve">I </w:t>
      </w:r>
      <w:r w:rsidR="00A150D5" w:rsidRPr="00866663">
        <w:rPr>
          <w:rFonts w:cstheme="minorHAnsi"/>
          <w:szCs w:val="22"/>
        </w:rPr>
        <w:t xml:space="preserve">am pleased to inform you that the International Telecommunication Union </w:t>
      </w:r>
      <w:r w:rsidR="001B2430" w:rsidRPr="00866663">
        <w:rPr>
          <w:rFonts w:cstheme="minorHAnsi"/>
          <w:szCs w:val="22"/>
        </w:rPr>
        <w:t xml:space="preserve">(ITU) </w:t>
      </w:r>
      <w:r w:rsidR="00A150D5" w:rsidRPr="00866663">
        <w:rPr>
          <w:rFonts w:cstheme="minorHAnsi"/>
          <w:szCs w:val="22"/>
        </w:rPr>
        <w:t xml:space="preserve">is organizing the </w:t>
      </w:r>
      <w:r w:rsidR="00162683" w:rsidRPr="00866663">
        <w:rPr>
          <w:rFonts w:eastAsia="Batang" w:cstheme="minorHAnsi"/>
          <w:b/>
          <w:szCs w:val="22"/>
          <w:lang w:eastAsia="ko-KR"/>
        </w:rPr>
        <w:t xml:space="preserve">Fourth ITU Regional Workshop for Africa </w:t>
      </w:r>
      <w:r w:rsidR="00164B7E" w:rsidRPr="00866663">
        <w:rPr>
          <w:rFonts w:eastAsia="Batang" w:cstheme="minorHAnsi"/>
          <w:b/>
          <w:szCs w:val="22"/>
          <w:lang w:eastAsia="ko-KR"/>
        </w:rPr>
        <w:t>on “</w:t>
      </w:r>
      <w:r w:rsidR="001F0B05" w:rsidRPr="00866663">
        <w:rPr>
          <w:rFonts w:eastAsia="Batang" w:cstheme="minorHAnsi"/>
          <w:b/>
          <w:i/>
          <w:iCs/>
          <w:szCs w:val="22"/>
          <w:lang w:eastAsia="ko-KR"/>
        </w:rPr>
        <w:t xml:space="preserve">Strengthening ICT </w:t>
      </w:r>
      <w:r w:rsidR="00132544" w:rsidRPr="00866663">
        <w:rPr>
          <w:rFonts w:eastAsia="Batang" w:cstheme="minorHAnsi"/>
          <w:b/>
          <w:i/>
          <w:iCs/>
          <w:szCs w:val="22"/>
          <w:lang w:eastAsia="ko-KR"/>
        </w:rPr>
        <w:t>integrity: Combating counterfeits, testing challenges, and fraudulent communications in the</w:t>
      </w:r>
      <w:r w:rsidR="001B2430" w:rsidRPr="00866663">
        <w:rPr>
          <w:rFonts w:eastAsia="Batang" w:cstheme="minorHAnsi"/>
          <w:b/>
          <w:i/>
          <w:iCs/>
          <w:szCs w:val="22"/>
          <w:lang w:eastAsia="ko-KR"/>
        </w:rPr>
        <w:t xml:space="preserve"> </w:t>
      </w:r>
      <w:r w:rsidR="001F0B05" w:rsidRPr="00866663">
        <w:rPr>
          <w:rFonts w:eastAsia="Batang" w:cstheme="minorHAnsi"/>
          <w:b/>
          <w:i/>
          <w:iCs/>
          <w:szCs w:val="22"/>
          <w:lang w:eastAsia="ko-KR"/>
        </w:rPr>
        <w:t xml:space="preserve">Africa </w:t>
      </w:r>
      <w:r w:rsidR="00132544" w:rsidRPr="00866663">
        <w:rPr>
          <w:rFonts w:eastAsia="Batang" w:cstheme="minorHAnsi"/>
          <w:b/>
          <w:i/>
          <w:iCs/>
          <w:szCs w:val="22"/>
          <w:lang w:eastAsia="ko-KR"/>
        </w:rPr>
        <w:t>region</w:t>
      </w:r>
      <w:r w:rsidR="008751FF" w:rsidRPr="00866663">
        <w:rPr>
          <w:rFonts w:eastAsia="Batang" w:cstheme="minorHAnsi"/>
          <w:b/>
          <w:szCs w:val="22"/>
          <w:lang w:eastAsia="ko-KR"/>
        </w:rPr>
        <w:t>”</w:t>
      </w:r>
      <w:r w:rsidR="00A150D5" w:rsidRPr="00866663">
        <w:rPr>
          <w:rFonts w:eastAsia="Batang" w:cstheme="minorHAnsi"/>
          <w:bCs/>
          <w:szCs w:val="22"/>
          <w:lang w:eastAsia="ko-KR"/>
        </w:rPr>
        <w:t xml:space="preserve">. The </w:t>
      </w:r>
      <w:r w:rsidR="001557D9" w:rsidRPr="00866663">
        <w:rPr>
          <w:rFonts w:eastAsia="Batang" w:cstheme="minorHAnsi"/>
          <w:bCs/>
          <w:szCs w:val="22"/>
          <w:lang w:eastAsia="ko-KR"/>
        </w:rPr>
        <w:t>w</w:t>
      </w:r>
      <w:r w:rsidR="001B2430" w:rsidRPr="00866663">
        <w:rPr>
          <w:rFonts w:eastAsia="Batang" w:cstheme="minorHAnsi"/>
          <w:bCs/>
          <w:szCs w:val="22"/>
          <w:lang w:eastAsia="ko-KR"/>
        </w:rPr>
        <w:t>orkshop</w:t>
      </w:r>
      <w:r w:rsidR="008751FF" w:rsidRPr="00866663">
        <w:rPr>
          <w:rFonts w:eastAsia="Batang" w:cstheme="minorHAnsi"/>
          <w:b/>
          <w:szCs w:val="22"/>
          <w:lang w:eastAsia="ko-KR"/>
        </w:rPr>
        <w:t xml:space="preserve"> </w:t>
      </w:r>
      <w:r w:rsidR="003B6B61" w:rsidRPr="00866663">
        <w:rPr>
          <w:rFonts w:cstheme="minorHAnsi"/>
          <w:szCs w:val="22"/>
        </w:rPr>
        <w:t>will be hosted by</w:t>
      </w:r>
      <w:r w:rsidR="00A2576E" w:rsidRPr="00866663">
        <w:rPr>
          <w:rFonts w:cstheme="minorHAnsi"/>
          <w:szCs w:val="22"/>
        </w:rPr>
        <w:t xml:space="preserve"> </w:t>
      </w:r>
      <w:r w:rsidR="001B2430" w:rsidRPr="00866663">
        <w:rPr>
          <w:rFonts w:cstheme="minorHAnsi"/>
          <w:szCs w:val="22"/>
        </w:rPr>
        <w:t xml:space="preserve">the </w:t>
      </w:r>
      <w:r w:rsidR="004655C0" w:rsidRPr="00866663">
        <w:rPr>
          <w:rFonts w:cstheme="minorHAnsi"/>
          <w:szCs w:val="22"/>
        </w:rPr>
        <w:t xml:space="preserve">Telecommunications Research and Studies Telecommunications Center (CERT-Tunisia) and </w:t>
      </w:r>
      <w:r w:rsidR="0049287A" w:rsidRPr="00866663">
        <w:rPr>
          <w:rFonts w:cstheme="minorHAnsi"/>
          <w:szCs w:val="22"/>
        </w:rPr>
        <w:t>Tunisia Telecom</w:t>
      </w:r>
      <w:r w:rsidR="0085284A" w:rsidRPr="00866663">
        <w:rPr>
          <w:rFonts w:cstheme="minorHAnsi"/>
          <w:szCs w:val="22"/>
        </w:rPr>
        <w:t>,</w:t>
      </w:r>
      <w:r w:rsidR="00B72058" w:rsidRPr="00866663">
        <w:rPr>
          <w:rFonts w:cstheme="minorHAnsi"/>
          <w:szCs w:val="22"/>
        </w:rPr>
        <w:t xml:space="preserve"> </w:t>
      </w:r>
      <w:r w:rsidR="003B6B61" w:rsidRPr="00866663">
        <w:rPr>
          <w:rFonts w:cstheme="minorHAnsi"/>
          <w:szCs w:val="22"/>
        </w:rPr>
        <w:t xml:space="preserve">and </w:t>
      </w:r>
      <w:r w:rsidR="00BC1330" w:rsidRPr="00866663">
        <w:rPr>
          <w:rFonts w:cstheme="minorHAnsi"/>
          <w:szCs w:val="22"/>
        </w:rPr>
        <w:t xml:space="preserve">will take place </w:t>
      </w:r>
      <w:r w:rsidR="006735FA" w:rsidRPr="00866663">
        <w:rPr>
          <w:rFonts w:cstheme="minorHAnsi"/>
          <w:szCs w:val="22"/>
        </w:rPr>
        <w:t xml:space="preserve">at the </w:t>
      </w:r>
      <w:hyperlink r:id="rId10" w:history="1">
        <w:r w:rsidR="00537650" w:rsidRPr="00866663">
          <w:rPr>
            <w:rStyle w:val="Hyperlink"/>
            <w:rFonts w:cstheme="minorHAnsi"/>
            <w:szCs w:val="22"/>
          </w:rPr>
          <w:t>Hotel Verdi Tunis Beach Resort</w:t>
        </w:r>
      </w:hyperlink>
      <w:r w:rsidR="00043EC4" w:rsidRPr="00866663">
        <w:rPr>
          <w:rFonts w:cstheme="minorHAnsi"/>
          <w:szCs w:val="22"/>
        </w:rPr>
        <w:t xml:space="preserve"> </w:t>
      </w:r>
      <w:r w:rsidR="00A15E23" w:rsidRPr="00866663">
        <w:rPr>
          <w:rFonts w:cstheme="minorHAnsi"/>
          <w:szCs w:val="22"/>
        </w:rPr>
        <w:t>(</w:t>
      </w:r>
      <w:r w:rsidR="00043EC4" w:rsidRPr="00866663">
        <w:rPr>
          <w:rFonts w:cstheme="minorHAnsi"/>
          <w:i/>
          <w:iCs/>
          <w:szCs w:val="22"/>
        </w:rPr>
        <w:t>formerly known as Hotel Ramada Plaza</w:t>
      </w:r>
      <w:r w:rsidR="00A15E23" w:rsidRPr="00866663">
        <w:rPr>
          <w:rFonts w:cstheme="minorHAnsi"/>
          <w:szCs w:val="22"/>
        </w:rPr>
        <w:t xml:space="preserve">) </w:t>
      </w:r>
      <w:r w:rsidR="00132544" w:rsidRPr="00866663">
        <w:rPr>
          <w:rFonts w:cstheme="minorHAnsi"/>
          <w:szCs w:val="22"/>
        </w:rPr>
        <w:t xml:space="preserve">in </w:t>
      </w:r>
      <w:r w:rsidR="00E61736" w:rsidRPr="00866663">
        <w:rPr>
          <w:rFonts w:cstheme="minorHAnsi"/>
          <w:szCs w:val="22"/>
        </w:rPr>
        <w:t xml:space="preserve">Tunis, </w:t>
      </w:r>
      <w:r w:rsidR="00B72058" w:rsidRPr="00866663">
        <w:rPr>
          <w:rFonts w:cstheme="minorHAnsi"/>
          <w:szCs w:val="22"/>
        </w:rPr>
        <w:t>Tunisia</w:t>
      </w:r>
      <w:r w:rsidR="00132544" w:rsidRPr="00866663">
        <w:rPr>
          <w:rFonts w:cstheme="minorHAnsi"/>
          <w:szCs w:val="22"/>
        </w:rPr>
        <w:t>,</w:t>
      </w:r>
      <w:r w:rsidR="008751FF" w:rsidRPr="00866663">
        <w:rPr>
          <w:rFonts w:cstheme="minorHAnsi"/>
          <w:szCs w:val="22"/>
        </w:rPr>
        <w:t xml:space="preserve"> </w:t>
      </w:r>
      <w:r w:rsidR="00431EF2" w:rsidRPr="00866663">
        <w:rPr>
          <w:rFonts w:cstheme="minorHAnsi"/>
          <w:szCs w:val="22"/>
        </w:rPr>
        <w:t>1 October 2025</w:t>
      </w:r>
      <w:r w:rsidR="00A150D5" w:rsidRPr="00866663">
        <w:rPr>
          <w:rFonts w:cstheme="minorHAnsi"/>
          <w:szCs w:val="22"/>
        </w:rPr>
        <w:t>.</w:t>
      </w:r>
      <w:r w:rsidR="001B2430" w:rsidRPr="00866663">
        <w:rPr>
          <w:rFonts w:cstheme="minorHAnsi"/>
          <w:szCs w:val="22"/>
        </w:rPr>
        <w:t xml:space="preserve"> It will be conducted in English only.</w:t>
      </w:r>
    </w:p>
    <w:p w14:paraId="47CD26A0" w14:textId="4FC8B6F7" w:rsidR="00043EC4" w:rsidRPr="00866663" w:rsidRDefault="0018116D" w:rsidP="00114524">
      <w:pPr>
        <w:rPr>
          <w:rFonts w:cstheme="minorHAnsi"/>
          <w:szCs w:val="22"/>
        </w:rPr>
      </w:pPr>
      <w:r w:rsidRPr="00866663">
        <w:rPr>
          <w:rFonts w:cstheme="minorHAnsi"/>
          <w:szCs w:val="22"/>
        </w:rPr>
        <w:t>The</w:t>
      </w:r>
      <w:r w:rsidR="00B72058" w:rsidRPr="00866663">
        <w:rPr>
          <w:rFonts w:cstheme="minorHAnsi"/>
          <w:szCs w:val="22"/>
        </w:rPr>
        <w:t xml:space="preserve"> </w:t>
      </w:r>
      <w:r w:rsidR="00132544" w:rsidRPr="00866663">
        <w:rPr>
          <w:rFonts w:cstheme="minorHAnsi"/>
          <w:szCs w:val="22"/>
        </w:rPr>
        <w:t>w</w:t>
      </w:r>
      <w:r w:rsidR="001B2430" w:rsidRPr="00866663">
        <w:rPr>
          <w:rFonts w:cstheme="minorHAnsi"/>
          <w:szCs w:val="22"/>
        </w:rPr>
        <w:t xml:space="preserve">orkshop </w:t>
      </w:r>
      <w:r w:rsidR="00B72058" w:rsidRPr="00866663">
        <w:rPr>
          <w:rFonts w:cstheme="minorHAnsi"/>
          <w:szCs w:val="22"/>
        </w:rPr>
        <w:t>will be followed by the ITU-</w:t>
      </w:r>
      <w:r w:rsidR="00E61736" w:rsidRPr="00866663">
        <w:rPr>
          <w:rFonts w:cstheme="minorHAnsi"/>
          <w:szCs w:val="22"/>
        </w:rPr>
        <w:t xml:space="preserve">T Study Group 11 Regional Group </w:t>
      </w:r>
      <w:r w:rsidR="00B72058" w:rsidRPr="00866663">
        <w:rPr>
          <w:rFonts w:cstheme="minorHAnsi"/>
          <w:szCs w:val="22"/>
        </w:rPr>
        <w:t>for Africa (</w:t>
      </w:r>
      <w:hyperlink r:id="rId11" w:history="1">
        <w:r w:rsidR="00B72058" w:rsidRPr="00866663">
          <w:rPr>
            <w:rStyle w:val="Hyperlink"/>
            <w:rFonts w:cstheme="minorHAnsi"/>
            <w:szCs w:val="22"/>
          </w:rPr>
          <w:t>SG11RG-AFR</w:t>
        </w:r>
      </w:hyperlink>
      <w:r w:rsidR="00B72058" w:rsidRPr="00866663">
        <w:rPr>
          <w:rFonts w:cstheme="minorHAnsi"/>
          <w:szCs w:val="22"/>
        </w:rPr>
        <w:t xml:space="preserve">) </w:t>
      </w:r>
      <w:r w:rsidR="00D71071" w:rsidRPr="00866663">
        <w:rPr>
          <w:rFonts w:cstheme="minorHAnsi"/>
          <w:szCs w:val="22"/>
        </w:rPr>
        <w:t>meeting</w:t>
      </w:r>
      <w:r w:rsidR="00FB5FBB" w:rsidRPr="00866663">
        <w:rPr>
          <w:rFonts w:cstheme="minorHAnsi"/>
          <w:szCs w:val="22"/>
        </w:rPr>
        <w:t xml:space="preserve"> </w:t>
      </w:r>
      <w:r w:rsidR="00B72058" w:rsidRPr="00866663">
        <w:rPr>
          <w:rFonts w:cstheme="minorHAnsi"/>
          <w:szCs w:val="22"/>
        </w:rPr>
        <w:t>tak</w:t>
      </w:r>
      <w:r w:rsidR="00431EF2" w:rsidRPr="00866663">
        <w:rPr>
          <w:rFonts w:cstheme="minorHAnsi"/>
          <w:szCs w:val="22"/>
        </w:rPr>
        <w:t>ing</w:t>
      </w:r>
      <w:r w:rsidR="00B72058" w:rsidRPr="00866663">
        <w:rPr>
          <w:rFonts w:cstheme="minorHAnsi"/>
          <w:szCs w:val="22"/>
        </w:rPr>
        <w:t xml:space="preserve"> place </w:t>
      </w:r>
      <w:r w:rsidR="00431EF2" w:rsidRPr="00866663">
        <w:rPr>
          <w:rFonts w:cstheme="minorHAnsi"/>
          <w:szCs w:val="22"/>
        </w:rPr>
        <w:t xml:space="preserve">at </w:t>
      </w:r>
      <w:r w:rsidR="00602986" w:rsidRPr="00866663">
        <w:rPr>
          <w:rFonts w:cstheme="minorHAnsi"/>
          <w:szCs w:val="22"/>
        </w:rPr>
        <w:t>the same venue</w:t>
      </w:r>
      <w:r w:rsidR="00431EF2" w:rsidRPr="00866663">
        <w:rPr>
          <w:rFonts w:cstheme="minorHAnsi"/>
          <w:szCs w:val="22"/>
        </w:rPr>
        <w:t xml:space="preserve"> from 1</w:t>
      </w:r>
      <w:r w:rsidR="00132544" w:rsidRPr="00866663">
        <w:rPr>
          <w:rFonts w:cstheme="minorHAnsi"/>
          <w:szCs w:val="22"/>
        </w:rPr>
        <w:t xml:space="preserve"> to </w:t>
      </w:r>
      <w:r w:rsidR="00431EF2" w:rsidRPr="00866663">
        <w:rPr>
          <w:rFonts w:cstheme="minorHAnsi"/>
          <w:szCs w:val="22"/>
        </w:rPr>
        <w:t xml:space="preserve">3 </w:t>
      </w:r>
      <w:r w:rsidR="00A67CEE" w:rsidRPr="00866663">
        <w:rPr>
          <w:rFonts w:cstheme="minorHAnsi"/>
          <w:szCs w:val="22"/>
        </w:rPr>
        <w:t xml:space="preserve">October </w:t>
      </w:r>
      <w:r w:rsidR="00AF36E4" w:rsidRPr="00866663">
        <w:rPr>
          <w:rFonts w:cstheme="minorHAnsi"/>
          <w:szCs w:val="22"/>
        </w:rPr>
        <w:t>20</w:t>
      </w:r>
      <w:r w:rsidR="00431EF2" w:rsidRPr="00866663">
        <w:rPr>
          <w:rFonts w:cstheme="minorHAnsi"/>
          <w:szCs w:val="22"/>
        </w:rPr>
        <w:t>25</w:t>
      </w:r>
      <w:r w:rsidR="00AF36E4" w:rsidRPr="00866663">
        <w:rPr>
          <w:rFonts w:cstheme="minorHAnsi"/>
          <w:szCs w:val="22"/>
        </w:rPr>
        <w:t>.</w:t>
      </w:r>
    </w:p>
    <w:p w14:paraId="3E0A26DD" w14:textId="267548DD" w:rsidR="003824B7" w:rsidRPr="00866663" w:rsidRDefault="001B2430" w:rsidP="00114524">
      <w:pPr>
        <w:rPr>
          <w:rFonts w:cstheme="minorHAnsi"/>
          <w:szCs w:val="22"/>
        </w:rPr>
      </w:pPr>
      <w:r w:rsidRPr="00866663">
        <w:rPr>
          <w:rFonts w:cstheme="minorHAnsi"/>
          <w:szCs w:val="22"/>
        </w:rPr>
        <w:t xml:space="preserve">It should be noted </w:t>
      </w:r>
      <w:r w:rsidR="00A150D5" w:rsidRPr="00866663">
        <w:rPr>
          <w:rFonts w:cstheme="minorHAnsi"/>
          <w:szCs w:val="22"/>
        </w:rPr>
        <w:t xml:space="preserve">that the SG11RG-AFR meeting will commence at 1600 </w:t>
      </w:r>
      <w:r w:rsidR="00132544" w:rsidRPr="00866663">
        <w:rPr>
          <w:rFonts w:cstheme="minorHAnsi"/>
          <w:szCs w:val="22"/>
        </w:rPr>
        <w:t xml:space="preserve">hours </w:t>
      </w:r>
      <w:r w:rsidR="00A150D5" w:rsidRPr="00866663">
        <w:rPr>
          <w:rFonts w:cstheme="minorHAnsi"/>
          <w:szCs w:val="22"/>
        </w:rPr>
        <w:t xml:space="preserve">on 1 October 2025, following the conclusion of the </w:t>
      </w:r>
      <w:r w:rsidR="00132544" w:rsidRPr="00866663">
        <w:rPr>
          <w:rFonts w:cstheme="minorHAnsi"/>
          <w:szCs w:val="22"/>
        </w:rPr>
        <w:t>w</w:t>
      </w:r>
      <w:r w:rsidRPr="00866663">
        <w:rPr>
          <w:rFonts w:cstheme="minorHAnsi"/>
          <w:szCs w:val="22"/>
        </w:rPr>
        <w:t>orkshop</w:t>
      </w:r>
      <w:r w:rsidR="00A150D5" w:rsidRPr="00866663">
        <w:rPr>
          <w:rFonts w:cstheme="minorHAnsi"/>
          <w:szCs w:val="22"/>
        </w:rPr>
        <w:t xml:space="preserve">. </w:t>
      </w:r>
      <w:r w:rsidR="00431EF2" w:rsidRPr="00866663">
        <w:rPr>
          <w:rFonts w:cstheme="minorHAnsi"/>
          <w:szCs w:val="22"/>
        </w:rPr>
        <w:t xml:space="preserve">More details are available </w:t>
      </w:r>
      <w:r w:rsidR="00B4728B" w:rsidRPr="00866663">
        <w:rPr>
          <w:rFonts w:cstheme="minorHAnsi"/>
          <w:szCs w:val="22"/>
        </w:rPr>
        <w:t xml:space="preserve">on the SG11RG-AFR web page at </w:t>
      </w:r>
      <w:hyperlink r:id="rId12" w:history="1">
        <w:r w:rsidR="00B4728B" w:rsidRPr="00866663">
          <w:rPr>
            <w:rStyle w:val="Hyperlink"/>
            <w:rFonts w:cstheme="minorHAnsi"/>
            <w:szCs w:val="22"/>
          </w:rPr>
          <w:t>https://itu.int/go/tsg11rgafr</w:t>
        </w:r>
      </w:hyperlink>
      <w:r w:rsidR="00431EF2" w:rsidRPr="00866663">
        <w:rPr>
          <w:rFonts w:cstheme="minorHAnsi"/>
          <w:szCs w:val="22"/>
        </w:rPr>
        <w:t>.</w:t>
      </w:r>
    </w:p>
    <w:p w14:paraId="7B5345F2" w14:textId="5A0A5223" w:rsidR="008751FF" w:rsidRPr="00866663" w:rsidRDefault="001B2430" w:rsidP="00114524">
      <w:pPr>
        <w:rPr>
          <w:rFonts w:cstheme="minorHAnsi"/>
          <w:szCs w:val="22"/>
        </w:rPr>
      </w:pPr>
      <w:r w:rsidRPr="00866663">
        <w:rPr>
          <w:rFonts w:cstheme="minorHAnsi"/>
          <w:szCs w:val="22"/>
        </w:rPr>
        <w:t>2</w:t>
      </w:r>
      <w:r w:rsidR="0087300D" w:rsidRPr="00866663">
        <w:rPr>
          <w:rFonts w:cstheme="minorHAnsi"/>
          <w:szCs w:val="22"/>
        </w:rPr>
        <w:tab/>
      </w:r>
      <w:r w:rsidR="009344DE" w:rsidRPr="00866663">
        <w:rPr>
          <w:rFonts w:cstheme="minorHAnsi"/>
          <w:szCs w:val="22"/>
        </w:rPr>
        <w:t xml:space="preserve">This </w:t>
      </w:r>
      <w:r w:rsidR="00605CA7" w:rsidRPr="00866663">
        <w:rPr>
          <w:rFonts w:cstheme="minorHAnsi"/>
          <w:szCs w:val="22"/>
        </w:rPr>
        <w:t xml:space="preserve">is the fourth </w:t>
      </w:r>
      <w:r w:rsidR="009344DE" w:rsidRPr="00866663">
        <w:rPr>
          <w:rFonts w:cstheme="minorHAnsi"/>
          <w:szCs w:val="22"/>
        </w:rPr>
        <w:t xml:space="preserve">workshop </w:t>
      </w:r>
      <w:r w:rsidRPr="00866663">
        <w:rPr>
          <w:rFonts w:cstheme="minorHAnsi"/>
          <w:szCs w:val="22"/>
        </w:rPr>
        <w:t xml:space="preserve">in the series that </w:t>
      </w:r>
      <w:r w:rsidR="00086030" w:rsidRPr="00866663">
        <w:rPr>
          <w:rFonts w:cstheme="minorHAnsi"/>
          <w:szCs w:val="22"/>
        </w:rPr>
        <w:t xml:space="preserve">ITU </w:t>
      </w:r>
      <w:r w:rsidR="00E629F3" w:rsidRPr="00866663">
        <w:rPr>
          <w:rFonts w:cstheme="minorHAnsi"/>
          <w:szCs w:val="22"/>
        </w:rPr>
        <w:t xml:space="preserve">is </w:t>
      </w:r>
      <w:r w:rsidR="00086030" w:rsidRPr="00866663">
        <w:rPr>
          <w:rFonts w:cstheme="minorHAnsi"/>
          <w:szCs w:val="22"/>
        </w:rPr>
        <w:t>organiz</w:t>
      </w:r>
      <w:r w:rsidR="00E629F3" w:rsidRPr="00866663">
        <w:rPr>
          <w:rFonts w:cstheme="minorHAnsi"/>
          <w:szCs w:val="22"/>
        </w:rPr>
        <w:t>ing</w:t>
      </w:r>
      <w:r w:rsidR="00086030" w:rsidRPr="00866663">
        <w:rPr>
          <w:rFonts w:cstheme="minorHAnsi"/>
          <w:szCs w:val="22"/>
        </w:rPr>
        <w:t xml:space="preserve"> </w:t>
      </w:r>
      <w:r w:rsidR="009344DE" w:rsidRPr="00866663">
        <w:rPr>
          <w:rFonts w:cstheme="minorHAnsi"/>
          <w:szCs w:val="22"/>
        </w:rPr>
        <w:t>t</w:t>
      </w:r>
      <w:r w:rsidR="00377895" w:rsidRPr="00866663">
        <w:rPr>
          <w:rFonts w:cstheme="minorHAnsi"/>
          <w:szCs w:val="22"/>
        </w:rPr>
        <w:t>o support African countries in</w:t>
      </w:r>
      <w:r w:rsidR="00E629F3" w:rsidRPr="00866663">
        <w:rPr>
          <w:rFonts w:cstheme="minorHAnsi"/>
          <w:szCs w:val="22"/>
        </w:rPr>
        <w:t xml:space="preserve"> addressing</w:t>
      </w:r>
      <w:r w:rsidR="00377895" w:rsidRPr="00866663">
        <w:rPr>
          <w:rFonts w:cstheme="minorHAnsi"/>
          <w:szCs w:val="22"/>
        </w:rPr>
        <w:t xml:space="preserve"> multifaceted challenges</w:t>
      </w:r>
      <w:r w:rsidR="001B7F22" w:rsidRPr="00866663">
        <w:rPr>
          <w:rFonts w:cstheme="minorHAnsi"/>
          <w:szCs w:val="22"/>
        </w:rPr>
        <w:t xml:space="preserve"> </w:t>
      </w:r>
      <w:r w:rsidR="00605CA7" w:rsidRPr="00866663">
        <w:rPr>
          <w:rFonts w:cstheme="minorHAnsi"/>
          <w:szCs w:val="22"/>
        </w:rPr>
        <w:t xml:space="preserve">in </w:t>
      </w:r>
      <w:r w:rsidR="00E629F3" w:rsidRPr="00866663">
        <w:rPr>
          <w:rFonts w:cstheme="minorHAnsi"/>
          <w:szCs w:val="22"/>
        </w:rPr>
        <w:t xml:space="preserve">the </w:t>
      </w:r>
      <w:r w:rsidR="00605CA7" w:rsidRPr="00866663">
        <w:rPr>
          <w:rFonts w:cstheme="minorHAnsi"/>
          <w:szCs w:val="22"/>
        </w:rPr>
        <w:t xml:space="preserve">Africa </w:t>
      </w:r>
      <w:r w:rsidR="00132544" w:rsidRPr="00866663">
        <w:rPr>
          <w:rFonts w:cstheme="minorHAnsi"/>
          <w:szCs w:val="22"/>
        </w:rPr>
        <w:t xml:space="preserve">region </w:t>
      </w:r>
      <w:r w:rsidR="001B7F22" w:rsidRPr="00866663">
        <w:rPr>
          <w:rFonts w:cstheme="minorHAnsi"/>
          <w:szCs w:val="22"/>
        </w:rPr>
        <w:t xml:space="preserve">related to counterfeiting, testing, and fraudulent </w:t>
      </w:r>
      <w:r w:rsidR="00605CA7" w:rsidRPr="00866663">
        <w:rPr>
          <w:rFonts w:cstheme="minorHAnsi"/>
          <w:szCs w:val="22"/>
        </w:rPr>
        <w:t>c</w:t>
      </w:r>
      <w:r w:rsidR="001B7F22" w:rsidRPr="00866663">
        <w:rPr>
          <w:rFonts w:cstheme="minorHAnsi"/>
          <w:szCs w:val="22"/>
        </w:rPr>
        <w:t>ommunications</w:t>
      </w:r>
      <w:r w:rsidR="00E629F3" w:rsidRPr="00866663">
        <w:rPr>
          <w:rFonts w:cstheme="minorHAnsi"/>
          <w:szCs w:val="22"/>
        </w:rPr>
        <w:t xml:space="preserve">. The </w:t>
      </w:r>
      <w:r w:rsidRPr="00866663">
        <w:rPr>
          <w:rFonts w:cstheme="minorHAnsi"/>
          <w:szCs w:val="22"/>
        </w:rPr>
        <w:t xml:space="preserve">event </w:t>
      </w:r>
      <w:r w:rsidR="00377895" w:rsidRPr="00866663">
        <w:rPr>
          <w:rFonts w:cstheme="minorHAnsi"/>
          <w:szCs w:val="22"/>
        </w:rPr>
        <w:t>aim</w:t>
      </w:r>
      <w:r w:rsidR="007D1C69" w:rsidRPr="00866663">
        <w:rPr>
          <w:rFonts w:cstheme="minorHAnsi"/>
          <w:szCs w:val="22"/>
        </w:rPr>
        <w:t>s</w:t>
      </w:r>
      <w:r w:rsidR="00377895" w:rsidRPr="00866663">
        <w:rPr>
          <w:rFonts w:cstheme="minorHAnsi"/>
          <w:szCs w:val="22"/>
        </w:rPr>
        <w:t xml:space="preserve"> at strengthening regional responses through knowledge sharing, policy dialogue, and technical cooperation.</w:t>
      </w:r>
      <w:r w:rsidR="0019428C" w:rsidRPr="00866663">
        <w:rPr>
          <w:rFonts w:cstheme="minorHAnsi"/>
          <w:szCs w:val="22"/>
        </w:rPr>
        <w:t xml:space="preserve"> </w:t>
      </w:r>
      <w:r w:rsidRPr="00866663">
        <w:rPr>
          <w:rFonts w:cstheme="minorHAnsi"/>
          <w:szCs w:val="22"/>
        </w:rPr>
        <w:t xml:space="preserve">It </w:t>
      </w:r>
      <w:r w:rsidR="00431EF2" w:rsidRPr="00866663">
        <w:rPr>
          <w:rFonts w:cstheme="minorHAnsi"/>
          <w:szCs w:val="22"/>
        </w:rPr>
        <w:t>will serve as a high-level platform for stakeholders from across the region, including governments, regulators, vendors, operators, and testing institution</w:t>
      </w:r>
      <w:r w:rsidR="00A150D5" w:rsidRPr="00866663">
        <w:rPr>
          <w:rFonts w:cstheme="minorHAnsi"/>
          <w:szCs w:val="22"/>
        </w:rPr>
        <w:t xml:space="preserve"> to:</w:t>
      </w:r>
    </w:p>
    <w:p w14:paraId="198C889F" w14:textId="2E73805A" w:rsidR="00431EF2" w:rsidRPr="00866663" w:rsidRDefault="00A150D5" w:rsidP="00132544">
      <w:pPr>
        <w:numPr>
          <w:ilvl w:val="0"/>
          <w:numId w:val="13"/>
        </w:numPr>
        <w:tabs>
          <w:tab w:val="clear" w:pos="1134"/>
          <w:tab w:val="clear" w:pos="1871"/>
          <w:tab w:val="clear" w:pos="2268"/>
        </w:tabs>
        <w:ind w:left="567" w:hanging="567"/>
        <w:rPr>
          <w:szCs w:val="22"/>
        </w:rPr>
      </w:pPr>
      <w:r w:rsidRPr="00866663">
        <w:rPr>
          <w:szCs w:val="22"/>
        </w:rPr>
        <w:t>d</w:t>
      </w:r>
      <w:r w:rsidR="00431EF2" w:rsidRPr="00866663">
        <w:rPr>
          <w:szCs w:val="22"/>
        </w:rPr>
        <w:t xml:space="preserve">iscuss the current challenges of the Africa </w:t>
      </w:r>
      <w:r w:rsidR="00132544" w:rsidRPr="00866663">
        <w:rPr>
          <w:szCs w:val="22"/>
        </w:rPr>
        <w:t>r</w:t>
      </w:r>
      <w:r w:rsidR="001B2430" w:rsidRPr="00866663">
        <w:rPr>
          <w:szCs w:val="22"/>
        </w:rPr>
        <w:t xml:space="preserve">egion </w:t>
      </w:r>
      <w:r w:rsidR="00431EF2" w:rsidRPr="00866663">
        <w:rPr>
          <w:szCs w:val="22"/>
        </w:rPr>
        <w:t xml:space="preserve">on conformance and </w:t>
      </w:r>
      <w:proofErr w:type="gramStart"/>
      <w:r w:rsidR="00431EF2" w:rsidRPr="00866663">
        <w:rPr>
          <w:szCs w:val="22"/>
        </w:rPr>
        <w:t>interoperability;</w:t>
      </w:r>
      <w:proofErr w:type="gramEnd"/>
    </w:p>
    <w:p w14:paraId="3F61ED71" w14:textId="264C0BBF" w:rsidR="00431EF2" w:rsidRPr="00866663" w:rsidRDefault="00A150D5" w:rsidP="00132544">
      <w:pPr>
        <w:numPr>
          <w:ilvl w:val="0"/>
          <w:numId w:val="13"/>
        </w:numPr>
        <w:tabs>
          <w:tab w:val="clear" w:pos="1134"/>
          <w:tab w:val="clear" w:pos="1871"/>
          <w:tab w:val="clear" w:pos="2268"/>
        </w:tabs>
        <w:ind w:left="567" w:hanging="567"/>
        <w:rPr>
          <w:szCs w:val="22"/>
        </w:rPr>
      </w:pPr>
      <w:r w:rsidRPr="00866663">
        <w:rPr>
          <w:szCs w:val="22"/>
        </w:rPr>
        <w:t>e</w:t>
      </w:r>
      <w:r w:rsidR="00431EF2" w:rsidRPr="00866663">
        <w:rPr>
          <w:szCs w:val="22"/>
        </w:rPr>
        <w:t xml:space="preserve">xplore the implementation of the ITU Conformance and Interoperability (C&amp;I) Programme and its role in supporting national and regional C&amp;I initiatives across </w:t>
      </w:r>
      <w:proofErr w:type="gramStart"/>
      <w:r w:rsidR="00431EF2" w:rsidRPr="00866663">
        <w:rPr>
          <w:szCs w:val="22"/>
        </w:rPr>
        <w:t>Africa;</w:t>
      </w:r>
      <w:proofErr w:type="gramEnd"/>
    </w:p>
    <w:p w14:paraId="2ADECBF0" w14:textId="0AB3E8F9" w:rsidR="00431EF2" w:rsidRPr="00866663" w:rsidRDefault="00A150D5" w:rsidP="00132544">
      <w:pPr>
        <w:numPr>
          <w:ilvl w:val="0"/>
          <w:numId w:val="13"/>
        </w:numPr>
        <w:tabs>
          <w:tab w:val="clear" w:pos="1134"/>
          <w:tab w:val="clear" w:pos="1871"/>
          <w:tab w:val="clear" w:pos="2268"/>
        </w:tabs>
        <w:ind w:left="567" w:hanging="567"/>
        <w:rPr>
          <w:szCs w:val="22"/>
        </w:rPr>
      </w:pPr>
      <w:r w:rsidRPr="00866663">
        <w:rPr>
          <w:szCs w:val="22"/>
        </w:rPr>
        <w:t>a</w:t>
      </w:r>
      <w:r w:rsidR="00431EF2" w:rsidRPr="00866663">
        <w:rPr>
          <w:szCs w:val="22"/>
        </w:rPr>
        <w:t xml:space="preserve">ddress the critical issue of counterfeit and stolen ICT devices, with particular emphasis on practical tools and mechanisms such as Equipment Identity Registers (EIR), product verification systems, and enforcement </w:t>
      </w:r>
      <w:proofErr w:type="gramStart"/>
      <w:r w:rsidR="00431EF2" w:rsidRPr="00866663">
        <w:rPr>
          <w:szCs w:val="22"/>
        </w:rPr>
        <w:t>strategies;</w:t>
      </w:r>
      <w:proofErr w:type="gramEnd"/>
    </w:p>
    <w:p w14:paraId="40427F65" w14:textId="39376E6E" w:rsidR="00431EF2" w:rsidRPr="00866663" w:rsidRDefault="00A150D5" w:rsidP="00132544">
      <w:pPr>
        <w:numPr>
          <w:ilvl w:val="0"/>
          <w:numId w:val="13"/>
        </w:numPr>
        <w:tabs>
          <w:tab w:val="clear" w:pos="1134"/>
          <w:tab w:val="clear" w:pos="1871"/>
          <w:tab w:val="clear" w:pos="2268"/>
        </w:tabs>
        <w:ind w:left="567" w:hanging="567"/>
        <w:rPr>
          <w:szCs w:val="22"/>
        </w:rPr>
      </w:pPr>
      <w:r w:rsidRPr="00866663">
        <w:rPr>
          <w:szCs w:val="22"/>
        </w:rPr>
        <w:t>d</w:t>
      </w:r>
      <w:r w:rsidR="00431EF2" w:rsidRPr="00866663">
        <w:rPr>
          <w:szCs w:val="22"/>
        </w:rPr>
        <w:t>iscuss emerging threats related to fraudulent communications, including scams calls, caller ID spoofing, and unauthorized use of network resources, with a focus on how ITU-T Study Group 11 (SG11) standards and frameworks can help mitigate these risks.</w:t>
      </w:r>
    </w:p>
    <w:p w14:paraId="6E79ED35" w14:textId="162E0AEA" w:rsidR="0006267B" w:rsidRPr="00866663" w:rsidRDefault="0006267B" w:rsidP="00A150D5">
      <w:pPr>
        <w:rPr>
          <w:rFonts w:cstheme="minorHAnsi"/>
          <w:szCs w:val="22"/>
        </w:rPr>
      </w:pPr>
      <w:r w:rsidRPr="00866663">
        <w:rPr>
          <w:rFonts w:cstheme="minorHAnsi"/>
          <w:szCs w:val="22"/>
        </w:rPr>
        <w:lastRenderedPageBreak/>
        <w:t xml:space="preserve">The </w:t>
      </w:r>
      <w:r w:rsidR="00132544" w:rsidRPr="00866663">
        <w:rPr>
          <w:rFonts w:cstheme="minorHAnsi"/>
          <w:szCs w:val="22"/>
        </w:rPr>
        <w:t>w</w:t>
      </w:r>
      <w:r w:rsidR="001B2430" w:rsidRPr="00866663">
        <w:rPr>
          <w:rFonts w:cstheme="minorHAnsi"/>
          <w:szCs w:val="22"/>
        </w:rPr>
        <w:t xml:space="preserve">orkshop </w:t>
      </w:r>
      <w:r w:rsidRPr="00866663">
        <w:rPr>
          <w:rFonts w:cstheme="minorHAnsi"/>
          <w:szCs w:val="22"/>
        </w:rPr>
        <w:t>will also showcase regional best practices and highlight current initiatives led by ITU-T SG11 and its Regional Group for Africa (SG11RG-AFR) in supporting Africa's efforts to build a secure, trustworthy, and high-quality digital ecosystem.</w:t>
      </w:r>
    </w:p>
    <w:p w14:paraId="170203E4" w14:textId="22EBC7C1" w:rsidR="001529B7" w:rsidRPr="00866663" w:rsidRDefault="00B859C5" w:rsidP="00A150D5">
      <w:pPr>
        <w:rPr>
          <w:rFonts w:cstheme="minorHAnsi"/>
          <w:szCs w:val="22"/>
        </w:rPr>
      </w:pPr>
      <w:r w:rsidRPr="00866663">
        <w:rPr>
          <w:rFonts w:cstheme="minorHAnsi"/>
          <w:szCs w:val="22"/>
        </w:rPr>
        <w:t>3</w:t>
      </w:r>
      <w:r w:rsidR="00DD109E" w:rsidRPr="00866663">
        <w:rPr>
          <w:rFonts w:cstheme="minorHAnsi"/>
          <w:szCs w:val="22"/>
        </w:rPr>
        <w:tab/>
      </w:r>
      <w:r w:rsidR="00A150D5" w:rsidRPr="00866663">
        <w:rPr>
          <w:rFonts w:cstheme="minorHAnsi"/>
          <w:szCs w:val="22"/>
        </w:rPr>
        <w:t>All relevant information</w:t>
      </w:r>
      <w:r w:rsidR="00A940E2" w:rsidRPr="00866663">
        <w:rPr>
          <w:rFonts w:cstheme="minorHAnsi"/>
          <w:szCs w:val="22"/>
        </w:rPr>
        <w:t xml:space="preserve"> </w:t>
      </w:r>
      <w:r w:rsidR="00965932" w:rsidRPr="00866663">
        <w:rPr>
          <w:rFonts w:cstheme="minorHAnsi"/>
          <w:szCs w:val="22"/>
        </w:rPr>
        <w:t>including</w:t>
      </w:r>
      <w:r w:rsidR="00A150D5" w:rsidRPr="00866663">
        <w:rPr>
          <w:rFonts w:cstheme="minorHAnsi"/>
          <w:szCs w:val="22"/>
        </w:rPr>
        <w:t xml:space="preserve"> </w:t>
      </w:r>
      <w:r w:rsidR="001B2430" w:rsidRPr="00866663">
        <w:rPr>
          <w:rFonts w:cstheme="minorHAnsi"/>
          <w:szCs w:val="22"/>
        </w:rPr>
        <w:t xml:space="preserve">the </w:t>
      </w:r>
      <w:r w:rsidR="00A150D5" w:rsidRPr="00866663">
        <w:rPr>
          <w:rFonts w:cstheme="minorHAnsi"/>
          <w:szCs w:val="22"/>
        </w:rPr>
        <w:t>draft program</w:t>
      </w:r>
      <w:r w:rsidR="001B2430" w:rsidRPr="00866663">
        <w:rPr>
          <w:rFonts w:cstheme="minorHAnsi"/>
          <w:szCs w:val="22"/>
        </w:rPr>
        <w:t xml:space="preserve"> and</w:t>
      </w:r>
      <w:r w:rsidR="00A150D5" w:rsidRPr="00866663">
        <w:rPr>
          <w:rFonts w:cstheme="minorHAnsi"/>
          <w:szCs w:val="22"/>
        </w:rPr>
        <w:t xml:space="preserve"> </w:t>
      </w:r>
      <w:r w:rsidR="001B2430" w:rsidRPr="00866663">
        <w:rPr>
          <w:rFonts w:cstheme="minorHAnsi"/>
          <w:szCs w:val="22"/>
        </w:rPr>
        <w:t xml:space="preserve">the list of </w:t>
      </w:r>
      <w:r w:rsidR="001529B7" w:rsidRPr="00866663">
        <w:rPr>
          <w:rFonts w:cstheme="minorHAnsi"/>
          <w:szCs w:val="22"/>
        </w:rPr>
        <w:t>speakers</w:t>
      </w:r>
      <w:r w:rsidR="00965932" w:rsidRPr="00866663">
        <w:rPr>
          <w:rFonts w:cstheme="minorHAnsi"/>
          <w:szCs w:val="22"/>
        </w:rPr>
        <w:t>,</w:t>
      </w:r>
      <w:r w:rsidR="00B51487" w:rsidRPr="00866663">
        <w:rPr>
          <w:rFonts w:cstheme="minorHAnsi"/>
          <w:szCs w:val="22"/>
        </w:rPr>
        <w:t xml:space="preserve"> will be </w:t>
      </w:r>
      <w:r w:rsidR="001529B7" w:rsidRPr="00866663">
        <w:rPr>
          <w:rFonts w:cstheme="minorHAnsi"/>
          <w:szCs w:val="22"/>
        </w:rPr>
        <w:t xml:space="preserve">made </w:t>
      </w:r>
      <w:r w:rsidR="00B51487" w:rsidRPr="00866663">
        <w:rPr>
          <w:rFonts w:cstheme="minorHAnsi"/>
          <w:szCs w:val="22"/>
        </w:rPr>
        <w:t>available on the event w</w:t>
      </w:r>
      <w:r w:rsidR="00726BE3" w:rsidRPr="00866663">
        <w:rPr>
          <w:rFonts w:cstheme="minorHAnsi"/>
          <w:szCs w:val="22"/>
        </w:rPr>
        <w:t>ebsite</w:t>
      </w:r>
      <w:r w:rsidR="002306CD" w:rsidRPr="00866663">
        <w:rPr>
          <w:rFonts w:cstheme="minorHAnsi"/>
          <w:szCs w:val="22"/>
        </w:rPr>
        <w:t xml:space="preserve"> at: </w:t>
      </w:r>
      <w:hyperlink r:id="rId13" w:history="1">
        <w:r w:rsidR="001557D9" w:rsidRPr="00866663">
          <w:rPr>
            <w:rStyle w:val="Hyperlink"/>
            <w:rFonts w:cstheme="minorHAnsi"/>
            <w:szCs w:val="22"/>
          </w:rPr>
          <w:t>https://www.itu.int/en/ITU-T/Workshops-and-Seminars/2025/0110</w:t>
        </w:r>
      </w:hyperlink>
      <w:r w:rsidR="001557D9" w:rsidRPr="00866663">
        <w:t>.</w:t>
      </w:r>
      <w:r w:rsidR="001557D9" w:rsidRPr="00866663">
        <w:rPr>
          <w:rFonts w:cstheme="minorHAnsi"/>
          <w:szCs w:val="22"/>
        </w:rPr>
        <w:t xml:space="preserve"> </w:t>
      </w:r>
      <w:r w:rsidR="00E10A7C">
        <w:rPr>
          <w:rFonts w:cstheme="minorHAnsi"/>
          <w:szCs w:val="22"/>
        </w:rPr>
        <w:br/>
      </w:r>
      <w:r w:rsidR="001529B7" w:rsidRPr="00866663">
        <w:rPr>
          <w:rFonts w:cstheme="minorHAnsi"/>
          <w:szCs w:val="22"/>
        </w:rPr>
        <w:t>The webpage will be updated regularly as more information becomes available. Participants are encouraged to check periodically for updates.</w:t>
      </w:r>
    </w:p>
    <w:p w14:paraId="5EF24847" w14:textId="0A698BF9" w:rsidR="00A940E2" w:rsidRPr="00866663" w:rsidRDefault="00B859C5" w:rsidP="001529B7">
      <w:pPr>
        <w:rPr>
          <w:rFonts w:cstheme="minorHAnsi"/>
          <w:szCs w:val="22"/>
        </w:rPr>
      </w:pPr>
      <w:r w:rsidRPr="00866663">
        <w:rPr>
          <w:rFonts w:cstheme="minorHAnsi"/>
          <w:szCs w:val="22"/>
        </w:rPr>
        <w:t>4</w:t>
      </w:r>
      <w:r w:rsidR="00763F9D" w:rsidRPr="00866663">
        <w:rPr>
          <w:rFonts w:cstheme="minorHAnsi"/>
          <w:szCs w:val="22"/>
        </w:rPr>
        <w:tab/>
      </w:r>
      <w:r w:rsidRPr="00866663">
        <w:rPr>
          <w:rFonts w:cstheme="minorHAnsi"/>
          <w:b/>
          <w:szCs w:val="22"/>
        </w:rPr>
        <w:t xml:space="preserve">Please note that </w:t>
      </w:r>
      <w:r w:rsidRPr="00866663">
        <w:rPr>
          <w:rFonts w:cstheme="minorHAnsi"/>
          <w:b/>
          <w:bCs/>
          <w:szCs w:val="22"/>
        </w:rPr>
        <w:t>pre-registration of participants is mandatory and will be carried out exclusively online.</w:t>
      </w:r>
      <w:r w:rsidR="001529B7" w:rsidRPr="00866663">
        <w:rPr>
          <w:rFonts w:cstheme="minorHAnsi"/>
          <w:szCs w:val="22"/>
        </w:rPr>
        <w:t xml:space="preserve"> You are invited to complete the online registration form available at:</w:t>
      </w:r>
      <w:r w:rsidR="00043EC4" w:rsidRPr="00866663">
        <w:rPr>
          <w:rFonts w:cstheme="minorHAnsi"/>
          <w:szCs w:val="22"/>
        </w:rPr>
        <w:t xml:space="preserve"> </w:t>
      </w:r>
      <w:hyperlink r:id="rId14" w:history="1">
        <w:r w:rsidR="00043EC4" w:rsidRPr="00866663">
          <w:rPr>
            <w:rStyle w:val="Hyperlink"/>
            <w:rFonts w:cstheme="minorHAnsi"/>
            <w:szCs w:val="22"/>
          </w:rPr>
          <w:t>https://www.itu.int/net4/CRM/xreg/web/Registration.aspx?Event=C-00015685</w:t>
        </w:r>
      </w:hyperlink>
      <w:r w:rsidR="00043EC4" w:rsidRPr="00866663">
        <w:rPr>
          <w:rFonts w:cstheme="minorHAnsi"/>
          <w:szCs w:val="22"/>
        </w:rPr>
        <w:t>.</w:t>
      </w:r>
    </w:p>
    <w:p w14:paraId="43AD8B99" w14:textId="1E531D3E" w:rsidR="00B51487" w:rsidRPr="00866663" w:rsidRDefault="00B859C5" w:rsidP="001529B7">
      <w:pPr>
        <w:rPr>
          <w:rFonts w:cstheme="minorHAnsi"/>
          <w:szCs w:val="22"/>
        </w:rPr>
      </w:pPr>
      <w:r w:rsidRPr="00866663">
        <w:rPr>
          <w:rFonts w:cstheme="minorHAnsi"/>
          <w:szCs w:val="22"/>
        </w:rPr>
        <w:t>5</w:t>
      </w:r>
      <w:r w:rsidR="00763F9D" w:rsidRPr="00866663">
        <w:rPr>
          <w:rFonts w:cstheme="minorHAnsi"/>
          <w:szCs w:val="22"/>
        </w:rPr>
        <w:tab/>
      </w:r>
      <w:r w:rsidR="00A150D5" w:rsidRPr="00866663">
        <w:rPr>
          <w:rFonts w:cstheme="minorHAnsi"/>
          <w:szCs w:val="22"/>
        </w:rPr>
        <w:t>Participation is free of charge and is open to ITU Member States, in particular members of the Africa</w:t>
      </w:r>
      <w:r w:rsidR="001B2430" w:rsidRPr="00866663">
        <w:rPr>
          <w:rFonts w:cstheme="minorHAnsi"/>
          <w:szCs w:val="22"/>
        </w:rPr>
        <w:t xml:space="preserve"> </w:t>
      </w:r>
      <w:r w:rsidR="00132544" w:rsidRPr="00866663">
        <w:rPr>
          <w:rFonts w:cstheme="minorHAnsi"/>
          <w:szCs w:val="22"/>
        </w:rPr>
        <w:t>r</w:t>
      </w:r>
      <w:r w:rsidR="001B2430" w:rsidRPr="00866663">
        <w:rPr>
          <w:rFonts w:cstheme="minorHAnsi"/>
          <w:szCs w:val="22"/>
        </w:rPr>
        <w:t>egion</w:t>
      </w:r>
      <w:r w:rsidR="00A150D5" w:rsidRPr="00866663">
        <w:rPr>
          <w:rFonts w:cstheme="minorHAnsi"/>
          <w:szCs w:val="22"/>
        </w:rPr>
        <w:t xml:space="preserve">, Sector Members, Associates and Academic Institutions and to any individual from a country that is a member of ITU who wishes to contribute to the work. All vendors and manufacturers, research institutions and academia, laboratories, regulators, operators, NGOs, customs authorities and security agencies, national standards and conformity assessment bodies and other such similar organizations within the Africa </w:t>
      </w:r>
      <w:r w:rsidR="001B2430" w:rsidRPr="00866663">
        <w:rPr>
          <w:rFonts w:cstheme="minorHAnsi"/>
          <w:szCs w:val="22"/>
        </w:rPr>
        <w:t xml:space="preserve">Region </w:t>
      </w:r>
      <w:r w:rsidR="00A150D5" w:rsidRPr="00866663">
        <w:rPr>
          <w:rFonts w:cstheme="minorHAnsi"/>
          <w:szCs w:val="22"/>
        </w:rPr>
        <w:t>are welcome to attend.</w:t>
      </w:r>
    </w:p>
    <w:p w14:paraId="0E04A1C4" w14:textId="5FFBA741" w:rsidR="005A3191" w:rsidRPr="00114524" w:rsidRDefault="00B859C5" w:rsidP="00114524">
      <w:pPr>
        <w:rPr>
          <w:rFonts w:cstheme="minorHAnsi"/>
          <w:b/>
          <w:bCs/>
          <w:szCs w:val="22"/>
        </w:rPr>
      </w:pPr>
      <w:r w:rsidRPr="00866663">
        <w:rPr>
          <w:rFonts w:cstheme="minorHAnsi"/>
          <w:szCs w:val="22"/>
        </w:rPr>
        <w:t>6</w:t>
      </w:r>
      <w:r w:rsidR="0087300D" w:rsidRPr="00866663">
        <w:rPr>
          <w:rFonts w:cstheme="minorHAnsi"/>
          <w:szCs w:val="22"/>
        </w:rPr>
        <w:tab/>
      </w:r>
      <w:r w:rsidR="00FD6C57" w:rsidRPr="00866663">
        <w:rPr>
          <w:rFonts w:cstheme="minorHAnsi"/>
          <w:bCs/>
          <w:szCs w:val="22"/>
        </w:rPr>
        <w:t xml:space="preserve">As </w:t>
      </w:r>
      <w:r w:rsidR="001B2430" w:rsidRPr="00866663">
        <w:rPr>
          <w:rFonts w:cstheme="minorHAnsi"/>
          <w:bCs/>
          <w:szCs w:val="22"/>
        </w:rPr>
        <w:t xml:space="preserve">the event </w:t>
      </w:r>
      <w:r w:rsidR="00FD6C57" w:rsidRPr="00866663">
        <w:rPr>
          <w:rFonts w:cstheme="minorHAnsi"/>
          <w:bCs/>
          <w:szCs w:val="22"/>
        </w:rPr>
        <w:t xml:space="preserve">is organized outside </w:t>
      </w:r>
      <w:r w:rsidR="001B2430" w:rsidRPr="00866663">
        <w:rPr>
          <w:rFonts w:cstheme="minorHAnsi"/>
          <w:bCs/>
          <w:szCs w:val="22"/>
        </w:rPr>
        <w:t xml:space="preserve">of </w:t>
      </w:r>
      <w:r w:rsidR="00FD6C57" w:rsidRPr="00866663">
        <w:rPr>
          <w:rFonts w:cstheme="minorHAnsi"/>
          <w:bCs/>
          <w:szCs w:val="22"/>
        </w:rPr>
        <w:t xml:space="preserve">Switzerland, visa support requests are to be addressed directly to the host of the meeting. </w:t>
      </w:r>
      <w:r w:rsidR="00FD6C57" w:rsidRPr="00866663">
        <w:rPr>
          <w:rFonts w:cstheme="minorHAnsi"/>
          <w:b/>
          <w:szCs w:val="22"/>
        </w:rPr>
        <w:t>Instructions can be found in the “Practical information”</w:t>
      </w:r>
      <w:r w:rsidR="00FD6C57" w:rsidRPr="00866663">
        <w:rPr>
          <w:rFonts w:cstheme="minorHAnsi"/>
          <w:bCs/>
          <w:szCs w:val="22"/>
        </w:rPr>
        <w:t xml:space="preserve"> section on the </w:t>
      </w:r>
      <w:r w:rsidR="001B2430" w:rsidRPr="00866663">
        <w:rPr>
          <w:rFonts w:cstheme="minorHAnsi"/>
        </w:rPr>
        <w:t>workshop webpage</w:t>
      </w:r>
      <w:r w:rsidR="001B2430" w:rsidRPr="00866663">
        <w:rPr>
          <w:rFonts w:cstheme="minorHAnsi"/>
          <w:szCs w:val="22"/>
        </w:rPr>
        <w:t xml:space="preserve"> here:</w:t>
      </w:r>
      <w:r w:rsidR="00FD6C57" w:rsidRPr="00866663">
        <w:rPr>
          <w:rFonts w:cstheme="minorHAnsi"/>
          <w:bCs/>
          <w:szCs w:val="22"/>
        </w:rPr>
        <w:t xml:space="preserve"> </w:t>
      </w:r>
      <w:hyperlink r:id="rId15" w:history="1">
        <w:r w:rsidR="001557D9" w:rsidRPr="00866663">
          <w:rPr>
            <w:rStyle w:val="Hyperlink"/>
            <w:rFonts w:cstheme="minorHAnsi"/>
            <w:bCs/>
            <w:szCs w:val="22"/>
          </w:rPr>
          <w:t>https://www.itu.int/en/ITU-T/Workshops-and-Seminars/2025/0110</w:t>
        </w:r>
      </w:hyperlink>
      <w:r w:rsidR="001557D9" w:rsidRPr="00866663">
        <w:t>.</w:t>
      </w:r>
    </w:p>
    <w:p w14:paraId="039AD47C" w14:textId="6A891A62" w:rsidR="00114524" w:rsidRDefault="005D2B53" w:rsidP="00E10A7C">
      <w:pPr>
        <w:tabs>
          <w:tab w:val="clear" w:pos="1134"/>
          <w:tab w:val="clear" w:pos="1871"/>
          <w:tab w:val="clear" w:pos="2268"/>
        </w:tabs>
        <w:overflowPunct/>
        <w:autoSpaceDE/>
        <w:autoSpaceDN/>
        <w:adjustRightInd/>
        <w:textAlignment w:val="auto"/>
        <w:rPr>
          <w:rFonts w:cstheme="minorHAnsi"/>
          <w:szCs w:val="22"/>
        </w:rPr>
      </w:pPr>
      <w:r w:rsidRPr="00866663">
        <w:rPr>
          <w:rFonts w:cstheme="minorHAnsi"/>
          <w:szCs w:val="22"/>
        </w:rPr>
        <w:t>Yours faithfully,</w:t>
      </w:r>
    </w:p>
    <w:p w14:paraId="1F2B4435" w14:textId="7EA3E3E1" w:rsidR="005D2B53" w:rsidRPr="00114524" w:rsidRDefault="008D26E8" w:rsidP="00114524">
      <w:pPr>
        <w:tabs>
          <w:tab w:val="clear" w:pos="1134"/>
          <w:tab w:val="clear" w:pos="1871"/>
          <w:tab w:val="clear" w:pos="2268"/>
        </w:tabs>
        <w:overflowPunct/>
        <w:autoSpaceDE/>
        <w:autoSpaceDN/>
        <w:adjustRightInd/>
        <w:spacing w:before="720"/>
        <w:textAlignment w:val="auto"/>
        <w:rPr>
          <w:rFonts w:cstheme="minorHAnsi"/>
          <w:szCs w:val="22"/>
        </w:rPr>
      </w:pPr>
      <w:r>
        <w:rPr>
          <w:rFonts w:cstheme="minorHAnsi"/>
          <w:noProof/>
          <w:szCs w:val="22"/>
        </w:rPr>
        <w:drawing>
          <wp:anchor distT="0" distB="0" distL="114300" distR="114300" simplePos="0" relativeHeight="251658240" behindDoc="1" locked="0" layoutInCell="1" allowOverlap="1" wp14:anchorId="706A3622" wp14:editId="327BB9C6">
            <wp:simplePos x="0" y="0"/>
            <wp:positionH relativeFrom="margin">
              <wp:align>left</wp:align>
            </wp:positionH>
            <wp:positionV relativeFrom="paragraph">
              <wp:posOffset>60325</wp:posOffset>
            </wp:positionV>
            <wp:extent cx="711237" cy="368319"/>
            <wp:effectExtent l="0" t="0" r="0" b="0"/>
            <wp:wrapNone/>
            <wp:docPr id="1131336587"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36587" name="Picture 2" descr="A black text on a white background&#10;&#10;AI-generated content may be incorrect."/>
                    <pic:cNvPicPr/>
                  </pic:nvPicPr>
                  <pic:blipFill>
                    <a:blip r:embed="rId16"/>
                    <a:stretch>
                      <a:fillRect/>
                    </a:stretch>
                  </pic:blipFill>
                  <pic:spPr>
                    <a:xfrm>
                      <a:off x="0" y="0"/>
                      <a:ext cx="711237" cy="368319"/>
                    </a:xfrm>
                    <a:prstGeom prst="rect">
                      <a:avLst/>
                    </a:prstGeom>
                  </pic:spPr>
                </pic:pic>
              </a:graphicData>
            </a:graphic>
          </wp:anchor>
        </w:drawing>
      </w:r>
      <w:r w:rsidR="00246EE3" w:rsidRPr="00866663">
        <w:rPr>
          <w:rFonts w:cstheme="minorHAnsi"/>
          <w:szCs w:val="22"/>
        </w:rPr>
        <w:t>Seizo Onoe</w:t>
      </w:r>
      <w:r w:rsidR="005D2B53" w:rsidRPr="00866663">
        <w:rPr>
          <w:rFonts w:cstheme="minorHAnsi"/>
          <w:szCs w:val="22"/>
        </w:rPr>
        <w:br/>
        <w:t>Director of the Telecommunication</w:t>
      </w:r>
      <w:r w:rsidR="005D2B53" w:rsidRPr="00866663">
        <w:rPr>
          <w:rFonts w:cstheme="minorHAnsi"/>
          <w:szCs w:val="22"/>
        </w:rPr>
        <w:br/>
        <w:t>Standardization Bureau</w:t>
      </w:r>
      <w:bookmarkStart w:id="4" w:name="Duties"/>
      <w:bookmarkEnd w:id="4"/>
    </w:p>
    <w:sectPr w:rsidR="005D2B53" w:rsidRPr="00114524" w:rsidSect="00E10A7C">
      <w:headerReference w:type="default" r:id="rId17"/>
      <w:footerReference w:type="first" r:id="rId18"/>
      <w:type w:val="oddPage"/>
      <w:pgSz w:w="11907" w:h="16834" w:code="9"/>
      <w:pgMar w:top="1134" w:right="1134" w:bottom="810" w:left="1134" w:header="426" w:footer="432"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64DF" w14:textId="77777777" w:rsidR="00B76B79" w:rsidRDefault="00B76B79">
      <w:r>
        <w:separator/>
      </w:r>
    </w:p>
  </w:endnote>
  <w:endnote w:type="continuationSeparator" w:id="0">
    <w:p w14:paraId="6D65D702" w14:textId="77777777" w:rsidR="00B76B79" w:rsidRDefault="00B7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8C52" w14:textId="563639F2" w:rsidR="000A3261" w:rsidRPr="00E10A7C" w:rsidRDefault="00E10A7C" w:rsidP="00E10A7C">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62764" w14:textId="77777777" w:rsidR="00B76B79" w:rsidRDefault="00B76B79">
      <w:r>
        <w:t>____________________</w:t>
      </w:r>
    </w:p>
  </w:footnote>
  <w:footnote w:type="continuationSeparator" w:id="0">
    <w:p w14:paraId="0EA0F030" w14:textId="77777777" w:rsidR="00B76B79" w:rsidRDefault="00B7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59BF" w14:textId="486D9343" w:rsidR="000A3261" w:rsidRDefault="000A3261" w:rsidP="00A940E2">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16F49">
      <w:rPr>
        <w:rStyle w:val="PageNumber"/>
        <w:noProof/>
      </w:rPr>
      <w:t>2</w:t>
    </w:r>
    <w:r>
      <w:rPr>
        <w:rStyle w:val="PageNumber"/>
      </w:rPr>
      <w:fldChar w:fldCharType="end"/>
    </w:r>
    <w:r>
      <w:rPr>
        <w:rStyle w:val="PageNumber"/>
      </w:rPr>
      <w:t xml:space="preserve"> -</w:t>
    </w:r>
    <w:r>
      <w:rPr>
        <w:rStyle w:val="PageNumber"/>
      </w:rPr>
      <w:br/>
    </w:r>
    <w:r w:rsidR="00132544" w:rsidRPr="00132544">
      <w:rPr>
        <w:rStyle w:val="PageNumber"/>
      </w:rPr>
      <w:fldChar w:fldCharType="begin"/>
    </w:r>
    <w:r w:rsidR="00132544" w:rsidRPr="00132544">
      <w:rPr>
        <w:rStyle w:val="PageNumber"/>
      </w:rPr>
      <w:instrText xml:space="preserve"> styleref </w:instrText>
    </w:r>
    <w:r w:rsidR="00132544">
      <w:rPr>
        <w:rStyle w:val="PageNumber"/>
      </w:rPr>
      <w:instrText>DocNumber</w:instrText>
    </w:r>
    <w:r w:rsidR="00132544" w:rsidRPr="00132544">
      <w:rPr>
        <w:rStyle w:val="PageNumber"/>
      </w:rPr>
      <w:instrText xml:space="preserve"> </w:instrText>
    </w:r>
    <w:r w:rsidR="00132544" w:rsidRPr="00132544">
      <w:rPr>
        <w:rStyle w:val="PageNumber"/>
      </w:rPr>
      <w:fldChar w:fldCharType="separate"/>
    </w:r>
    <w:r w:rsidR="008D26E8">
      <w:rPr>
        <w:rStyle w:val="PageNumber"/>
        <w:noProof/>
      </w:rPr>
      <w:t>TSB Circular 63</w:t>
    </w:r>
    <w:r w:rsidR="00132544" w:rsidRPr="00132544">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64159"/>
    <w:multiLevelType w:val="multilevel"/>
    <w:tmpl w:val="749E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2AA69D9"/>
    <w:multiLevelType w:val="hybridMultilevel"/>
    <w:tmpl w:val="8AFC8A0E"/>
    <w:lvl w:ilvl="0" w:tplc="E98EB01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B0303D"/>
    <w:multiLevelType w:val="hybridMultilevel"/>
    <w:tmpl w:val="8C30A5E8"/>
    <w:lvl w:ilvl="0" w:tplc="A950024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1" w15:restartNumberingAfterBreak="0">
    <w:nsid w:val="7C2F60FF"/>
    <w:multiLevelType w:val="hybridMultilevel"/>
    <w:tmpl w:val="CB8C40A8"/>
    <w:lvl w:ilvl="0" w:tplc="E98EB01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D5CC4"/>
    <w:multiLevelType w:val="hybridMultilevel"/>
    <w:tmpl w:val="3A7AE66C"/>
    <w:lvl w:ilvl="0" w:tplc="E98EB01A">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7354414">
    <w:abstractNumId w:val="2"/>
  </w:num>
  <w:num w:numId="2" w16cid:durableId="1156800550">
    <w:abstractNumId w:val="1"/>
  </w:num>
  <w:num w:numId="3" w16cid:durableId="699546046">
    <w:abstractNumId w:val="0"/>
  </w:num>
  <w:num w:numId="4" w16cid:durableId="1035693971">
    <w:abstractNumId w:val="4"/>
  </w:num>
  <w:num w:numId="5" w16cid:durableId="1193347909">
    <w:abstractNumId w:val="6"/>
  </w:num>
  <w:num w:numId="6" w16cid:durableId="791633679">
    <w:abstractNumId w:val="7"/>
  </w:num>
  <w:num w:numId="7" w16cid:durableId="50689165">
    <w:abstractNumId w:val="3"/>
  </w:num>
  <w:num w:numId="8" w16cid:durableId="623272092">
    <w:abstractNumId w:val="11"/>
  </w:num>
  <w:num w:numId="9" w16cid:durableId="495808931">
    <w:abstractNumId w:val="5"/>
  </w:num>
  <w:num w:numId="10" w16cid:durableId="1057047118">
    <w:abstractNumId w:val="12"/>
  </w:num>
  <w:num w:numId="11" w16cid:durableId="1445417360">
    <w:abstractNumId w:val="10"/>
  </w:num>
  <w:num w:numId="12" w16cid:durableId="770005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6272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4"/>
    <w:rsid w:val="00002D4B"/>
    <w:rsid w:val="0000612C"/>
    <w:rsid w:val="000069D4"/>
    <w:rsid w:val="000174AD"/>
    <w:rsid w:val="00034325"/>
    <w:rsid w:val="00037236"/>
    <w:rsid w:val="000408EC"/>
    <w:rsid w:val="00043EC4"/>
    <w:rsid w:val="0006205F"/>
    <w:rsid w:val="0006267B"/>
    <w:rsid w:val="00075011"/>
    <w:rsid w:val="00076775"/>
    <w:rsid w:val="00086030"/>
    <w:rsid w:val="000A3261"/>
    <w:rsid w:val="000A7D55"/>
    <w:rsid w:val="000C2E8E"/>
    <w:rsid w:val="000C7BFA"/>
    <w:rsid w:val="000D49FB"/>
    <w:rsid w:val="000E0E7C"/>
    <w:rsid w:val="000E6385"/>
    <w:rsid w:val="000F1B4B"/>
    <w:rsid w:val="000F1D30"/>
    <w:rsid w:val="00103631"/>
    <w:rsid w:val="00114524"/>
    <w:rsid w:val="00122D83"/>
    <w:rsid w:val="0012744F"/>
    <w:rsid w:val="0013103F"/>
    <w:rsid w:val="00132544"/>
    <w:rsid w:val="00141285"/>
    <w:rsid w:val="0014147B"/>
    <w:rsid w:val="0014328B"/>
    <w:rsid w:val="0015057B"/>
    <w:rsid w:val="001529B7"/>
    <w:rsid w:val="00154124"/>
    <w:rsid w:val="001557D9"/>
    <w:rsid w:val="00156DFF"/>
    <w:rsid w:val="00156F66"/>
    <w:rsid w:val="0015780B"/>
    <w:rsid w:val="00162683"/>
    <w:rsid w:val="001631DE"/>
    <w:rsid w:val="0016384C"/>
    <w:rsid w:val="00164B7E"/>
    <w:rsid w:val="0016534E"/>
    <w:rsid w:val="0018116D"/>
    <w:rsid w:val="00182528"/>
    <w:rsid w:val="00183CFD"/>
    <w:rsid w:val="0018500B"/>
    <w:rsid w:val="001866E7"/>
    <w:rsid w:val="00192E22"/>
    <w:rsid w:val="00193B9F"/>
    <w:rsid w:val="0019428C"/>
    <w:rsid w:val="00196103"/>
    <w:rsid w:val="00196A19"/>
    <w:rsid w:val="001A2A59"/>
    <w:rsid w:val="001A7566"/>
    <w:rsid w:val="001B1042"/>
    <w:rsid w:val="001B2430"/>
    <w:rsid w:val="001B7F22"/>
    <w:rsid w:val="001C1DD9"/>
    <w:rsid w:val="001C3018"/>
    <w:rsid w:val="001C46B1"/>
    <w:rsid w:val="001C6B1D"/>
    <w:rsid w:val="001D1C12"/>
    <w:rsid w:val="001E1011"/>
    <w:rsid w:val="001F0B05"/>
    <w:rsid w:val="001F127B"/>
    <w:rsid w:val="001F1582"/>
    <w:rsid w:val="00202DC1"/>
    <w:rsid w:val="002116EE"/>
    <w:rsid w:val="00222D56"/>
    <w:rsid w:val="002306CD"/>
    <w:rsid w:val="002309D8"/>
    <w:rsid w:val="00235FA1"/>
    <w:rsid w:val="0024314F"/>
    <w:rsid w:val="00246EE3"/>
    <w:rsid w:val="00263509"/>
    <w:rsid w:val="00277283"/>
    <w:rsid w:val="002909F9"/>
    <w:rsid w:val="002932CE"/>
    <w:rsid w:val="002A1FFE"/>
    <w:rsid w:val="002A7FE2"/>
    <w:rsid w:val="002E1B4F"/>
    <w:rsid w:val="002F2DCC"/>
    <w:rsid w:val="002F2E67"/>
    <w:rsid w:val="002F4914"/>
    <w:rsid w:val="00307BE5"/>
    <w:rsid w:val="0031444A"/>
    <w:rsid w:val="00315546"/>
    <w:rsid w:val="00323D71"/>
    <w:rsid w:val="003264CE"/>
    <w:rsid w:val="00330567"/>
    <w:rsid w:val="00332E9D"/>
    <w:rsid w:val="0033475A"/>
    <w:rsid w:val="00344BEA"/>
    <w:rsid w:val="00347AF2"/>
    <w:rsid w:val="00351DA5"/>
    <w:rsid w:val="00355D59"/>
    <w:rsid w:val="003561E1"/>
    <w:rsid w:val="00373E27"/>
    <w:rsid w:val="00377895"/>
    <w:rsid w:val="0038107A"/>
    <w:rsid w:val="003816DF"/>
    <w:rsid w:val="00381935"/>
    <w:rsid w:val="003824B7"/>
    <w:rsid w:val="00384721"/>
    <w:rsid w:val="00386A9D"/>
    <w:rsid w:val="00391081"/>
    <w:rsid w:val="00397FBE"/>
    <w:rsid w:val="003A271B"/>
    <w:rsid w:val="003B2789"/>
    <w:rsid w:val="003B6B61"/>
    <w:rsid w:val="003C13CE"/>
    <w:rsid w:val="003D38E3"/>
    <w:rsid w:val="003E2518"/>
    <w:rsid w:val="003E4ABE"/>
    <w:rsid w:val="003E6CFD"/>
    <w:rsid w:val="003F1DE8"/>
    <w:rsid w:val="00416F49"/>
    <w:rsid w:val="00426DFF"/>
    <w:rsid w:val="004307AF"/>
    <w:rsid w:val="00431385"/>
    <w:rsid w:val="00431EF2"/>
    <w:rsid w:val="00436E38"/>
    <w:rsid w:val="00442983"/>
    <w:rsid w:val="00447BC4"/>
    <w:rsid w:val="00452CCC"/>
    <w:rsid w:val="00452ECF"/>
    <w:rsid w:val="00456F33"/>
    <w:rsid w:val="004606D4"/>
    <w:rsid w:val="004655C0"/>
    <w:rsid w:val="0049287A"/>
    <w:rsid w:val="00495ADB"/>
    <w:rsid w:val="004A2393"/>
    <w:rsid w:val="004A3F79"/>
    <w:rsid w:val="004B1EF7"/>
    <w:rsid w:val="004B3FAD"/>
    <w:rsid w:val="004B4988"/>
    <w:rsid w:val="004D0DCE"/>
    <w:rsid w:val="004E202F"/>
    <w:rsid w:val="00501DCA"/>
    <w:rsid w:val="00512FA6"/>
    <w:rsid w:val="00513A47"/>
    <w:rsid w:val="00521349"/>
    <w:rsid w:val="00537650"/>
    <w:rsid w:val="005408DF"/>
    <w:rsid w:val="005458D8"/>
    <w:rsid w:val="0056338C"/>
    <w:rsid w:val="00573344"/>
    <w:rsid w:val="00583F9B"/>
    <w:rsid w:val="005A3191"/>
    <w:rsid w:val="005B43C6"/>
    <w:rsid w:val="005D2B53"/>
    <w:rsid w:val="005E1223"/>
    <w:rsid w:val="005E452D"/>
    <w:rsid w:val="005E480F"/>
    <w:rsid w:val="005E56AA"/>
    <w:rsid w:val="005E5C10"/>
    <w:rsid w:val="005F2C78"/>
    <w:rsid w:val="005F486F"/>
    <w:rsid w:val="00602986"/>
    <w:rsid w:val="00605CA7"/>
    <w:rsid w:val="006144E4"/>
    <w:rsid w:val="00615D69"/>
    <w:rsid w:val="00620A64"/>
    <w:rsid w:val="00634893"/>
    <w:rsid w:val="00640A88"/>
    <w:rsid w:val="00642014"/>
    <w:rsid w:val="00643E20"/>
    <w:rsid w:val="00643EE1"/>
    <w:rsid w:val="00644BB9"/>
    <w:rsid w:val="00644F86"/>
    <w:rsid w:val="00650299"/>
    <w:rsid w:val="00655FC5"/>
    <w:rsid w:val="00657F9C"/>
    <w:rsid w:val="0066579E"/>
    <w:rsid w:val="006735FA"/>
    <w:rsid w:val="006A1D7C"/>
    <w:rsid w:val="006B0395"/>
    <w:rsid w:val="006B1D54"/>
    <w:rsid w:val="006B7562"/>
    <w:rsid w:val="006E1B78"/>
    <w:rsid w:val="006F5269"/>
    <w:rsid w:val="007167AB"/>
    <w:rsid w:val="00725309"/>
    <w:rsid w:val="00726BE3"/>
    <w:rsid w:val="00727173"/>
    <w:rsid w:val="007558C0"/>
    <w:rsid w:val="00755DCD"/>
    <w:rsid w:val="007633E9"/>
    <w:rsid w:val="00763F9D"/>
    <w:rsid w:val="00767230"/>
    <w:rsid w:val="00777A31"/>
    <w:rsid w:val="00780B1B"/>
    <w:rsid w:val="007858A0"/>
    <w:rsid w:val="00787A3C"/>
    <w:rsid w:val="00797810"/>
    <w:rsid w:val="007A6C7C"/>
    <w:rsid w:val="007B5D9D"/>
    <w:rsid w:val="007C7926"/>
    <w:rsid w:val="007D1C69"/>
    <w:rsid w:val="007D2F64"/>
    <w:rsid w:val="007D7EE3"/>
    <w:rsid w:val="007D7FF7"/>
    <w:rsid w:val="007E39A4"/>
    <w:rsid w:val="007E7948"/>
    <w:rsid w:val="007F79FC"/>
    <w:rsid w:val="00822581"/>
    <w:rsid w:val="008309DD"/>
    <w:rsid w:val="0083227A"/>
    <w:rsid w:val="008372C3"/>
    <w:rsid w:val="008415E7"/>
    <w:rsid w:val="0084644B"/>
    <w:rsid w:val="0085284A"/>
    <w:rsid w:val="008663E3"/>
    <w:rsid w:val="00866663"/>
    <w:rsid w:val="00866900"/>
    <w:rsid w:val="00870336"/>
    <w:rsid w:val="008710F3"/>
    <w:rsid w:val="00872BF7"/>
    <w:rsid w:val="0087300D"/>
    <w:rsid w:val="008751FF"/>
    <w:rsid w:val="00877242"/>
    <w:rsid w:val="00881BA1"/>
    <w:rsid w:val="008820D0"/>
    <w:rsid w:val="0088403A"/>
    <w:rsid w:val="008A0A55"/>
    <w:rsid w:val="008A0BAA"/>
    <w:rsid w:val="008A0E7F"/>
    <w:rsid w:val="008A61EA"/>
    <w:rsid w:val="008B1C94"/>
    <w:rsid w:val="008C26B8"/>
    <w:rsid w:val="008D26E8"/>
    <w:rsid w:val="008D3799"/>
    <w:rsid w:val="008F1CFE"/>
    <w:rsid w:val="008F39FA"/>
    <w:rsid w:val="0091405D"/>
    <w:rsid w:val="00915157"/>
    <w:rsid w:val="00915429"/>
    <w:rsid w:val="00915592"/>
    <w:rsid w:val="00915C9B"/>
    <w:rsid w:val="00917FF3"/>
    <w:rsid w:val="009252B8"/>
    <w:rsid w:val="009273EC"/>
    <w:rsid w:val="00932E45"/>
    <w:rsid w:val="009344DE"/>
    <w:rsid w:val="00937C61"/>
    <w:rsid w:val="00945F77"/>
    <w:rsid w:val="00957178"/>
    <w:rsid w:val="00965932"/>
    <w:rsid w:val="00976D71"/>
    <w:rsid w:val="00982084"/>
    <w:rsid w:val="00991A72"/>
    <w:rsid w:val="00994183"/>
    <w:rsid w:val="00995963"/>
    <w:rsid w:val="009B3ADD"/>
    <w:rsid w:val="009B4024"/>
    <w:rsid w:val="009B61EB"/>
    <w:rsid w:val="009B6449"/>
    <w:rsid w:val="009C2064"/>
    <w:rsid w:val="009C33EC"/>
    <w:rsid w:val="009D1697"/>
    <w:rsid w:val="009D59C0"/>
    <w:rsid w:val="009E0E1E"/>
    <w:rsid w:val="009F17F4"/>
    <w:rsid w:val="00A014F8"/>
    <w:rsid w:val="00A05E8D"/>
    <w:rsid w:val="00A11DBB"/>
    <w:rsid w:val="00A11DCA"/>
    <w:rsid w:val="00A14C49"/>
    <w:rsid w:val="00A150D5"/>
    <w:rsid w:val="00A15E23"/>
    <w:rsid w:val="00A20154"/>
    <w:rsid w:val="00A2576E"/>
    <w:rsid w:val="00A50C97"/>
    <w:rsid w:val="00A5173C"/>
    <w:rsid w:val="00A5354B"/>
    <w:rsid w:val="00A56285"/>
    <w:rsid w:val="00A56843"/>
    <w:rsid w:val="00A61AEF"/>
    <w:rsid w:val="00A67CEE"/>
    <w:rsid w:val="00A72632"/>
    <w:rsid w:val="00A80417"/>
    <w:rsid w:val="00A9018E"/>
    <w:rsid w:val="00A940E2"/>
    <w:rsid w:val="00AB0FFD"/>
    <w:rsid w:val="00AB1E2F"/>
    <w:rsid w:val="00AB2341"/>
    <w:rsid w:val="00AB6C43"/>
    <w:rsid w:val="00AC7D35"/>
    <w:rsid w:val="00AD7192"/>
    <w:rsid w:val="00AE2DC6"/>
    <w:rsid w:val="00AE2E00"/>
    <w:rsid w:val="00AE363E"/>
    <w:rsid w:val="00AF173A"/>
    <w:rsid w:val="00AF2BF0"/>
    <w:rsid w:val="00AF36E4"/>
    <w:rsid w:val="00AF47A3"/>
    <w:rsid w:val="00AF702F"/>
    <w:rsid w:val="00B01D07"/>
    <w:rsid w:val="00B02097"/>
    <w:rsid w:val="00B04447"/>
    <w:rsid w:val="00B066A4"/>
    <w:rsid w:val="00B067C4"/>
    <w:rsid w:val="00B07A13"/>
    <w:rsid w:val="00B07CC4"/>
    <w:rsid w:val="00B143E2"/>
    <w:rsid w:val="00B32B08"/>
    <w:rsid w:val="00B3599F"/>
    <w:rsid w:val="00B37469"/>
    <w:rsid w:val="00B4109B"/>
    <w:rsid w:val="00B4279B"/>
    <w:rsid w:val="00B45FC9"/>
    <w:rsid w:val="00B4728B"/>
    <w:rsid w:val="00B51487"/>
    <w:rsid w:val="00B61283"/>
    <w:rsid w:val="00B66EDB"/>
    <w:rsid w:val="00B704E5"/>
    <w:rsid w:val="00B705AE"/>
    <w:rsid w:val="00B72058"/>
    <w:rsid w:val="00B73CBA"/>
    <w:rsid w:val="00B76B79"/>
    <w:rsid w:val="00B776BF"/>
    <w:rsid w:val="00B83461"/>
    <w:rsid w:val="00B854E3"/>
    <w:rsid w:val="00B859C5"/>
    <w:rsid w:val="00B910C0"/>
    <w:rsid w:val="00B94DE5"/>
    <w:rsid w:val="00BA1944"/>
    <w:rsid w:val="00BA4DAE"/>
    <w:rsid w:val="00BB1D6D"/>
    <w:rsid w:val="00BB7232"/>
    <w:rsid w:val="00BC1330"/>
    <w:rsid w:val="00BC3C27"/>
    <w:rsid w:val="00BC7CCF"/>
    <w:rsid w:val="00BD3B80"/>
    <w:rsid w:val="00BD5411"/>
    <w:rsid w:val="00BE319C"/>
    <w:rsid w:val="00BE470B"/>
    <w:rsid w:val="00BF4C34"/>
    <w:rsid w:val="00BF59A4"/>
    <w:rsid w:val="00BF5C36"/>
    <w:rsid w:val="00C041E7"/>
    <w:rsid w:val="00C07E56"/>
    <w:rsid w:val="00C31DDB"/>
    <w:rsid w:val="00C451CF"/>
    <w:rsid w:val="00C57A91"/>
    <w:rsid w:val="00C62820"/>
    <w:rsid w:val="00C6344E"/>
    <w:rsid w:val="00C63FC0"/>
    <w:rsid w:val="00C662E9"/>
    <w:rsid w:val="00C70AC8"/>
    <w:rsid w:val="00C71357"/>
    <w:rsid w:val="00C80706"/>
    <w:rsid w:val="00C906A2"/>
    <w:rsid w:val="00C97C32"/>
    <w:rsid w:val="00CA5F8E"/>
    <w:rsid w:val="00CB6982"/>
    <w:rsid w:val="00CC01C2"/>
    <w:rsid w:val="00CC3FC7"/>
    <w:rsid w:val="00CD448D"/>
    <w:rsid w:val="00CD5AEE"/>
    <w:rsid w:val="00CD63EC"/>
    <w:rsid w:val="00CD75C0"/>
    <w:rsid w:val="00CD7F8B"/>
    <w:rsid w:val="00CF21F2"/>
    <w:rsid w:val="00D02712"/>
    <w:rsid w:val="00D06F98"/>
    <w:rsid w:val="00D13633"/>
    <w:rsid w:val="00D20D71"/>
    <w:rsid w:val="00D214D0"/>
    <w:rsid w:val="00D2180F"/>
    <w:rsid w:val="00D261DC"/>
    <w:rsid w:val="00D339D4"/>
    <w:rsid w:val="00D60FDF"/>
    <w:rsid w:val="00D6546B"/>
    <w:rsid w:val="00D71071"/>
    <w:rsid w:val="00D72604"/>
    <w:rsid w:val="00D72B7F"/>
    <w:rsid w:val="00D76AE1"/>
    <w:rsid w:val="00D86DE3"/>
    <w:rsid w:val="00D9652D"/>
    <w:rsid w:val="00D97C31"/>
    <w:rsid w:val="00DA27E9"/>
    <w:rsid w:val="00DC1CAB"/>
    <w:rsid w:val="00DD109E"/>
    <w:rsid w:val="00DD4BED"/>
    <w:rsid w:val="00DE069B"/>
    <w:rsid w:val="00DE39F0"/>
    <w:rsid w:val="00DF0AF3"/>
    <w:rsid w:val="00DF694B"/>
    <w:rsid w:val="00DF74BB"/>
    <w:rsid w:val="00E01ADF"/>
    <w:rsid w:val="00E03516"/>
    <w:rsid w:val="00E03933"/>
    <w:rsid w:val="00E059B5"/>
    <w:rsid w:val="00E0600D"/>
    <w:rsid w:val="00E0695A"/>
    <w:rsid w:val="00E10A7C"/>
    <w:rsid w:val="00E175D0"/>
    <w:rsid w:val="00E27D7E"/>
    <w:rsid w:val="00E32243"/>
    <w:rsid w:val="00E34935"/>
    <w:rsid w:val="00E34D68"/>
    <w:rsid w:val="00E42E13"/>
    <w:rsid w:val="00E53BC0"/>
    <w:rsid w:val="00E61736"/>
    <w:rsid w:val="00E6257C"/>
    <w:rsid w:val="00E629F3"/>
    <w:rsid w:val="00E63C59"/>
    <w:rsid w:val="00E650B2"/>
    <w:rsid w:val="00E8290E"/>
    <w:rsid w:val="00E95BDE"/>
    <w:rsid w:val="00EA15B1"/>
    <w:rsid w:val="00EB0FD4"/>
    <w:rsid w:val="00ED1F02"/>
    <w:rsid w:val="00EE549D"/>
    <w:rsid w:val="00EE617F"/>
    <w:rsid w:val="00EF0A61"/>
    <w:rsid w:val="00EF137B"/>
    <w:rsid w:val="00EF335B"/>
    <w:rsid w:val="00F01D97"/>
    <w:rsid w:val="00F14CCE"/>
    <w:rsid w:val="00F353B6"/>
    <w:rsid w:val="00F435A4"/>
    <w:rsid w:val="00F43EEB"/>
    <w:rsid w:val="00F45EDA"/>
    <w:rsid w:val="00F46C8A"/>
    <w:rsid w:val="00F47820"/>
    <w:rsid w:val="00F5169C"/>
    <w:rsid w:val="00F5419D"/>
    <w:rsid w:val="00F54EF2"/>
    <w:rsid w:val="00F7595F"/>
    <w:rsid w:val="00F7771A"/>
    <w:rsid w:val="00F91B8D"/>
    <w:rsid w:val="00FA124A"/>
    <w:rsid w:val="00FB351E"/>
    <w:rsid w:val="00FB5FBB"/>
    <w:rsid w:val="00FC08DD"/>
    <w:rsid w:val="00FC2316"/>
    <w:rsid w:val="00FC2CFD"/>
    <w:rsid w:val="00FC38B9"/>
    <w:rsid w:val="00FD6C57"/>
    <w:rsid w:val="00FE5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41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54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basedOn w:val="DefaultParagraphFont"/>
    <w:qForma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unhideWhenUsed/>
    <w:rsid w:val="00A05E8D"/>
    <w:rPr>
      <w:sz w:val="20"/>
    </w:rPr>
  </w:style>
  <w:style w:type="character" w:customStyle="1" w:styleId="CommentTextChar">
    <w:name w:val="Comment Text Char"/>
    <w:basedOn w:val="DefaultParagraphFont"/>
    <w:link w:val="CommentText"/>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styleId="UnresolvedMention">
    <w:name w:val="Unresolved Mention"/>
    <w:basedOn w:val="DefaultParagraphFont"/>
    <w:uiPriority w:val="99"/>
    <w:semiHidden/>
    <w:unhideWhenUsed/>
    <w:rsid w:val="00431EF2"/>
    <w:rPr>
      <w:color w:val="605E5C"/>
      <w:shd w:val="clear" w:color="auto" w:fill="E1DFDD"/>
    </w:rPr>
  </w:style>
  <w:style w:type="paragraph" w:customStyle="1" w:styleId="DocNumber">
    <w:name w:val="DocNumber"/>
    <w:basedOn w:val="Tabletext"/>
    <w:qFormat/>
    <w:rsid w:val="00132544"/>
    <w:pPr>
      <w:framePr w:hSpace="181" w:wrap="around" w:vAnchor="page" w:hAnchor="text" w:xAlign="center" w:y="664"/>
      <w:suppressOverlap/>
    </w:pPr>
    <w:rPr>
      <w:rFonts w:cstheme="minorHAnsi"/>
      <w:b/>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4016720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736781887">
      <w:bodyDiv w:val="1"/>
      <w:marLeft w:val="0"/>
      <w:marRight w:val="0"/>
      <w:marTop w:val="0"/>
      <w:marBottom w:val="0"/>
      <w:divBdr>
        <w:top w:val="none" w:sz="0" w:space="0" w:color="auto"/>
        <w:left w:val="none" w:sz="0" w:space="0" w:color="auto"/>
        <w:bottom w:val="none" w:sz="0" w:space="0" w:color="auto"/>
        <w:right w:val="none" w:sz="0" w:space="0" w:color="auto"/>
      </w:divBdr>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5/011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int/go/tsg11rga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5-2028/11/Pages/default.aspx" TargetMode="External"/><Relationship Id="rId5" Type="http://schemas.openxmlformats.org/officeDocument/2006/relationships/webSettings" Target="webSettings.xml"/><Relationship Id="rId15" Type="http://schemas.openxmlformats.org/officeDocument/2006/relationships/hyperlink" Target="https://www.itu.int/en/ITU-T/Workshops-and-Seminars/2025/0110" TargetMode="External"/><Relationship Id="rId10" Type="http://schemas.openxmlformats.org/officeDocument/2006/relationships/hyperlink" Target="https://verdihotel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1568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7354-A901-44B5-A463-C0FEC00B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9</TotalTime>
  <Pages>2</Pages>
  <Words>680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Braud, Olivia</cp:lastModifiedBy>
  <cp:revision>5</cp:revision>
  <cp:lastPrinted>2025-07-23T09:33:00Z</cp:lastPrinted>
  <dcterms:created xsi:type="dcterms:W3CDTF">2025-07-23T09:15:00Z</dcterms:created>
  <dcterms:modified xsi:type="dcterms:W3CDTF">2025-07-23T09:33:00Z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