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90" w:tblpY="-450"/>
        <w:tblW w:w="9712" w:type="dxa"/>
        <w:tblLayout w:type="fixed"/>
        <w:tblCellMar>
          <w:left w:w="0" w:type="dxa"/>
          <w:right w:w="0" w:type="dxa"/>
        </w:tblCellMar>
        <w:tblLook w:val="0000" w:firstRow="0" w:lastRow="0" w:firstColumn="0" w:lastColumn="0" w:noHBand="0" w:noVBand="0"/>
      </w:tblPr>
      <w:tblGrid>
        <w:gridCol w:w="1083"/>
        <w:gridCol w:w="417"/>
        <w:gridCol w:w="3467"/>
        <w:gridCol w:w="4745"/>
      </w:tblGrid>
      <w:tr w:rsidR="007B6316" w:rsidRPr="00F64B28" w14:paraId="552A948F" w14:textId="77777777" w:rsidTr="00120CD0">
        <w:trPr>
          <w:cantSplit/>
          <w:trHeight w:val="340"/>
        </w:trPr>
        <w:tc>
          <w:tcPr>
            <w:tcW w:w="1500" w:type="dxa"/>
            <w:gridSpan w:val="2"/>
          </w:tcPr>
          <w:p w14:paraId="30B62CF6" w14:textId="77777777" w:rsidR="007B6316" w:rsidRPr="00F64B28" w:rsidRDefault="007B6316" w:rsidP="00120CD0">
            <w:pPr>
              <w:tabs>
                <w:tab w:val="left" w:pos="4111"/>
              </w:tabs>
              <w:spacing w:before="10"/>
              <w:ind w:left="57"/>
              <w:rPr>
                <w:sz w:val="22"/>
              </w:rPr>
            </w:pPr>
            <w:r w:rsidRPr="00F64B28">
              <w:rPr>
                <w:noProof/>
                <w:lang w:eastAsia="zh-CN"/>
              </w:rPr>
              <w:drawing>
                <wp:inline distT="0" distB="0" distL="0" distR="0" wp14:anchorId="0A190153" wp14:editId="7C547D8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212" w:type="dxa"/>
            <w:gridSpan w:val="2"/>
            <w:vAlign w:val="center"/>
          </w:tcPr>
          <w:p w14:paraId="57E7A831" w14:textId="77777777" w:rsidR="007B6316" w:rsidRPr="00F64B28" w:rsidRDefault="007B6316" w:rsidP="00120CD0">
            <w:pPr>
              <w:spacing w:before="0"/>
              <w:rPr>
                <w:rFonts w:cs="Times New Roman Bold"/>
                <w:b/>
                <w:bCs/>
                <w:smallCaps/>
                <w:sz w:val="26"/>
                <w:szCs w:val="26"/>
              </w:rPr>
            </w:pPr>
            <w:r w:rsidRPr="00F64B28">
              <w:rPr>
                <w:rFonts w:cs="Times New Roman Bold"/>
                <w:b/>
                <w:bCs/>
                <w:smallCaps/>
                <w:sz w:val="36"/>
                <w:szCs w:val="36"/>
              </w:rPr>
              <w:t>Unión Internacional de Telecomunicaciones</w:t>
            </w:r>
          </w:p>
          <w:p w14:paraId="6D2C3CEF" w14:textId="77777777" w:rsidR="007B6316" w:rsidRPr="00F64B28" w:rsidRDefault="007B6316" w:rsidP="00120CD0">
            <w:pPr>
              <w:spacing w:before="0"/>
            </w:pPr>
            <w:r w:rsidRPr="00F64B28">
              <w:rPr>
                <w:rFonts w:cs="Times New Roman Bold"/>
                <w:b/>
                <w:bCs/>
                <w:smallCaps/>
                <w:sz w:val="28"/>
                <w:szCs w:val="28"/>
              </w:rPr>
              <w:t>Oficina</w:t>
            </w:r>
            <w:r w:rsidRPr="00F64B28">
              <w:rPr>
                <w:rFonts w:cs="Times New Roman Bold"/>
                <w:b/>
                <w:bCs/>
                <w:iCs/>
                <w:smallCaps/>
                <w:sz w:val="22"/>
                <w:szCs w:val="22"/>
              </w:rPr>
              <w:t xml:space="preserve"> </w:t>
            </w:r>
            <w:r w:rsidRPr="00F64B28">
              <w:rPr>
                <w:rFonts w:cs="Times New Roman Bold"/>
                <w:b/>
                <w:bCs/>
                <w:iCs/>
                <w:smallCaps/>
                <w:sz w:val="28"/>
                <w:szCs w:val="28"/>
              </w:rPr>
              <w:t>de Normalización de las Telecomunicaciones</w:t>
            </w:r>
          </w:p>
        </w:tc>
      </w:tr>
      <w:tr w:rsidR="007B6316" w:rsidRPr="00120CD0" w14:paraId="3345E21F" w14:textId="77777777" w:rsidTr="00120CD0">
        <w:trPr>
          <w:cantSplit/>
          <w:trHeight w:val="594"/>
        </w:trPr>
        <w:tc>
          <w:tcPr>
            <w:tcW w:w="1083" w:type="dxa"/>
          </w:tcPr>
          <w:p w14:paraId="5D9215FA" w14:textId="77777777" w:rsidR="007B6316" w:rsidRPr="00120CD0" w:rsidRDefault="007B6316" w:rsidP="00120CD0">
            <w:pPr>
              <w:tabs>
                <w:tab w:val="left" w:pos="4111"/>
              </w:tabs>
              <w:spacing w:before="10"/>
              <w:ind w:left="57"/>
              <w:rPr>
                <w:rFonts w:cstheme="minorHAnsi"/>
                <w:b/>
                <w:bCs/>
                <w:sz w:val="22"/>
                <w:szCs w:val="22"/>
              </w:rPr>
            </w:pPr>
          </w:p>
        </w:tc>
        <w:tc>
          <w:tcPr>
            <w:tcW w:w="3884" w:type="dxa"/>
            <w:gridSpan w:val="2"/>
          </w:tcPr>
          <w:p w14:paraId="48620477" w14:textId="77777777" w:rsidR="007B6316" w:rsidRPr="00120CD0" w:rsidRDefault="007B6316" w:rsidP="00120CD0">
            <w:pPr>
              <w:tabs>
                <w:tab w:val="left" w:pos="4111"/>
              </w:tabs>
              <w:spacing w:before="0"/>
              <w:ind w:left="57"/>
              <w:rPr>
                <w:rFonts w:cstheme="minorHAnsi"/>
                <w:b/>
                <w:sz w:val="22"/>
                <w:szCs w:val="22"/>
              </w:rPr>
            </w:pPr>
          </w:p>
        </w:tc>
        <w:tc>
          <w:tcPr>
            <w:tcW w:w="4745" w:type="dxa"/>
          </w:tcPr>
          <w:p w14:paraId="7352319A" w14:textId="403CA3F7" w:rsidR="007B6316" w:rsidRPr="00120CD0" w:rsidRDefault="007B6316" w:rsidP="00120CD0">
            <w:pPr>
              <w:tabs>
                <w:tab w:val="clear" w:pos="794"/>
                <w:tab w:val="clear" w:pos="1191"/>
                <w:tab w:val="clear" w:pos="1588"/>
                <w:tab w:val="clear" w:pos="1985"/>
                <w:tab w:val="left" w:pos="284"/>
              </w:tabs>
              <w:spacing w:before="0" w:after="120"/>
              <w:ind w:left="288" w:hanging="230"/>
              <w:rPr>
                <w:rFonts w:cstheme="minorHAnsi"/>
                <w:sz w:val="22"/>
                <w:szCs w:val="22"/>
              </w:rPr>
            </w:pPr>
            <w:r w:rsidRPr="00120CD0">
              <w:rPr>
                <w:rFonts w:cstheme="minorHAnsi"/>
                <w:sz w:val="22"/>
                <w:szCs w:val="22"/>
              </w:rPr>
              <w:t>Ginebra,</w:t>
            </w:r>
            <w:r w:rsidR="00124E5A" w:rsidRPr="00120CD0">
              <w:rPr>
                <w:rFonts w:cstheme="minorHAnsi"/>
                <w:sz w:val="22"/>
                <w:szCs w:val="22"/>
              </w:rPr>
              <w:t xml:space="preserve"> 3 de julio de 2025</w:t>
            </w:r>
          </w:p>
        </w:tc>
      </w:tr>
      <w:tr w:rsidR="001350B9" w:rsidRPr="00120CD0" w14:paraId="624F6210" w14:textId="77777777" w:rsidTr="00120CD0">
        <w:trPr>
          <w:cantSplit/>
          <w:trHeight w:val="340"/>
        </w:trPr>
        <w:tc>
          <w:tcPr>
            <w:tcW w:w="1083" w:type="dxa"/>
          </w:tcPr>
          <w:p w14:paraId="1B009ECC" w14:textId="77777777" w:rsidR="001350B9" w:rsidRPr="00120CD0" w:rsidRDefault="001350B9" w:rsidP="00120CD0">
            <w:pPr>
              <w:tabs>
                <w:tab w:val="left" w:pos="4111"/>
              </w:tabs>
              <w:spacing w:before="10"/>
              <w:ind w:left="57"/>
              <w:rPr>
                <w:rFonts w:cstheme="minorHAnsi"/>
                <w:sz w:val="22"/>
                <w:szCs w:val="22"/>
              </w:rPr>
            </w:pPr>
            <w:r w:rsidRPr="00120CD0">
              <w:rPr>
                <w:rFonts w:cstheme="minorHAnsi"/>
                <w:b/>
                <w:bCs/>
                <w:sz w:val="22"/>
                <w:szCs w:val="22"/>
              </w:rPr>
              <w:t>Ref</w:t>
            </w:r>
            <w:r w:rsidRPr="00120CD0">
              <w:rPr>
                <w:rFonts w:cstheme="minorHAnsi"/>
                <w:sz w:val="22"/>
                <w:szCs w:val="22"/>
              </w:rPr>
              <w:t>.:</w:t>
            </w:r>
          </w:p>
          <w:p w14:paraId="01D8C24B" w14:textId="77777777" w:rsidR="001350B9" w:rsidRPr="00120CD0" w:rsidRDefault="001350B9" w:rsidP="00120CD0">
            <w:pPr>
              <w:tabs>
                <w:tab w:val="left" w:pos="4111"/>
              </w:tabs>
              <w:spacing w:before="10"/>
              <w:ind w:left="57"/>
              <w:rPr>
                <w:rFonts w:cstheme="minorHAnsi"/>
                <w:sz w:val="22"/>
                <w:szCs w:val="22"/>
              </w:rPr>
            </w:pPr>
          </w:p>
        </w:tc>
        <w:tc>
          <w:tcPr>
            <w:tcW w:w="3884" w:type="dxa"/>
            <w:gridSpan w:val="2"/>
          </w:tcPr>
          <w:p w14:paraId="73A263FA" w14:textId="39C10D44" w:rsidR="001350B9" w:rsidRPr="00120CD0" w:rsidRDefault="001350B9" w:rsidP="00120CD0">
            <w:pPr>
              <w:tabs>
                <w:tab w:val="left" w:pos="4111"/>
              </w:tabs>
              <w:spacing w:before="0"/>
              <w:ind w:left="57"/>
              <w:rPr>
                <w:rFonts w:cstheme="minorHAnsi"/>
                <w:b/>
                <w:sz w:val="22"/>
                <w:szCs w:val="22"/>
              </w:rPr>
            </w:pPr>
            <w:r w:rsidRPr="00120CD0">
              <w:rPr>
                <w:rFonts w:cstheme="minorHAnsi"/>
                <w:b/>
                <w:sz w:val="22"/>
                <w:szCs w:val="22"/>
              </w:rPr>
              <w:t xml:space="preserve">Circular TSB </w:t>
            </w:r>
            <w:r w:rsidR="00124E5A" w:rsidRPr="00120CD0">
              <w:rPr>
                <w:rFonts w:cstheme="minorHAnsi"/>
                <w:b/>
                <w:sz w:val="22"/>
                <w:szCs w:val="22"/>
              </w:rPr>
              <w:t>60</w:t>
            </w:r>
          </w:p>
          <w:p w14:paraId="016ACA0D" w14:textId="5EF152C5" w:rsidR="001350B9" w:rsidRPr="00120CD0" w:rsidRDefault="00124E5A" w:rsidP="00120CD0">
            <w:pPr>
              <w:tabs>
                <w:tab w:val="left" w:pos="4111"/>
              </w:tabs>
              <w:spacing w:before="0"/>
              <w:ind w:left="57"/>
              <w:rPr>
                <w:rFonts w:cstheme="minorHAnsi"/>
                <w:b/>
                <w:bCs/>
                <w:sz w:val="22"/>
                <w:szCs w:val="22"/>
              </w:rPr>
            </w:pPr>
            <w:r w:rsidRPr="00120CD0">
              <w:rPr>
                <w:rFonts w:cstheme="minorHAnsi"/>
                <w:b/>
                <w:bCs/>
                <w:sz w:val="22"/>
                <w:szCs w:val="22"/>
              </w:rPr>
              <w:t>CB</w:t>
            </w:r>
          </w:p>
        </w:tc>
        <w:tc>
          <w:tcPr>
            <w:tcW w:w="4745" w:type="dxa"/>
            <w:vMerge w:val="restart"/>
          </w:tcPr>
          <w:p w14:paraId="24755FCB" w14:textId="2908A598" w:rsidR="00124E5A" w:rsidRPr="00120CD0" w:rsidRDefault="00124E5A" w:rsidP="00120CD0">
            <w:pPr>
              <w:tabs>
                <w:tab w:val="clear" w:pos="794"/>
                <w:tab w:val="left" w:pos="502"/>
              </w:tabs>
              <w:spacing w:before="0"/>
              <w:ind w:left="504" w:hanging="432"/>
              <w:rPr>
                <w:rFonts w:cstheme="minorHAnsi"/>
                <w:sz w:val="22"/>
                <w:szCs w:val="22"/>
              </w:rPr>
            </w:pPr>
            <w:bookmarkStart w:id="0" w:name="Addressee_S"/>
            <w:bookmarkEnd w:id="0"/>
            <w:r w:rsidRPr="00120CD0">
              <w:rPr>
                <w:rFonts w:cstheme="minorHAnsi"/>
                <w:sz w:val="22"/>
                <w:szCs w:val="22"/>
              </w:rPr>
              <w:t>–</w:t>
            </w:r>
            <w:r w:rsidRPr="00120CD0">
              <w:rPr>
                <w:rFonts w:cstheme="minorHAnsi"/>
                <w:sz w:val="22"/>
                <w:szCs w:val="22"/>
              </w:rPr>
              <w:tab/>
              <w:t>A las Administraciones de los Estados Miembros de la Unión;</w:t>
            </w:r>
          </w:p>
          <w:p w14:paraId="45E8BD6C" w14:textId="552E9A7C" w:rsidR="00124E5A" w:rsidRPr="00120CD0" w:rsidRDefault="00124E5A" w:rsidP="00120CD0">
            <w:pPr>
              <w:tabs>
                <w:tab w:val="clear" w:pos="794"/>
                <w:tab w:val="left" w:pos="502"/>
              </w:tabs>
              <w:spacing w:before="0"/>
              <w:ind w:left="504" w:hanging="432"/>
              <w:rPr>
                <w:rFonts w:cstheme="minorHAnsi"/>
                <w:sz w:val="22"/>
                <w:szCs w:val="22"/>
              </w:rPr>
            </w:pPr>
            <w:r w:rsidRPr="00120CD0">
              <w:rPr>
                <w:rFonts w:cstheme="minorHAnsi"/>
                <w:sz w:val="22"/>
                <w:szCs w:val="22"/>
              </w:rPr>
              <w:t>–</w:t>
            </w:r>
            <w:r w:rsidRPr="00120CD0">
              <w:rPr>
                <w:rFonts w:cstheme="minorHAnsi"/>
                <w:sz w:val="22"/>
                <w:szCs w:val="22"/>
              </w:rPr>
              <w:tab/>
              <w:t>A los Miembros de Sector del UIT-T;</w:t>
            </w:r>
          </w:p>
          <w:p w14:paraId="0CB7A770" w14:textId="77E97650" w:rsidR="00124E5A" w:rsidRPr="00120CD0" w:rsidRDefault="00124E5A" w:rsidP="00120CD0">
            <w:pPr>
              <w:tabs>
                <w:tab w:val="clear" w:pos="794"/>
                <w:tab w:val="left" w:pos="502"/>
              </w:tabs>
              <w:spacing w:before="0"/>
              <w:ind w:left="504" w:hanging="432"/>
              <w:rPr>
                <w:rFonts w:cstheme="minorHAnsi"/>
                <w:sz w:val="22"/>
                <w:szCs w:val="22"/>
              </w:rPr>
            </w:pPr>
            <w:r w:rsidRPr="00120CD0">
              <w:rPr>
                <w:rFonts w:cstheme="minorHAnsi"/>
                <w:sz w:val="22"/>
                <w:szCs w:val="22"/>
              </w:rPr>
              <w:t>–</w:t>
            </w:r>
            <w:r w:rsidRPr="00120CD0">
              <w:rPr>
                <w:rFonts w:cstheme="minorHAnsi"/>
                <w:sz w:val="22"/>
                <w:szCs w:val="22"/>
              </w:rPr>
              <w:tab/>
              <w:t>Al Estado de Palestina (Res. 99 (Rev. Dubái, 2018)</w:t>
            </w:r>
          </w:p>
          <w:p w14:paraId="7C9F26EF" w14:textId="526CD126" w:rsidR="00124E5A" w:rsidRPr="00120CD0" w:rsidRDefault="00124E5A" w:rsidP="00120CD0">
            <w:pPr>
              <w:tabs>
                <w:tab w:val="clear" w:pos="794"/>
                <w:tab w:val="left" w:pos="502"/>
              </w:tabs>
              <w:spacing w:before="0"/>
              <w:ind w:left="504" w:hanging="432"/>
              <w:rPr>
                <w:rFonts w:cstheme="minorHAnsi"/>
                <w:sz w:val="22"/>
                <w:szCs w:val="22"/>
              </w:rPr>
            </w:pPr>
            <w:r w:rsidRPr="00120CD0">
              <w:rPr>
                <w:rFonts w:cstheme="minorHAnsi"/>
                <w:sz w:val="22"/>
                <w:szCs w:val="22"/>
              </w:rPr>
              <w:t>–</w:t>
            </w:r>
            <w:r w:rsidRPr="00120CD0">
              <w:rPr>
                <w:rFonts w:cstheme="minorHAnsi"/>
                <w:sz w:val="22"/>
                <w:szCs w:val="22"/>
              </w:rPr>
              <w:tab/>
              <w:t>A los Asociados del UIT-T;</w:t>
            </w:r>
          </w:p>
          <w:p w14:paraId="00A5A852" w14:textId="33A082D6" w:rsidR="00124E5A" w:rsidRPr="00120CD0" w:rsidRDefault="00124E5A" w:rsidP="00120CD0">
            <w:pPr>
              <w:tabs>
                <w:tab w:val="clear" w:pos="794"/>
                <w:tab w:val="left" w:pos="502"/>
              </w:tabs>
              <w:spacing w:before="0"/>
              <w:ind w:left="504" w:hanging="432"/>
              <w:rPr>
                <w:rFonts w:cstheme="minorHAnsi"/>
                <w:sz w:val="22"/>
                <w:szCs w:val="22"/>
              </w:rPr>
            </w:pPr>
            <w:r w:rsidRPr="00120CD0">
              <w:rPr>
                <w:rFonts w:cstheme="minorHAnsi"/>
                <w:sz w:val="22"/>
                <w:szCs w:val="22"/>
              </w:rPr>
              <w:t>–</w:t>
            </w:r>
            <w:r w:rsidRPr="00120CD0">
              <w:rPr>
                <w:rFonts w:cstheme="minorHAnsi"/>
                <w:sz w:val="22"/>
                <w:szCs w:val="22"/>
              </w:rPr>
              <w:tab/>
              <w:t>A las Instituciones Académicas de la UIT</w:t>
            </w:r>
          </w:p>
          <w:p w14:paraId="6E371140" w14:textId="77777777" w:rsidR="00124E5A" w:rsidRPr="00120CD0" w:rsidRDefault="00124E5A" w:rsidP="00120CD0">
            <w:pPr>
              <w:tabs>
                <w:tab w:val="clear" w:pos="794"/>
                <w:tab w:val="left" w:pos="502"/>
              </w:tabs>
              <w:spacing w:before="0"/>
              <w:ind w:left="504" w:hanging="432"/>
              <w:rPr>
                <w:rFonts w:cstheme="minorHAnsi"/>
                <w:b/>
                <w:bCs/>
                <w:sz w:val="22"/>
                <w:szCs w:val="22"/>
              </w:rPr>
            </w:pPr>
            <w:r w:rsidRPr="00120CD0">
              <w:rPr>
                <w:rFonts w:cstheme="minorHAnsi"/>
                <w:b/>
                <w:bCs/>
                <w:sz w:val="22"/>
                <w:szCs w:val="22"/>
              </w:rPr>
              <w:t>Copia</w:t>
            </w:r>
            <w:r w:rsidRPr="00120CD0">
              <w:rPr>
                <w:rFonts w:cstheme="minorHAnsi"/>
                <w:b/>
                <w:bCs/>
                <w:color w:val="000000"/>
                <w:sz w:val="22"/>
                <w:szCs w:val="22"/>
              </w:rPr>
              <w:t>:</w:t>
            </w:r>
          </w:p>
          <w:p w14:paraId="519DBEAF" w14:textId="2CE40DD8" w:rsidR="00124E5A" w:rsidRPr="00120CD0" w:rsidRDefault="00124E5A" w:rsidP="00120CD0">
            <w:pPr>
              <w:tabs>
                <w:tab w:val="clear" w:pos="794"/>
                <w:tab w:val="left" w:pos="502"/>
              </w:tabs>
              <w:spacing w:before="0"/>
              <w:ind w:left="504" w:hanging="432"/>
              <w:rPr>
                <w:rFonts w:cstheme="minorHAnsi"/>
                <w:sz w:val="22"/>
                <w:szCs w:val="22"/>
              </w:rPr>
            </w:pPr>
            <w:r w:rsidRPr="00120CD0">
              <w:rPr>
                <w:rFonts w:cstheme="minorHAnsi"/>
                <w:sz w:val="22"/>
                <w:szCs w:val="22"/>
              </w:rPr>
              <w:t>–</w:t>
            </w:r>
            <w:r w:rsidRPr="00120CD0">
              <w:rPr>
                <w:rFonts w:cstheme="minorHAnsi"/>
                <w:sz w:val="22"/>
                <w:szCs w:val="22"/>
              </w:rPr>
              <w:tab/>
              <w:t xml:space="preserve">A los </w:t>
            </w:r>
            <w:proofErr w:type="gramStart"/>
            <w:r w:rsidRPr="00120CD0">
              <w:rPr>
                <w:rFonts w:cstheme="minorHAnsi"/>
                <w:sz w:val="22"/>
                <w:szCs w:val="22"/>
              </w:rPr>
              <w:t>Presidentes</w:t>
            </w:r>
            <w:proofErr w:type="gramEnd"/>
            <w:r w:rsidRPr="00120CD0">
              <w:rPr>
                <w:rFonts w:cstheme="minorHAnsi"/>
                <w:sz w:val="22"/>
                <w:szCs w:val="22"/>
              </w:rPr>
              <w:t xml:space="preserve"> y a los </w:t>
            </w:r>
            <w:proofErr w:type="gramStart"/>
            <w:r w:rsidRPr="00120CD0">
              <w:rPr>
                <w:rFonts w:cstheme="minorHAnsi"/>
                <w:sz w:val="22"/>
                <w:szCs w:val="22"/>
              </w:rPr>
              <w:t>Vicepresidentes</w:t>
            </w:r>
            <w:proofErr w:type="gramEnd"/>
            <w:r w:rsidRPr="00120CD0">
              <w:rPr>
                <w:rFonts w:cstheme="minorHAnsi"/>
                <w:sz w:val="22"/>
                <w:szCs w:val="22"/>
              </w:rPr>
              <w:t xml:space="preserve"> de las Comisiones de Estudio del UIT-T;</w:t>
            </w:r>
          </w:p>
          <w:p w14:paraId="2BA91D50" w14:textId="2EE82E92" w:rsidR="00124E5A" w:rsidRPr="00120CD0" w:rsidRDefault="00124E5A" w:rsidP="00120CD0">
            <w:pPr>
              <w:tabs>
                <w:tab w:val="clear" w:pos="794"/>
                <w:tab w:val="left" w:pos="502"/>
              </w:tabs>
              <w:spacing w:before="0"/>
              <w:ind w:left="504" w:hanging="432"/>
              <w:rPr>
                <w:rFonts w:cstheme="minorHAnsi"/>
                <w:sz w:val="22"/>
                <w:szCs w:val="22"/>
              </w:rPr>
            </w:pPr>
            <w:r w:rsidRPr="00120CD0">
              <w:rPr>
                <w:rFonts w:cstheme="minorHAnsi"/>
                <w:sz w:val="22"/>
                <w:szCs w:val="22"/>
              </w:rPr>
              <w:t>–</w:t>
            </w:r>
            <w:r w:rsidRPr="00120CD0">
              <w:rPr>
                <w:rFonts w:cstheme="minorHAnsi"/>
                <w:sz w:val="22"/>
                <w:szCs w:val="22"/>
              </w:rPr>
              <w:tab/>
              <w:t xml:space="preserve">Al </w:t>
            </w:r>
            <w:proofErr w:type="gramStart"/>
            <w:r w:rsidRPr="00120CD0">
              <w:rPr>
                <w:rFonts w:cstheme="minorHAnsi"/>
                <w:sz w:val="22"/>
                <w:szCs w:val="22"/>
              </w:rPr>
              <w:t>Director</w:t>
            </w:r>
            <w:proofErr w:type="gramEnd"/>
            <w:r w:rsidRPr="00120CD0">
              <w:rPr>
                <w:rFonts w:cstheme="minorHAnsi"/>
                <w:sz w:val="22"/>
                <w:szCs w:val="22"/>
              </w:rPr>
              <w:t xml:space="preserve"> de la Oficina de Desarrollo de las Telecomunicaciones;</w:t>
            </w:r>
          </w:p>
          <w:p w14:paraId="11D64275" w14:textId="3440DCBF" w:rsidR="00124E5A" w:rsidRPr="00120CD0" w:rsidRDefault="00124E5A" w:rsidP="00120CD0">
            <w:pPr>
              <w:tabs>
                <w:tab w:val="clear" w:pos="794"/>
                <w:tab w:val="left" w:pos="502"/>
              </w:tabs>
              <w:spacing w:before="0"/>
              <w:ind w:left="504" w:hanging="432"/>
              <w:rPr>
                <w:rFonts w:cstheme="minorHAnsi"/>
                <w:sz w:val="22"/>
                <w:szCs w:val="22"/>
              </w:rPr>
            </w:pPr>
            <w:r w:rsidRPr="00120CD0">
              <w:rPr>
                <w:rFonts w:cstheme="minorHAnsi"/>
                <w:sz w:val="22"/>
                <w:szCs w:val="22"/>
              </w:rPr>
              <w:t>–</w:t>
            </w:r>
            <w:r w:rsidRPr="00120CD0">
              <w:rPr>
                <w:rFonts w:cstheme="minorHAnsi"/>
                <w:sz w:val="22"/>
                <w:szCs w:val="22"/>
              </w:rPr>
              <w:tab/>
              <w:t xml:space="preserve">Al </w:t>
            </w:r>
            <w:proofErr w:type="gramStart"/>
            <w:r w:rsidRPr="00120CD0">
              <w:rPr>
                <w:rFonts w:cstheme="minorHAnsi"/>
                <w:sz w:val="22"/>
                <w:szCs w:val="22"/>
              </w:rPr>
              <w:t>Director</w:t>
            </w:r>
            <w:proofErr w:type="gramEnd"/>
            <w:r w:rsidRPr="00120CD0">
              <w:rPr>
                <w:rFonts w:cstheme="minorHAnsi"/>
                <w:sz w:val="22"/>
                <w:szCs w:val="22"/>
              </w:rPr>
              <w:t xml:space="preserve"> de la Oficina de Desarrollo de las Telecomunicaciones;</w:t>
            </w:r>
          </w:p>
          <w:p w14:paraId="71C30979" w14:textId="6D0B84BA" w:rsidR="001350B9" w:rsidRPr="00120CD0" w:rsidRDefault="00124E5A" w:rsidP="00120CD0">
            <w:pPr>
              <w:tabs>
                <w:tab w:val="clear" w:pos="794"/>
                <w:tab w:val="left" w:pos="502"/>
              </w:tabs>
              <w:spacing w:before="0"/>
              <w:ind w:left="504" w:hanging="432"/>
              <w:rPr>
                <w:rFonts w:cstheme="minorHAnsi"/>
                <w:sz w:val="22"/>
                <w:szCs w:val="22"/>
              </w:rPr>
            </w:pPr>
            <w:r w:rsidRPr="00120CD0">
              <w:rPr>
                <w:rFonts w:cstheme="minorHAnsi"/>
                <w:sz w:val="22"/>
                <w:szCs w:val="22"/>
              </w:rPr>
              <w:t>–</w:t>
            </w:r>
            <w:r w:rsidRPr="00120CD0">
              <w:rPr>
                <w:rFonts w:cstheme="minorHAnsi"/>
                <w:sz w:val="22"/>
                <w:szCs w:val="22"/>
              </w:rPr>
              <w:tab/>
              <w:t xml:space="preserve">A los </w:t>
            </w:r>
            <w:proofErr w:type="gramStart"/>
            <w:r w:rsidRPr="00120CD0">
              <w:rPr>
                <w:rFonts w:cstheme="minorHAnsi"/>
                <w:sz w:val="22"/>
                <w:szCs w:val="22"/>
              </w:rPr>
              <w:t>Directores</w:t>
            </w:r>
            <w:proofErr w:type="gramEnd"/>
            <w:r w:rsidRPr="00120CD0">
              <w:rPr>
                <w:rFonts w:cstheme="minorHAnsi"/>
                <w:sz w:val="22"/>
                <w:szCs w:val="22"/>
              </w:rPr>
              <w:t xml:space="preserve"> de las Oficinas Regionales de la UIT</w:t>
            </w:r>
          </w:p>
        </w:tc>
      </w:tr>
      <w:tr w:rsidR="001350B9" w:rsidRPr="00120CD0" w14:paraId="67DC2148" w14:textId="77777777" w:rsidTr="00120CD0">
        <w:trPr>
          <w:cantSplit/>
        </w:trPr>
        <w:tc>
          <w:tcPr>
            <w:tcW w:w="1083" w:type="dxa"/>
          </w:tcPr>
          <w:p w14:paraId="1A71EA70" w14:textId="77777777" w:rsidR="001350B9" w:rsidRPr="00120CD0" w:rsidRDefault="001350B9" w:rsidP="00120CD0">
            <w:pPr>
              <w:tabs>
                <w:tab w:val="left" w:pos="4111"/>
              </w:tabs>
              <w:spacing w:before="10"/>
              <w:ind w:left="57"/>
              <w:rPr>
                <w:rFonts w:cstheme="minorHAnsi"/>
                <w:sz w:val="22"/>
                <w:szCs w:val="22"/>
              </w:rPr>
            </w:pPr>
            <w:r w:rsidRPr="00120CD0">
              <w:rPr>
                <w:rFonts w:cstheme="minorHAnsi"/>
                <w:sz w:val="22"/>
                <w:szCs w:val="22"/>
              </w:rPr>
              <w:t>Tel.:</w:t>
            </w:r>
          </w:p>
        </w:tc>
        <w:tc>
          <w:tcPr>
            <w:tcW w:w="3884" w:type="dxa"/>
            <w:gridSpan w:val="2"/>
          </w:tcPr>
          <w:p w14:paraId="1F3B9060" w14:textId="45EE0932" w:rsidR="001350B9" w:rsidRPr="00120CD0" w:rsidRDefault="001350B9" w:rsidP="00120CD0">
            <w:pPr>
              <w:tabs>
                <w:tab w:val="left" w:pos="4111"/>
              </w:tabs>
              <w:spacing w:before="0"/>
              <w:ind w:left="57"/>
              <w:rPr>
                <w:rStyle w:val="Hyperlink"/>
                <w:rFonts w:cstheme="minorHAnsi"/>
                <w:sz w:val="22"/>
                <w:szCs w:val="22"/>
              </w:rPr>
            </w:pPr>
            <w:r w:rsidRPr="00120CD0">
              <w:rPr>
                <w:rFonts w:cstheme="minorHAnsi"/>
                <w:sz w:val="22"/>
                <w:szCs w:val="22"/>
              </w:rPr>
              <w:t>+41 22 730</w:t>
            </w:r>
            <w:r w:rsidR="00124E5A" w:rsidRPr="00120CD0">
              <w:rPr>
                <w:rFonts w:cstheme="minorHAnsi"/>
                <w:sz w:val="22"/>
                <w:szCs w:val="22"/>
              </w:rPr>
              <w:t xml:space="preserve"> 6301</w:t>
            </w:r>
          </w:p>
        </w:tc>
        <w:tc>
          <w:tcPr>
            <w:tcW w:w="4745" w:type="dxa"/>
            <w:vMerge/>
          </w:tcPr>
          <w:p w14:paraId="4B1E6381" w14:textId="77777777" w:rsidR="001350B9" w:rsidRPr="00120CD0" w:rsidRDefault="001350B9" w:rsidP="00120CD0">
            <w:pPr>
              <w:tabs>
                <w:tab w:val="left" w:pos="226"/>
                <w:tab w:val="left" w:pos="510"/>
              </w:tabs>
              <w:spacing w:before="0"/>
              <w:ind w:left="226" w:hanging="169"/>
              <w:rPr>
                <w:rFonts w:cstheme="minorHAnsi"/>
                <w:b/>
                <w:sz w:val="22"/>
                <w:szCs w:val="22"/>
              </w:rPr>
            </w:pPr>
          </w:p>
        </w:tc>
      </w:tr>
      <w:tr w:rsidR="001350B9" w:rsidRPr="00120CD0" w14:paraId="67A8F6E2" w14:textId="77777777" w:rsidTr="00120CD0">
        <w:trPr>
          <w:cantSplit/>
        </w:trPr>
        <w:tc>
          <w:tcPr>
            <w:tcW w:w="1083" w:type="dxa"/>
          </w:tcPr>
          <w:p w14:paraId="02F5A3B2" w14:textId="77777777" w:rsidR="001350B9" w:rsidRPr="00120CD0" w:rsidRDefault="001350B9" w:rsidP="00120CD0">
            <w:pPr>
              <w:tabs>
                <w:tab w:val="left" w:pos="4111"/>
              </w:tabs>
              <w:spacing w:before="10"/>
              <w:ind w:left="57"/>
              <w:rPr>
                <w:rFonts w:cstheme="minorHAnsi"/>
                <w:sz w:val="22"/>
                <w:szCs w:val="22"/>
              </w:rPr>
            </w:pPr>
            <w:r w:rsidRPr="00120CD0">
              <w:rPr>
                <w:rFonts w:cstheme="minorHAnsi"/>
                <w:sz w:val="22"/>
                <w:szCs w:val="22"/>
              </w:rPr>
              <w:t>Fax:</w:t>
            </w:r>
          </w:p>
        </w:tc>
        <w:tc>
          <w:tcPr>
            <w:tcW w:w="3884" w:type="dxa"/>
            <w:gridSpan w:val="2"/>
          </w:tcPr>
          <w:p w14:paraId="2495A3A8" w14:textId="77777777" w:rsidR="001350B9" w:rsidRPr="00120CD0" w:rsidRDefault="001350B9" w:rsidP="00120CD0">
            <w:pPr>
              <w:tabs>
                <w:tab w:val="left" w:pos="4111"/>
              </w:tabs>
              <w:spacing w:before="0"/>
              <w:ind w:left="57"/>
              <w:rPr>
                <w:rStyle w:val="Hyperlink"/>
                <w:rFonts w:cstheme="minorHAnsi"/>
                <w:sz w:val="22"/>
                <w:szCs w:val="22"/>
              </w:rPr>
            </w:pPr>
            <w:r w:rsidRPr="00120CD0">
              <w:rPr>
                <w:rFonts w:cstheme="minorHAnsi"/>
                <w:sz w:val="22"/>
                <w:szCs w:val="22"/>
              </w:rPr>
              <w:t>+41 22 730 5853</w:t>
            </w:r>
          </w:p>
        </w:tc>
        <w:tc>
          <w:tcPr>
            <w:tcW w:w="4745" w:type="dxa"/>
            <w:vMerge/>
          </w:tcPr>
          <w:p w14:paraId="1BB41C28" w14:textId="77777777" w:rsidR="001350B9" w:rsidRPr="00120CD0" w:rsidRDefault="001350B9" w:rsidP="00120CD0">
            <w:pPr>
              <w:tabs>
                <w:tab w:val="left" w:pos="226"/>
                <w:tab w:val="left" w:pos="510"/>
              </w:tabs>
              <w:spacing w:before="0"/>
              <w:ind w:left="226" w:hanging="169"/>
              <w:rPr>
                <w:rFonts w:cstheme="minorHAnsi"/>
                <w:b/>
                <w:sz w:val="22"/>
                <w:szCs w:val="22"/>
              </w:rPr>
            </w:pPr>
          </w:p>
        </w:tc>
      </w:tr>
      <w:tr w:rsidR="001350B9" w:rsidRPr="00120CD0" w14:paraId="3C5BAAD6" w14:textId="77777777" w:rsidTr="00120CD0">
        <w:trPr>
          <w:cantSplit/>
          <w:trHeight w:val="3297"/>
        </w:trPr>
        <w:tc>
          <w:tcPr>
            <w:tcW w:w="1083" w:type="dxa"/>
          </w:tcPr>
          <w:p w14:paraId="58141976" w14:textId="77777777" w:rsidR="001350B9" w:rsidRPr="00120CD0" w:rsidRDefault="001350B9" w:rsidP="00120CD0">
            <w:pPr>
              <w:tabs>
                <w:tab w:val="left" w:pos="4111"/>
              </w:tabs>
              <w:spacing w:before="10"/>
              <w:ind w:left="57"/>
              <w:rPr>
                <w:rFonts w:cstheme="minorHAnsi"/>
                <w:sz w:val="22"/>
                <w:szCs w:val="22"/>
              </w:rPr>
            </w:pPr>
            <w:r w:rsidRPr="00120CD0">
              <w:rPr>
                <w:rFonts w:cstheme="minorHAnsi"/>
                <w:sz w:val="22"/>
                <w:szCs w:val="22"/>
              </w:rPr>
              <w:t>Correo-e:</w:t>
            </w:r>
          </w:p>
        </w:tc>
        <w:tc>
          <w:tcPr>
            <w:tcW w:w="3884" w:type="dxa"/>
            <w:gridSpan w:val="2"/>
          </w:tcPr>
          <w:p w14:paraId="1621AA26" w14:textId="0561AA3D" w:rsidR="001350B9" w:rsidRPr="00120CD0" w:rsidRDefault="00124E5A" w:rsidP="00120CD0">
            <w:pPr>
              <w:tabs>
                <w:tab w:val="left" w:pos="4111"/>
              </w:tabs>
              <w:spacing w:before="0"/>
              <w:ind w:left="57"/>
              <w:rPr>
                <w:rFonts w:cstheme="minorHAnsi"/>
                <w:sz w:val="22"/>
                <w:szCs w:val="22"/>
              </w:rPr>
            </w:pPr>
            <w:hyperlink r:id="rId9" w:history="1">
              <w:r w:rsidRPr="00120CD0">
                <w:rPr>
                  <w:rStyle w:val="Hyperlink"/>
                  <w:rFonts w:cstheme="minorHAnsi"/>
                  <w:sz w:val="22"/>
                  <w:szCs w:val="22"/>
                </w:rPr>
                <w:t>tsbsgcamv@itu.int</w:t>
              </w:r>
            </w:hyperlink>
            <w:r w:rsidR="001350B9" w:rsidRPr="00120CD0">
              <w:rPr>
                <w:rFonts w:cstheme="minorHAnsi"/>
                <w:sz w:val="22"/>
                <w:szCs w:val="22"/>
              </w:rPr>
              <w:t xml:space="preserve"> </w:t>
            </w:r>
          </w:p>
        </w:tc>
        <w:tc>
          <w:tcPr>
            <w:tcW w:w="4745" w:type="dxa"/>
            <w:vMerge/>
          </w:tcPr>
          <w:p w14:paraId="248924F6" w14:textId="77777777" w:rsidR="001350B9" w:rsidRPr="00120CD0" w:rsidRDefault="001350B9" w:rsidP="00120CD0">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7B6316" w:rsidRPr="00120CD0" w14:paraId="4169ADB2" w14:textId="77777777" w:rsidTr="00120CD0">
        <w:trPr>
          <w:cantSplit/>
          <w:trHeight w:val="261"/>
        </w:trPr>
        <w:tc>
          <w:tcPr>
            <w:tcW w:w="1083" w:type="dxa"/>
          </w:tcPr>
          <w:p w14:paraId="1FBC1890" w14:textId="77777777" w:rsidR="007B6316" w:rsidRPr="00120CD0" w:rsidRDefault="007B6316" w:rsidP="00120CD0">
            <w:pPr>
              <w:tabs>
                <w:tab w:val="left" w:pos="4111"/>
              </w:tabs>
              <w:spacing w:before="10"/>
              <w:ind w:left="57"/>
              <w:rPr>
                <w:rFonts w:cstheme="minorHAnsi"/>
                <w:b/>
                <w:bCs/>
                <w:sz w:val="22"/>
                <w:szCs w:val="22"/>
              </w:rPr>
            </w:pPr>
            <w:r w:rsidRPr="00120CD0">
              <w:rPr>
                <w:rFonts w:cstheme="minorHAnsi"/>
                <w:b/>
                <w:bCs/>
                <w:sz w:val="22"/>
                <w:szCs w:val="22"/>
              </w:rPr>
              <w:t>Asunto:</w:t>
            </w:r>
          </w:p>
        </w:tc>
        <w:tc>
          <w:tcPr>
            <w:tcW w:w="8629" w:type="dxa"/>
            <w:gridSpan w:val="3"/>
          </w:tcPr>
          <w:p w14:paraId="0E07197E" w14:textId="4B477A4E" w:rsidR="007B6316" w:rsidRPr="00120CD0" w:rsidRDefault="00124E5A" w:rsidP="00120CD0">
            <w:pPr>
              <w:tabs>
                <w:tab w:val="left" w:pos="4111"/>
              </w:tabs>
              <w:spacing w:before="10"/>
              <w:ind w:left="57"/>
              <w:rPr>
                <w:rFonts w:cstheme="minorHAnsi"/>
                <w:b/>
                <w:sz w:val="22"/>
                <w:szCs w:val="22"/>
              </w:rPr>
            </w:pPr>
            <w:r w:rsidRPr="00120CD0">
              <w:rPr>
                <w:rFonts w:cstheme="minorHAnsi"/>
                <w:b/>
                <w:bCs/>
                <w:sz w:val="22"/>
                <w:szCs w:val="22"/>
              </w:rPr>
              <w:t>Establecimiento de la Actividad Conjunta de Coordinación sobre Normalización del Metaverso (JCA-MV) y su primera reunión (Ginebra, 9 de octubre de 2025)</w:t>
            </w:r>
          </w:p>
        </w:tc>
      </w:tr>
    </w:tbl>
    <w:p w14:paraId="581C1A93" w14:textId="700D0583" w:rsidR="00124E5A" w:rsidRPr="00120CD0" w:rsidRDefault="00124E5A" w:rsidP="00124E5A">
      <w:pPr>
        <w:spacing w:before="240"/>
        <w:rPr>
          <w:rFonts w:cstheme="minorHAnsi"/>
          <w:sz w:val="22"/>
          <w:szCs w:val="22"/>
        </w:rPr>
      </w:pPr>
      <w:bookmarkStart w:id="1" w:name="StartTyping_S"/>
      <w:bookmarkStart w:id="2" w:name="suitetext"/>
      <w:bookmarkStart w:id="3" w:name="text"/>
      <w:bookmarkEnd w:id="1"/>
      <w:bookmarkEnd w:id="2"/>
      <w:bookmarkEnd w:id="3"/>
      <w:r w:rsidRPr="00120CD0">
        <w:rPr>
          <w:rFonts w:cstheme="minorHAnsi"/>
          <w:sz w:val="22"/>
          <w:szCs w:val="22"/>
        </w:rPr>
        <w:t>Muy Señora mía/Muy Señor mío</w:t>
      </w:r>
      <w:r w:rsidR="00120CD0">
        <w:rPr>
          <w:rFonts w:cstheme="minorHAnsi"/>
          <w:sz w:val="22"/>
          <w:szCs w:val="22"/>
        </w:rPr>
        <w:t>,</w:t>
      </w:r>
    </w:p>
    <w:p w14:paraId="49345C75" w14:textId="0D6B165F" w:rsidR="00124E5A" w:rsidRPr="00120CD0" w:rsidRDefault="00124E5A" w:rsidP="00124E5A">
      <w:pPr>
        <w:rPr>
          <w:rFonts w:cstheme="minorHAnsi"/>
          <w:sz w:val="22"/>
          <w:szCs w:val="22"/>
        </w:rPr>
      </w:pPr>
      <w:r w:rsidRPr="00120CD0">
        <w:rPr>
          <w:rFonts w:cstheme="minorHAnsi"/>
          <w:sz w:val="22"/>
          <w:szCs w:val="22"/>
        </w:rPr>
        <w:t>1</w:t>
      </w:r>
      <w:r w:rsidRPr="00120CD0">
        <w:rPr>
          <w:rFonts w:cstheme="minorHAnsi"/>
          <w:sz w:val="22"/>
          <w:szCs w:val="22"/>
        </w:rPr>
        <w:tab/>
      </w:r>
      <w:proofErr w:type="gramStart"/>
      <w:r w:rsidRPr="00120CD0">
        <w:rPr>
          <w:rFonts w:cstheme="minorHAnsi"/>
          <w:sz w:val="22"/>
          <w:szCs w:val="22"/>
        </w:rPr>
        <w:t>Tras</w:t>
      </w:r>
      <w:proofErr w:type="gramEnd"/>
      <w:r w:rsidRPr="00120CD0">
        <w:rPr>
          <w:rFonts w:cstheme="minorHAnsi"/>
          <w:sz w:val="22"/>
          <w:szCs w:val="22"/>
        </w:rPr>
        <w:t xml:space="preserve"> el acuerdo alcanzado por el Grupo Asesor de Normalización de las Telecomunicaciones (GANT) de la Unión Internacional de Telecomunicaciones (UIT) en su reunión celebrada del 26 al 30 de mayo de 2025, me complace anunciar la creación de </w:t>
      </w:r>
      <w:hyperlink r:id="rId10" w:history="1">
        <w:r w:rsidRPr="00120CD0">
          <w:rPr>
            <w:rStyle w:val="Hyperlink"/>
            <w:rFonts w:cstheme="minorHAnsi"/>
            <w:sz w:val="22"/>
            <w:szCs w:val="22"/>
          </w:rPr>
          <w:t>la Actividad Conjunta de Coordinación sobre Normalización del Metaverso (JCA-MV)</w:t>
        </w:r>
      </w:hyperlink>
      <w:r w:rsidRPr="00120CD0">
        <w:rPr>
          <w:rFonts w:cstheme="minorHAnsi"/>
          <w:sz w:val="22"/>
          <w:szCs w:val="22"/>
        </w:rPr>
        <w:t>.</w:t>
      </w:r>
      <w:hyperlink r:id="rId11" w:history="1"/>
    </w:p>
    <w:p w14:paraId="78CBD349" w14:textId="77777777" w:rsidR="00124E5A" w:rsidRPr="00120CD0" w:rsidRDefault="00124E5A" w:rsidP="00124E5A">
      <w:pPr>
        <w:rPr>
          <w:rFonts w:cstheme="minorHAnsi"/>
          <w:sz w:val="22"/>
          <w:szCs w:val="22"/>
        </w:rPr>
      </w:pPr>
      <w:r w:rsidRPr="00120CD0">
        <w:rPr>
          <w:rFonts w:cstheme="minorHAnsi"/>
          <w:sz w:val="22"/>
          <w:szCs w:val="22"/>
        </w:rPr>
        <w:t>2</w:t>
      </w:r>
      <w:r w:rsidRPr="00120CD0">
        <w:rPr>
          <w:rFonts w:cstheme="minorHAnsi"/>
          <w:sz w:val="22"/>
          <w:szCs w:val="22"/>
        </w:rPr>
        <w:tab/>
      </w:r>
      <w:proofErr w:type="gramStart"/>
      <w:r w:rsidRPr="00120CD0">
        <w:rPr>
          <w:rFonts w:cstheme="minorHAnsi"/>
          <w:sz w:val="22"/>
          <w:szCs w:val="22"/>
        </w:rPr>
        <w:t>El</w:t>
      </w:r>
      <w:proofErr w:type="gramEnd"/>
      <w:r w:rsidRPr="00120CD0">
        <w:rPr>
          <w:rFonts w:cstheme="minorHAnsi"/>
          <w:sz w:val="22"/>
          <w:szCs w:val="22"/>
        </w:rPr>
        <w:t xml:space="preserve"> objetivo de la JCA-MV es coordinar la labor de normalización del Sector de Normalización de las Telecomunicaciones de la UIT (UIT-T) relacionada con el metaverso en el UIT-T y promover la colaboración entre todas las Comisiones de Estudio pertinentes. También sirve como punto de contacto central para la colaboración con organizaciones, consorcios y foros externos de normalización que trabajan en normas relacionadas con el metaverso, facilitando la comunicación bidireccional eficaz con estos organismos. El mandato se recoge en el </w:t>
      </w:r>
      <w:r w:rsidRPr="00120CD0">
        <w:rPr>
          <w:rFonts w:cstheme="minorHAnsi"/>
          <w:b/>
          <w:bCs/>
          <w:sz w:val="22"/>
          <w:szCs w:val="22"/>
        </w:rPr>
        <w:t>Anexo A</w:t>
      </w:r>
      <w:r w:rsidRPr="00120CD0">
        <w:rPr>
          <w:rFonts w:cstheme="minorHAnsi"/>
          <w:sz w:val="22"/>
          <w:szCs w:val="22"/>
        </w:rPr>
        <w:t>.</w:t>
      </w:r>
    </w:p>
    <w:p w14:paraId="3E758F1B" w14:textId="77777777" w:rsidR="00124E5A" w:rsidRPr="00120CD0" w:rsidRDefault="00124E5A" w:rsidP="00124E5A">
      <w:pPr>
        <w:rPr>
          <w:rFonts w:cstheme="minorHAnsi"/>
          <w:sz w:val="22"/>
          <w:szCs w:val="22"/>
        </w:rPr>
      </w:pPr>
      <w:r w:rsidRPr="00120CD0">
        <w:rPr>
          <w:rFonts w:cstheme="minorHAnsi"/>
          <w:sz w:val="22"/>
          <w:szCs w:val="22"/>
        </w:rPr>
        <w:t>3</w:t>
      </w:r>
      <w:r w:rsidRPr="00120CD0">
        <w:rPr>
          <w:rFonts w:cstheme="minorHAnsi"/>
          <w:sz w:val="22"/>
          <w:szCs w:val="22"/>
        </w:rPr>
        <w:tab/>
      </w:r>
      <w:proofErr w:type="gramStart"/>
      <w:r w:rsidRPr="00120CD0">
        <w:rPr>
          <w:rFonts w:cstheme="minorHAnsi"/>
          <w:sz w:val="22"/>
          <w:szCs w:val="22"/>
        </w:rPr>
        <w:t>El</w:t>
      </w:r>
      <w:proofErr w:type="gramEnd"/>
      <w:r w:rsidRPr="00120CD0">
        <w:rPr>
          <w:rFonts w:cstheme="minorHAnsi"/>
          <w:sz w:val="22"/>
          <w:szCs w:val="22"/>
        </w:rPr>
        <w:t xml:space="preserve"> GANT nombró al Sr. Muath AlRumayh, de la Comisión de Comunicaciones, Espacio y Tecnología (CST), Reino de Arabia Saudita, y al Sr. Shin-Gak Kang, Instituto de Investigación en Electrónica y Telecomunicaciones (ETRI), República de Corea, como Copresidentes de la JCA-MV.</w:t>
      </w:r>
    </w:p>
    <w:p w14:paraId="3EFFD4C0" w14:textId="754C3A24" w:rsidR="00124E5A" w:rsidRPr="00120CD0" w:rsidRDefault="00124E5A" w:rsidP="00124E5A">
      <w:pPr>
        <w:rPr>
          <w:rFonts w:cstheme="minorHAnsi"/>
          <w:sz w:val="22"/>
          <w:szCs w:val="22"/>
        </w:rPr>
      </w:pPr>
      <w:r w:rsidRPr="00120CD0">
        <w:rPr>
          <w:rFonts w:cstheme="minorHAnsi"/>
          <w:sz w:val="22"/>
          <w:szCs w:val="22"/>
        </w:rPr>
        <w:t>4</w:t>
      </w:r>
      <w:r w:rsidRPr="00120CD0">
        <w:rPr>
          <w:rFonts w:cstheme="minorHAnsi"/>
          <w:sz w:val="22"/>
          <w:szCs w:val="22"/>
        </w:rPr>
        <w:tab/>
      </w:r>
      <w:proofErr w:type="gramStart"/>
      <w:r w:rsidRPr="00120CD0">
        <w:rPr>
          <w:rFonts w:cstheme="minorHAnsi"/>
          <w:sz w:val="22"/>
          <w:szCs w:val="22"/>
        </w:rPr>
        <w:t>La</w:t>
      </w:r>
      <w:proofErr w:type="gramEnd"/>
      <w:r w:rsidRPr="00120CD0">
        <w:rPr>
          <w:rFonts w:cstheme="minorHAnsi"/>
          <w:sz w:val="22"/>
          <w:szCs w:val="22"/>
        </w:rPr>
        <w:t xml:space="preserve"> JCA-MV está abierta a los miembros del UIT-T. Además, los expertos invitados y los representantes designados de otras organizaciones intergubernamentales, organizaciones de normalización y foros pertinentes también pueden participar en los trabajos de la JCA.</w:t>
      </w:r>
    </w:p>
    <w:p w14:paraId="1D213E93" w14:textId="77777777" w:rsidR="00124E5A" w:rsidRPr="00120CD0" w:rsidRDefault="00124E5A" w:rsidP="000645C7">
      <w:pPr>
        <w:keepNext/>
        <w:keepLines/>
        <w:rPr>
          <w:rFonts w:cstheme="minorHAnsi"/>
          <w:sz w:val="22"/>
          <w:szCs w:val="22"/>
        </w:rPr>
      </w:pPr>
      <w:r w:rsidRPr="00120CD0">
        <w:rPr>
          <w:rFonts w:cstheme="minorHAnsi"/>
          <w:sz w:val="22"/>
          <w:szCs w:val="22"/>
        </w:rPr>
        <w:t>5</w:t>
      </w:r>
      <w:r w:rsidRPr="00120CD0">
        <w:rPr>
          <w:rFonts w:cstheme="minorHAnsi"/>
          <w:sz w:val="22"/>
          <w:szCs w:val="22"/>
        </w:rPr>
        <w:tab/>
      </w:r>
      <w:proofErr w:type="gramStart"/>
      <w:r w:rsidRPr="00120CD0">
        <w:rPr>
          <w:rFonts w:cstheme="minorHAnsi"/>
          <w:sz w:val="22"/>
          <w:szCs w:val="22"/>
        </w:rPr>
        <w:t>La</w:t>
      </w:r>
      <w:proofErr w:type="gramEnd"/>
      <w:r w:rsidRPr="00120CD0">
        <w:rPr>
          <w:rFonts w:cstheme="minorHAnsi"/>
          <w:sz w:val="22"/>
          <w:szCs w:val="22"/>
        </w:rPr>
        <w:t xml:space="preserve"> primera reunión de la JCA-MV se celebrará en Ginebra </w:t>
      </w:r>
      <w:r w:rsidRPr="00120CD0">
        <w:rPr>
          <w:rFonts w:cstheme="minorHAnsi"/>
          <w:b/>
          <w:bCs/>
          <w:sz w:val="22"/>
          <w:szCs w:val="22"/>
        </w:rPr>
        <w:t>el 9 de octubre de 2025</w:t>
      </w:r>
      <w:r w:rsidRPr="00120CD0">
        <w:rPr>
          <w:rFonts w:cstheme="minorHAnsi"/>
          <w:sz w:val="22"/>
          <w:szCs w:val="22"/>
        </w:rPr>
        <w:t xml:space="preserve">, de las </w:t>
      </w:r>
      <w:r w:rsidRPr="00120CD0">
        <w:rPr>
          <w:rFonts w:cstheme="minorHAnsi"/>
          <w:b/>
          <w:bCs/>
          <w:sz w:val="22"/>
          <w:szCs w:val="22"/>
        </w:rPr>
        <w:t>11.15 a las 13.15 horas, hora de Ginebra</w:t>
      </w:r>
      <w:r w:rsidRPr="00120CD0">
        <w:rPr>
          <w:rFonts w:cstheme="minorHAnsi"/>
          <w:sz w:val="22"/>
          <w:szCs w:val="22"/>
        </w:rPr>
        <w:t xml:space="preserve"> (coincidiendo con la reunión de la </w:t>
      </w:r>
      <w:hyperlink r:id="rId12" w:history="1">
        <w:r w:rsidRPr="00120CD0">
          <w:rPr>
            <w:rStyle w:val="Hyperlink"/>
            <w:rFonts w:cstheme="minorHAnsi"/>
            <w:sz w:val="22"/>
            <w:szCs w:val="22"/>
          </w:rPr>
          <w:t>Comisión de Estudio 21 del UIT-T</w:t>
        </w:r>
      </w:hyperlink>
      <w:r w:rsidRPr="00120CD0">
        <w:rPr>
          <w:rFonts w:cstheme="minorHAnsi"/>
          <w:sz w:val="22"/>
          <w:szCs w:val="22"/>
        </w:rPr>
        <w:t xml:space="preserve">, que tendrá lugar del 6 al 17 de octubre de 2025). La inscripción es obligatoria y debe completarse mediante el formulario de inscripción en línea disponible en </w:t>
      </w:r>
      <w:hyperlink r:id="rId13" w:history="1">
        <w:r w:rsidRPr="00120CD0">
          <w:rPr>
            <w:rStyle w:val="Hyperlink"/>
            <w:rFonts w:cstheme="minorHAnsi"/>
            <w:sz w:val="22"/>
            <w:szCs w:val="22"/>
          </w:rPr>
          <w:t>la página web de la JCA-MV</w:t>
        </w:r>
      </w:hyperlink>
      <w:r w:rsidRPr="00120CD0">
        <w:rPr>
          <w:rFonts w:cstheme="minorHAnsi"/>
          <w:sz w:val="22"/>
          <w:szCs w:val="22"/>
        </w:rPr>
        <w:t>.</w:t>
      </w:r>
    </w:p>
    <w:p w14:paraId="127D1FAF" w14:textId="77777777" w:rsidR="00124E5A" w:rsidRPr="00120CD0" w:rsidRDefault="00124E5A" w:rsidP="00124E5A">
      <w:pPr>
        <w:rPr>
          <w:rFonts w:cstheme="minorHAnsi"/>
          <w:sz w:val="22"/>
          <w:szCs w:val="22"/>
        </w:rPr>
      </w:pPr>
      <w:r w:rsidRPr="00120CD0">
        <w:rPr>
          <w:rFonts w:cstheme="minorHAnsi"/>
          <w:sz w:val="22"/>
          <w:szCs w:val="22"/>
        </w:rPr>
        <w:t>Le rogamos tenga en cuenta que también es necesario inscribirse para participar a distancia. Puede ponerse en contacto con la Secretaría por correo electrónico (</w:t>
      </w:r>
      <w:hyperlink r:id="rId14" w:history="1">
        <w:r w:rsidRPr="00120CD0">
          <w:rPr>
            <w:rStyle w:val="Hyperlink"/>
            <w:rFonts w:cstheme="minorHAnsi"/>
            <w:sz w:val="22"/>
            <w:szCs w:val="22"/>
          </w:rPr>
          <w:t>tsbjcamv@itu.int</w:t>
        </w:r>
      </w:hyperlink>
      <w:r w:rsidRPr="00120CD0">
        <w:rPr>
          <w:rFonts w:cstheme="minorHAnsi"/>
          <w:sz w:val="22"/>
          <w:szCs w:val="22"/>
        </w:rPr>
        <w:t>) para obtener asistencia.</w:t>
      </w:r>
      <w:hyperlink r:id="rId15" w:history="1"/>
    </w:p>
    <w:p w14:paraId="65353B70" w14:textId="77777777" w:rsidR="00124E5A" w:rsidRPr="00120CD0" w:rsidRDefault="00124E5A" w:rsidP="00124E5A">
      <w:pPr>
        <w:rPr>
          <w:rFonts w:cstheme="minorHAnsi"/>
          <w:sz w:val="22"/>
          <w:szCs w:val="22"/>
        </w:rPr>
      </w:pPr>
      <w:r w:rsidRPr="00120CD0">
        <w:rPr>
          <w:rFonts w:cstheme="minorHAnsi"/>
          <w:sz w:val="22"/>
          <w:szCs w:val="22"/>
        </w:rPr>
        <w:t>6</w:t>
      </w:r>
      <w:r w:rsidRPr="00120CD0">
        <w:rPr>
          <w:rFonts w:cstheme="minorHAnsi"/>
          <w:sz w:val="22"/>
          <w:szCs w:val="22"/>
        </w:rPr>
        <w:tab/>
      </w:r>
      <w:proofErr w:type="gramStart"/>
      <w:r w:rsidRPr="00120CD0">
        <w:rPr>
          <w:rFonts w:cstheme="minorHAnsi"/>
          <w:sz w:val="22"/>
          <w:szCs w:val="22"/>
        </w:rPr>
        <w:t>La</w:t>
      </w:r>
      <w:proofErr w:type="gramEnd"/>
      <w:r w:rsidRPr="00120CD0">
        <w:rPr>
          <w:rFonts w:cstheme="minorHAnsi"/>
          <w:sz w:val="22"/>
          <w:szCs w:val="22"/>
        </w:rPr>
        <w:t xml:space="preserve"> reunión se celebrará únicamente en inglés.</w:t>
      </w:r>
    </w:p>
    <w:p w14:paraId="463620BD" w14:textId="2FEB84FF" w:rsidR="00124E5A" w:rsidRPr="00120CD0" w:rsidRDefault="00124E5A" w:rsidP="00124E5A">
      <w:pPr>
        <w:rPr>
          <w:rFonts w:cstheme="minorHAnsi"/>
          <w:sz w:val="22"/>
          <w:szCs w:val="22"/>
        </w:rPr>
      </w:pPr>
      <w:r w:rsidRPr="00120CD0">
        <w:rPr>
          <w:rFonts w:cstheme="minorHAnsi"/>
          <w:sz w:val="22"/>
          <w:szCs w:val="22"/>
        </w:rPr>
        <w:lastRenderedPageBreak/>
        <w:t>7</w:t>
      </w:r>
      <w:r w:rsidRPr="00120CD0">
        <w:rPr>
          <w:rFonts w:cstheme="minorHAnsi"/>
          <w:sz w:val="22"/>
          <w:szCs w:val="22"/>
        </w:rPr>
        <w:tab/>
      </w:r>
      <w:proofErr w:type="gramStart"/>
      <w:r w:rsidRPr="00120CD0">
        <w:rPr>
          <w:rFonts w:cstheme="minorHAnsi"/>
          <w:sz w:val="22"/>
          <w:szCs w:val="22"/>
        </w:rPr>
        <w:t>Se</w:t>
      </w:r>
      <w:proofErr w:type="gramEnd"/>
      <w:r w:rsidRPr="00120CD0">
        <w:rPr>
          <w:rFonts w:cstheme="minorHAnsi"/>
          <w:sz w:val="22"/>
          <w:szCs w:val="22"/>
        </w:rPr>
        <w:t xml:space="preserve"> ha creado una página web dedicada a la JCA-MV, a la que se puede acceder en </w:t>
      </w:r>
      <w:hyperlink r:id="rId16" w:history="1">
        <w:r w:rsidRPr="00120CD0">
          <w:rPr>
            <w:rStyle w:val="Hyperlink"/>
            <w:rFonts w:cstheme="minorHAnsi"/>
            <w:sz w:val="22"/>
            <w:szCs w:val="22"/>
          </w:rPr>
          <w:t>http://itu.int/en/ITU-T/jca/mv</w:t>
        </w:r>
      </w:hyperlink>
      <w:r w:rsidRPr="00120CD0">
        <w:rPr>
          <w:rFonts w:cstheme="minorHAnsi"/>
          <w:sz w:val="22"/>
          <w:szCs w:val="22"/>
        </w:rPr>
        <w:t xml:space="preserve">. La información relativa a su primera reunión, incluidos los detalles de inscripción, el proyecto de orden del día y los documentos de la reunión estará disponible en la </w:t>
      </w:r>
      <w:hyperlink r:id="rId17" w:history="1">
        <w:r w:rsidRPr="00120CD0">
          <w:rPr>
            <w:rStyle w:val="Hyperlink"/>
            <w:rFonts w:cstheme="minorHAnsi"/>
            <w:sz w:val="22"/>
            <w:szCs w:val="22"/>
          </w:rPr>
          <w:t>página web de la JCA-MV</w:t>
        </w:r>
      </w:hyperlink>
      <w:r w:rsidRPr="00120CD0">
        <w:rPr>
          <w:rFonts w:cstheme="minorHAnsi"/>
          <w:sz w:val="22"/>
          <w:szCs w:val="22"/>
        </w:rPr>
        <w:t xml:space="preserve">. Además, en el </w:t>
      </w:r>
      <w:r w:rsidRPr="00120CD0">
        <w:rPr>
          <w:rFonts w:cstheme="minorHAnsi"/>
          <w:b/>
          <w:bCs/>
          <w:sz w:val="22"/>
          <w:szCs w:val="22"/>
        </w:rPr>
        <w:t>Anexo B</w:t>
      </w:r>
      <w:r w:rsidRPr="00120CD0">
        <w:rPr>
          <w:rFonts w:cstheme="minorHAnsi"/>
          <w:sz w:val="22"/>
          <w:szCs w:val="22"/>
        </w:rPr>
        <w:t xml:space="preserve"> siguiente figura un proyecto de orden del día de la reunión, preparado por el Sr. Muath AlRumayh y el Sr. Shin-Gak Kang, Copresidentes de la JCA</w:t>
      </w:r>
      <w:r w:rsidRPr="00120CD0">
        <w:rPr>
          <w:rFonts w:cstheme="minorHAnsi"/>
          <w:sz w:val="22"/>
          <w:szCs w:val="22"/>
        </w:rPr>
        <w:noBreakHyphen/>
        <w:t>MV.</w:t>
      </w:r>
      <w:hyperlink r:id="rId18" w:history="1"/>
      <w:hyperlink r:id="rId19" w:history="1"/>
    </w:p>
    <w:p w14:paraId="2592BF77" w14:textId="2270AB42" w:rsidR="00124E5A" w:rsidRPr="00120CD0" w:rsidRDefault="00124E5A" w:rsidP="00124E5A">
      <w:pPr>
        <w:rPr>
          <w:rFonts w:cstheme="minorHAnsi"/>
          <w:b/>
          <w:bCs/>
          <w:sz w:val="22"/>
          <w:szCs w:val="22"/>
        </w:rPr>
      </w:pPr>
      <w:r w:rsidRPr="00120CD0">
        <w:rPr>
          <w:rFonts w:cstheme="minorHAnsi"/>
          <w:sz w:val="22"/>
          <w:szCs w:val="22"/>
        </w:rPr>
        <w:t>8</w:t>
      </w:r>
      <w:r w:rsidRPr="00120CD0">
        <w:rPr>
          <w:rFonts w:cstheme="minorHAnsi"/>
          <w:sz w:val="22"/>
          <w:szCs w:val="22"/>
        </w:rPr>
        <w:tab/>
      </w:r>
      <w:proofErr w:type="gramStart"/>
      <w:r w:rsidRPr="00120CD0">
        <w:rPr>
          <w:rFonts w:cstheme="minorHAnsi"/>
          <w:sz w:val="22"/>
          <w:szCs w:val="22"/>
        </w:rPr>
        <w:t>Se</w:t>
      </w:r>
      <w:proofErr w:type="gramEnd"/>
      <w:r w:rsidRPr="00120CD0">
        <w:rPr>
          <w:rFonts w:cstheme="minorHAnsi"/>
          <w:sz w:val="22"/>
          <w:szCs w:val="22"/>
        </w:rPr>
        <w:t xml:space="preserve"> alienta a los participantes a enviar sus contribuciones a la JCA-MV por correo electrónico a </w:t>
      </w:r>
      <w:hyperlink r:id="rId20" w:history="1">
        <w:r w:rsidRPr="00120CD0">
          <w:rPr>
            <w:rStyle w:val="Hyperlink"/>
            <w:rFonts w:cstheme="minorHAnsi"/>
            <w:sz w:val="22"/>
            <w:szCs w:val="22"/>
          </w:rPr>
          <w:t>tsbjcamv@itu.int</w:t>
        </w:r>
      </w:hyperlink>
      <w:r w:rsidRPr="00120CD0">
        <w:rPr>
          <w:rFonts w:cstheme="minorHAnsi"/>
          <w:sz w:val="22"/>
          <w:szCs w:val="22"/>
        </w:rPr>
        <w:t xml:space="preserve"> utilizando la plantilla de documento disponible en la </w:t>
      </w:r>
      <w:hyperlink r:id="rId21" w:history="1">
        <w:r w:rsidRPr="00120CD0">
          <w:rPr>
            <w:rStyle w:val="Hyperlink"/>
            <w:rFonts w:cstheme="minorHAnsi"/>
            <w:sz w:val="22"/>
            <w:szCs w:val="22"/>
          </w:rPr>
          <w:t>página web de la JCA-MV</w:t>
        </w:r>
      </w:hyperlink>
      <w:r w:rsidRPr="00120CD0">
        <w:rPr>
          <w:rFonts w:cstheme="minorHAnsi"/>
          <w:sz w:val="22"/>
          <w:szCs w:val="22"/>
        </w:rPr>
        <w:t xml:space="preserve">. A fin de disponer de tiempo suficiente para preparar la reunión, se solicita a los participantes que presenten sus contribuciones a más tardar el </w:t>
      </w:r>
      <w:r w:rsidRPr="00120CD0">
        <w:rPr>
          <w:rFonts w:cstheme="minorHAnsi"/>
          <w:b/>
          <w:bCs/>
          <w:sz w:val="22"/>
          <w:szCs w:val="22"/>
        </w:rPr>
        <w:t>30 de septiembre de 2025</w:t>
      </w:r>
      <w:r w:rsidRPr="00120CD0">
        <w:rPr>
          <w:rFonts w:cstheme="minorHAnsi"/>
          <w:sz w:val="22"/>
          <w:szCs w:val="22"/>
        </w:rPr>
        <w:t>.</w:t>
      </w:r>
      <w:hyperlink r:id="rId22" w:history="1"/>
      <w:hyperlink r:id="rId23">
        <w:hyperlink r:id="rId24" w:history="1"/>
      </w:hyperlink>
    </w:p>
    <w:p w14:paraId="09C7F2AE" w14:textId="77777777" w:rsidR="00124E5A" w:rsidRPr="00120CD0" w:rsidRDefault="00124E5A" w:rsidP="00124E5A">
      <w:pPr>
        <w:rPr>
          <w:rFonts w:cstheme="minorHAnsi"/>
          <w:sz w:val="22"/>
          <w:szCs w:val="22"/>
        </w:rPr>
      </w:pPr>
      <w:r w:rsidRPr="00120CD0">
        <w:rPr>
          <w:rFonts w:cstheme="minorHAnsi"/>
          <w:b/>
          <w:bCs/>
          <w:sz w:val="22"/>
          <w:szCs w:val="22"/>
        </w:rPr>
        <w:t>Plazos importantes:</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372"/>
      </w:tblGrid>
      <w:tr w:rsidR="00124E5A" w:rsidRPr="00120CD0" w14:paraId="2C2260FE" w14:textId="77777777" w:rsidTr="00186703">
        <w:tc>
          <w:tcPr>
            <w:tcW w:w="1515" w:type="pct"/>
          </w:tcPr>
          <w:p w14:paraId="56B5A466" w14:textId="77777777" w:rsidR="00124E5A" w:rsidRPr="00120CD0" w:rsidRDefault="00124E5A" w:rsidP="00124E5A">
            <w:pPr>
              <w:rPr>
                <w:rFonts w:cstheme="minorHAnsi"/>
                <w:sz w:val="22"/>
                <w:szCs w:val="22"/>
              </w:rPr>
            </w:pPr>
            <w:r w:rsidRPr="00120CD0">
              <w:rPr>
                <w:rFonts w:cstheme="minorHAnsi"/>
                <w:sz w:val="22"/>
                <w:szCs w:val="22"/>
              </w:rPr>
              <w:t>30 de septiembre de 2025</w:t>
            </w:r>
          </w:p>
        </w:tc>
        <w:tc>
          <w:tcPr>
            <w:tcW w:w="3485" w:type="pct"/>
            <w:tcBorders>
              <w:right w:val="single" w:sz="4" w:space="0" w:color="auto"/>
            </w:tcBorders>
          </w:tcPr>
          <w:p w14:paraId="1170B6D2" w14:textId="418AEC46" w:rsidR="00124E5A" w:rsidRPr="00120CD0" w:rsidRDefault="000645C7" w:rsidP="00F64B28">
            <w:pPr>
              <w:spacing w:after="120"/>
              <w:ind w:left="794" w:hanging="794"/>
              <w:rPr>
                <w:rFonts w:cstheme="minorHAnsi"/>
                <w:sz w:val="22"/>
                <w:szCs w:val="22"/>
              </w:rPr>
            </w:pPr>
            <w:r w:rsidRPr="00120CD0">
              <w:rPr>
                <w:rFonts w:cstheme="minorHAnsi"/>
                <w:sz w:val="22"/>
                <w:szCs w:val="22"/>
              </w:rPr>
              <w:t>–</w:t>
            </w:r>
            <w:r w:rsidRPr="00120CD0">
              <w:rPr>
                <w:rFonts w:cstheme="minorHAnsi"/>
                <w:sz w:val="22"/>
                <w:szCs w:val="22"/>
              </w:rPr>
              <w:tab/>
            </w:r>
            <w:r w:rsidR="00124E5A" w:rsidRPr="00120CD0">
              <w:rPr>
                <w:rFonts w:cstheme="minorHAnsi"/>
                <w:sz w:val="22"/>
                <w:szCs w:val="22"/>
              </w:rPr>
              <w:t xml:space="preserve">Presentación de contribuciones a la JCA-MV por correo electrónico a </w:t>
            </w:r>
            <w:hyperlink r:id="rId25" w:history="1">
              <w:r w:rsidR="00124E5A" w:rsidRPr="00120CD0">
                <w:rPr>
                  <w:rStyle w:val="Hyperlink"/>
                  <w:rFonts w:cstheme="minorHAnsi"/>
                  <w:sz w:val="22"/>
                  <w:szCs w:val="22"/>
                </w:rPr>
                <w:t>tsbjcamv@itu.int</w:t>
              </w:r>
            </w:hyperlink>
            <w:r w:rsidR="00124E5A" w:rsidRPr="00120CD0">
              <w:rPr>
                <w:rFonts w:cstheme="minorHAnsi"/>
                <w:sz w:val="22"/>
                <w:szCs w:val="22"/>
              </w:rPr>
              <w:t xml:space="preserve"> </w:t>
            </w:r>
            <w:hyperlink r:id="rId26" w:history="1"/>
          </w:p>
        </w:tc>
      </w:tr>
      <w:tr w:rsidR="00124E5A" w:rsidRPr="00120CD0" w14:paraId="776EEB48" w14:textId="77777777" w:rsidTr="00186703">
        <w:tc>
          <w:tcPr>
            <w:tcW w:w="1515" w:type="pct"/>
          </w:tcPr>
          <w:p w14:paraId="3DEFCDC9" w14:textId="77777777" w:rsidR="00124E5A" w:rsidRPr="00120CD0" w:rsidRDefault="00124E5A" w:rsidP="00124E5A">
            <w:pPr>
              <w:rPr>
                <w:rFonts w:cstheme="minorHAnsi"/>
                <w:sz w:val="22"/>
                <w:szCs w:val="22"/>
              </w:rPr>
            </w:pPr>
            <w:r w:rsidRPr="00120CD0">
              <w:rPr>
                <w:rFonts w:cstheme="minorHAnsi"/>
                <w:sz w:val="22"/>
                <w:szCs w:val="22"/>
              </w:rPr>
              <w:t>7 de octubre de 2025</w:t>
            </w:r>
          </w:p>
        </w:tc>
        <w:tc>
          <w:tcPr>
            <w:tcW w:w="3485" w:type="pct"/>
            <w:tcBorders>
              <w:right w:val="single" w:sz="4" w:space="0" w:color="auto"/>
            </w:tcBorders>
          </w:tcPr>
          <w:p w14:paraId="33B665DF" w14:textId="030A7868" w:rsidR="00124E5A" w:rsidRPr="00120CD0" w:rsidRDefault="000645C7" w:rsidP="00F64B28">
            <w:pPr>
              <w:spacing w:after="120"/>
              <w:ind w:left="794" w:hanging="794"/>
              <w:rPr>
                <w:rFonts w:cstheme="minorHAnsi"/>
                <w:sz w:val="22"/>
                <w:szCs w:val="22"/>
              </w:rPr>
            </w:pPr>
            <w:r w:rsidRPr="00120CD0">
              <w:rPr>
                <w:rFonts w:cstheme="minorHAnsi"/>
                <w:sz w:val="22"/>
                <w:szCs w:val="22"/>
              </w:rPr>
              <w:t>–</w:t>
            </w:r>
            <w:r w:rsidRPr="00120CD0">
              <w:rPr>
                <w:rFonts w:cstheme="minorHAnsi"/>
                <w:sz w:val="22"/>
                <w:szCs w:val="22"/>
              </w:rPr>
              <w:tab/>
            </w:r>
            <w:r w:rsidR="00124E5A" w:rsidRPr="00120CD0">
              <w:rPr>
                <w:rFonts w:cstheme="minorHAnsi"/>
                <w:sz w:val="22"/>
                <w:szCs w:val="22"/>
              </w:rPr>
              <w:t xml:space="preserve">Preinscripción (mediante el formulario de inscripción en línea de la </w:t>
            </w:r>
            <w:hyperlink r:id="rId27" w:history="1">
              <w:r w:rsidR="00124E5A" w:rsidRPr="00120CD0">
                <w:rPr>
                  <w:rStyle w:val="Hyperlink"/>
                  <w:rFonts w:cstheme="minorHAnsi"/>
                  <w:sz w:val="22"/>
                  <w:szCs w:val="22"/>
                </w:rPr>
                <w:t>página web de la JCA-MV</w:t>
              </w:r>
            </w:hyperlink>
            <w:r w:rsidR="00124E5A" w:rsidRPr="00120CD0">
              <w:rPr>
                <w:rFonts w:cstheme="minorHAnsi"/>
                <w:sz w:val="22"/>
                <w:szCs w:val="22"/>
              </w:rPr>
              <w:t>)</w:t>
            </w:r>
            <w:hyperlink r:id="rId28">
              <w:hyperlink r:id="rId29" w:history="1"/>
            </w:hyperlink>
          </w:p>
        </w:tc>
      </w:tr>
    </w:tbl>
    <w:p w14:paraId="2D933749" w14:textId="563F2C20" w:rsidR="00186703" w:rsidRPr="00120CD0" w:rsidRDefault="00124E5A" w:rsidP="00120CD0">
      <w:pPr>
        <w:spacing w:after="120"/>
        <w:rPr>
          <w:rFonts w:cstheme="minorHAnsi"/>
          <w:sz w:val="22"/>
          <w:szCs w:val="22"/>
        </w:rPr>
      </w:pPr>
      <w:r w:rsidRPr="00120CD0">
        <w:rPr>
          <w:rFonts w:cstheme="minorHAnsi"/>
          <w:sz w:val="22"/>
          <w:szCs w:val="22"/>
        </w:rPr>
        <w:t>Le deseo una reunión agradable y productiva.</w:t>
      </w:r>
    </w:p>
    <w:tbl>
      <w:tblPr>
        <w:tblStyle w:val="TableGrid"/>
        <w:tblW w:w="9606" w:type="dxa"/>
        <w:tblLook w:val="04A0" w:firstRow="1" w:lastRow="0" w:firstColumn="1" w:lastColumn="0" w:noHBand="0" w:noVBand="1"/>
      </w:tblPr>
      <w:tblGrid>
        <w:gridCol w:w="6912"/>
        <w:gridCol w:w="2694"/>
      </w:tblGrid>
      <w:tr w:rsidR="00387A1A" w:rsidRPr="00120CD0" w14:paraId="131B5396" w14:textId="77777777" w:rsidTr="00387A1A">
        <w:tc>
          <w:tcPr>
            <w:tcW w:w="6912" w:type="dxa"/>
            <w:tcBorders>
              <w:top w:val="nil"/>
              <w:left w:val="nil"/>
              <w:bottom w:val="nil"/>
            </w:tcBorders>
          </w:tcPr>
          <w:p w14:paraId="52C3FFAE" w14:textId="0A373971" w:rsidR="00387A1A" w:rsidRPr="00120CD0" w:rsidRDefault="00A37F72" w:rsidP="00120CD0">
            <w:pPr>
              <w:spacing w:after="480"/>
              <w:ind w:left="-105"/>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03A36398" wp14:editId="3EE5179F">
                  <wp:simplePos x="0" y="0"/>
                  <wp:positionH relativeFrom="column">
                    <wp:posOffset>-64770</wp:posOffset>
                  </wp:positionH>
                  <wp:positionV relativeFrom="paragraph">
                    <wp:posOffset>287655</wp:posOffset>
                  </wp:positionV>
                  <wp:extent cx="825542" cy="330217"/>
                  <wp:effectExtent l="0" t="0" r="0" b="0"/>
                  <wp:wrapNone/>
                  <wp:docPr id="1291918664"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18664" name="Picture 1" descr="A black text on a white background&#10;&#10;AI-generated content may be incorrect."/>
                          <pic:cNvPicPr/>
                        </pic:nvPicPr>
                        <pic:blipFill>
                          <a:blip r:embed="rId30">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387A1A" w:rsidRPr="00120CD0">
              <w:rPr>
                <w:rFonts w:cstheme="minorHAnsi"/>
                <w:sz w:val="22"/>
                <w:szCs w:val="22"/>
              </w:rPr>
              <w:t>Atentamente,</w:t>
            </w:r>
          </w:p>
          <w:p w14:paraId="2424FC88" w14:textId="777F6E56" w:rsidR="00387A1A" w:rsidRPr="00120CD0" w:rsidRDefault="00387A1A" w:rsidP="00120CD0">
            <w:pPr>
              <w:spacing w:before="720" w:after="240"/>
              <w:ind w:left="-101"/>
              <w:rPr>
                <w:rFonts w:cstheme="minorHAnsi"/>
                <w:sz w:val="22"/>
                <w:szCs w:val="22"/>
              </w:rPr>
            </w:pPr>
            <w:r w:rsidRPr="00120CD0">
              <w:rPr>
                <w:rFonts w:cstheme="minorHAnsi"/>
                <w:sz w:val="22"/>
                <w:szCs w:val="22"/>
              </w:rPr>
              <w:t>Seizo Onoe</w:t>
            </w:r>
            <w:r w:rsidRPr="00120CD0">
              <w:rPr>
                <w:rFonts w:cstheme="minorHAnsi"/>
                <w:sz w:val="22"/>
                <w:szCs w:val="22"/>
              </w:rPr>
              <w:br/>
            </w:r>
            <w:proofErr w:type="gramStart"/>
            <w:r w:rsidRPr="00120CD0">
              <w:rPr>
                <w:rFonts w:cstheme="minorHAnsi"/>
                <w:sz w:val="22"/>
                <w:szCs w:val="22"/>
              </w:rPr>
              <w:t>Director</w:t>
            </w:r>
            <w:proofErr w:type="gramEnd"/>
            <w:r w:rsidRPr="00120CD0">
              <w:rPr>
                <w:rFonts w:cstheme="minorHAnsi"/>
                <w:sz w:val="22"/>
                <w:szCs w:val="22"/>
              </w:rPr>
              <w:t xml:space="preserve"> de la Oficina de Normalización</w:t>
            </w:r>
            <w:r w:rsidRPr="00120CD0">
              <w:rPr>
                <w:rFonts w:cstheme="minorHAnsi"/>
                <w:sz w:val="22"/>
                <w:szCs w:val="22"/>
              </w:rPr>
              <w:br/>
              <w:t>de las Telecomunicaciones</w:t>
            </w:r>
            <w:hyperlink r:id="rId31" w:history="1"/>
            <w:hyperlink r:id="rId32" w:history="1"/>
          </w:p>
        </w:tc>
        <w:tc>
          <w:tcPr>
            <w:tcW w:w="2694" w:type="dxa"/>
            <w:textDirection w:val="btLr"/>
          </w:tcPr>
          <w:p w14:paraId="7BB5056F" w14:textId="7B3BD606" w:rsidR="00387A1A" w:rsidRPr="00120CD0" w:rsidRDefault="00387A1A" w:rsidP="00387A1A">
            <w:pPr>
              <w:spacing w:before="0" w:after="120"/>
              <w:ind w:left="113" w:right="113"/>
              <w:jc w:val="center"/>
              <w:rPr>
                <w:rFonts w:cstheme="minorHAnsi"/>
                <w:sz w:val="22"/>
                <w:szCs w:val="22"/>
              </w:rPr>
            </w:pPr>
            <w:r w:rsidRPr="00120CD0">
              <w:rPr>
                <w:rFonts w:cstheme="minorHAnsi"/>
                <w:noProof/>
                <w:color w:val="000000"/>
                <w:sz w:val="22"/>
                <w:szCs w:val="22"/>
              </w:rPr>
              <w:drawing>
                <wp:inline distT="0" distB="0" distL="0" distR="0" wp14:anchorId="17BF118F" wp14:editId="181156F8">
                  <wp:extent cx="988201" cy="988201"/>
                  <wp:effectExtent l="0" t="0" r="2540" b="2540"/>
                  <wp:docPr id="75227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7392"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988201" cy="988201"/>
                          </a:xfrm>
                          <a:prstGeom prst="rect">
                            <a:avLst/>
                          </a:prstGeom>
                          <a:noFill/>
                          <a:ln>
                            <a:noFill/>
                          </a:ln>
                        </pic:spPr>
                      </pic:pic>
                    </a:graphicData>
                  </a:graphic>
                </wp:inline>
              </w:drawing>
            </w:r>
          </w:p>
          <w:p w14:paraId="39F8A694" w14:textId="24AA2E50" w:rsidR="00387A1A" w:rsidRPr="00120CD0" w:rsidRDefault="00387A1A" w:rsidP="00387A1A">
            <w:pPr>
              <w:spacing w:after="480"/>
              <w:ind w:left="1191" w:hanging="1191"/>
              <w:jc w:val="center"/>
              <w:rPr>
                <w:rFonts w:cstheme="minorHAnsi"/>
                <w:sz w:val="22"/>
                <w:szCs w:val="22"/>
              </w:rPr>
            </w:pPr>
            <w:r w:rsidRPr="00120CD0">
              <w:rPr>
                <w:rFonts w:cstheme="minorHAnsi"/>
                <w:color w:val="000000"/>
                <w:sz w:val="22"/>
                <w:szCs w:val="22"/>
              </w:rPr>
              <w:t>Más información</w:t>
            </w:r>
          </w:p>
        </w:tc>
      </w:tr>
    </w:tbl>
    <w:p w14:paraId="508CA25D" w14:textId="5738AC1F" w:rsidR="00387A1A" w:rsidRPr="00120CD0" w:rsidRDefault="00387A1A" w:rsidP="00387A1A">
      <w:pPr>
        <w:spacing w:before="960"/>
        <w:rPr>
          <w:rFonts w:cstheme="minorHAnsi"/>
          <w:sz w:val="22"/>
          <w:szCs w:val="22"/>
        </w:rPr>
      </w:pPr>
      <w:r w:rsidRPr="00120CD0">
        <w:rPr>
          <w:rFonts w:cstheme="minorHAnsi"/>
          <w:b/>
          <w:bCs/>
          <w:sz w:val="22"/>
          <w:szCs w:val="22"/>
        </w:rPr>
        <w:t>Anexos:</w:t>
      </w:r>
      <w:r w:rsidRPr="00120CD0">
        <w:rPr>
          <w:rFonts w:cstheme="minorHAnsi"/>
          <w:sz w:val="22"/>
          <w:szCs w:val="22"/>
        </w:rPr>
        <w:t xml:space="preserve"> 2</w:t>
      </w:r>
    </w:p>
    <w:p w14:paraId="342FF45C" w14:textId="2EBE31C2" w:rsidR="00387A1A" w:rsidRPr="00F64B28" w:rsidRDefault="00387A1A">
      <w:pPr>
        <w:tabs>
          <w:tab w:val="clear" w:pos="794"/>
          <w:tab w:val="clear" w:pos="1191"/>
          <w:tab w:val="clear" w:pos="1588"/>
          <w:tab w:val="clear" w:pos="1985"/>
        </w:tabs>
        <w:overflowPunct/>
        <w:autoSpaceDE/>
        <w:autoSpaceDN/>
        <w:adjustRightInd/>
        <w:spacing w:before="0"/>
        <w:textAlignment w:val="auto"/>
      </w:pPr>
      <w:r w:rsidRPr="00F64B28">
        <w:br w:type="page"/>
      </w:r>
    </w:p>
    <w:p w14:paraId="5187AC21" w14:textId="3A0BAD7E" w:rsidR="00387A1A" w:rsidRPr="00F64B28" w:rsidRDefault="00387A1A" w:rsidP="00387A1A">
      <w:pPr>
        <w:pStyle w:val="AnnexNotitle"/>
      </w:pPr>
      <w:r w:rsidRPr="00F64B28">
        <w:lastRenderedPageBreak/>
        <w:t>Anexo A</w:t>
      </w:r>
      <w:r w:rsidRPr="00F64B28">
        <w:br/>
        <w:t xml:space="preserve">Mandato de la Actividad Conjunta de Coordinación </w:t>
      </w:r>
      <w:r w:rsidRPr="00F64B28">
        <w:br/>
        <w:t>sobre aprendizaje automático (JCA-MV)</w:t>
      </w:r>
    </w:p>
    <w:p w14:paraId="0856558B" w14:textId="4524C06E" w:rsidR="00387A1A" w:rsidRPr="00120CD0" w:rsidRDefault="00387A1A" w:rsidP="000645C7">
      <w:pPr>
        <w:pStyle w:val="Heading1"/>
        <w:spacing w:before="240"/>
        <w:rPr>
          <w:sz w:val="22"/>
          <w:szCs w:val="18"/>
        </w:rPr>
      </w:pPr>
      <w:r w:rsidRPr="00120CD0">
        <w:rPr>
          <w:sz w:val="22"/>
          <w:szCs w:val="18"/>
        </w:rPr>
        <w:t>1</w:t>
      </w:r>
      <w:r w:rsidRPr="00120CD0">
        <w:rPr>
          <w:sz w:val="22"/>
          <w:szCs w:val="18"/>
        </w:rPr>
        <w:tab/>
        <w:t>Alcance</w:t>
      </w:r>
    </w:p>
    <w:p w14:paraId="731C7841" w14:textId="77777777" w:rsidR="00387A1A" w:rsidRPr="00120CD0" w:rsidRDefault="00387A1A" w:rsidP="00387A1A">
      <w:pPr>
        <w:rPr>
          <w:sz w:val="22"/>
          <w:szCs w:val="18"/>
        </w:rPr>
      </w:pPr>
      <w:r w:rsidRPr="00120CD0">
        <w:rPr>
          <w:sz w:val="22"/>
          <w:szCs w:val="18"/>
        </w:rPr>
        <w:t>El alcance de la JCA-MV es coordinar la labor de normalización del metaverso del UIT-T y fomentar la colaboración entre todas las Comisiones de Estudio pertinentes del UIT-T, proporcionando al mismo tiempo un punto de contacto visible y coordinando la comunicación con organizaciones, consorcios y foros de normalización externos que trabajan en normas relacionadas con el metaverso, permitiendo una comunicación bidireccional eficaz con estos organismos.</w:t>
      </w:r>
    </w:p>
    <w:p w14:paraId="263E4FC0" w14:textId="77777777" w:rsidR="00387A1A" w:rsidRPr="00120CD0" w:rsidRDefault="00387A1A" w:rsidP="00387A1A">
      <w:pPr>
        <w:rPr>
          <w:sz w:val="22"/>
          <w:szCs w:val="18"/>
        </w:rPr>
      </w:pPr>
      <w:r w:rsidRPr="00120CD0">
        <w:rPr>
          <w:sz w:val="22"/>
          <w:szCs w:val="18"/>
        </w:rPr>
        <w:t>La JCA-MV funciona con arreglo a lo dispuesto en la Recomendación UIT-T A.18 y se creó de conformidad con la Resolución 105 de la AMNT-24 "Normalización del metaverso".</w:t>
      </w:r>
    </w:p>
    <w:p w14:paraId="19CE7992" w14:textId="2D536C8F" w:rsidR="00387A1A" w:rsidRPr="00120CD0" w:rsidRDefault="00387A1A" w:rsidP="000645C7">
      <w:pPr>
        <w:pStyle w:val="Heading1"/>
        <w:rPr>
          <w:sz w:val="22"/>
          <w:szCs w:val="18"/>
        </w:rPr>
      </w:pPr>
      <w:r w:rsidRPr="00120CD0">
        <w:rPr>
          <w:sz w:val="22"/>
          <w:szCs w:val="18"/>
        </w:rPr>
        <w:t>2</w:t>
      </w:r>
      <w:r w:rsidR="000645C7" w:rsidRPr="00120CD0">
        <w:rPr>
          <w:sz w:val="22"/>
          <w:szCs w:val="18"/>
        </w:rPr>
        <w:tab/>
      </w:r>
      <w:r w:rsidRPr="00120CD0">
        <w:rPr>
          <w:sz w:val="22"/>
          <w:szCs w:val="18"/>
        </w:rPr>
        <w:t>Objetivos</w:t>
      </w:r>
    </w:p>
    <w:p w14:paraId="211AA40B" w14:textId="77777777" w:rsidR="00387A1A" w:rsidRPr="00120CD0" w:rsidRDefault="00387A1A" w:rsidP="000645C7">
      <w:pPr>
        <w:rPr>
          <w:sz w:val="22"/>
          <w:szCs w:val="18"/>
        </w:rPr>
      </w:pPr>
      <w:r w:rsidRPr="00120CD0">
        <w:rPr>
          <w:sz w:val="22"/>
          <w:szCs w:val="18"/>
        </w:rPr>
        <w:t>Los objetivos de la JCA-MV son los siguientes:</w:t>
      </w:r>
    </w:p>
    <w:p w14:paraId="1613F0D9" w14:textId="6B8310A0" w:rsidR="00387A1A" w:rsidRPr="00120CD0" w:rsidRDefault="00387A1A" w:rsidP="000645C7">
      <w:pPr>
        <w:pStyle w:val="enumlev1"/>
        <w:rPr>
          <w:sz w:val="22"/>
          <w:szCs w:val="18"/>
        </w:rPr>
      </w:pPr>
      <w:r w:rsidRPr="00120CD0">
        <w:rPr>
          <w:sz w:val="22"/>
          <w:szCs w:val="18"/>
        </w:rPr>
        <w:t>2.1</w:t>
      </w:r>
      <w:r w:rsidR="000645C7" w:rsidRPr="00120CD0">
        <w:rPr>
          <w:sz w:val="22"/>
          <w:szCs w:val="18"/>
        </w:rPr>
        <w:tab/>
      </w:r>
      <w:r w:rsidRPr="00120CD0">
        <w:rPr>
          <w:sz w:val="22"/>
          <w:szCs w:val="18"/>
        </w:rPr>
        <w:t>Garantizar por que la labor de normalización del metaverso del UIT-T relacionada con las tecnologías, sistemas, aplicaciones, servicios, protocolos, seguridad, accesibilidad y sostenibilidad del metaverso se desarrolle de manera coordinada entre todas las Comisiones de Estudio pertinentes del UIT-T.</w:t>
      </w:r>
    </w:p>
    <w:p w14:paraId="160B66D0" w14:textId="0B5230C4" w:rsidR="00387A1A" w:rsidRPr="00120CD0" w:rsidRDefault="00387A1A" w:rsidP="000645C7">
      <w:pPr>
        <w:pStyle w:val="enumlev1"/>
        <w:rPr>
          <w:sz w:val="22"/>
          <w:szCs w:val="18"/>
        </w:rPr>
      </w:pPr>
      <w:r w:rsidRPr="00120CD0">
        <w:rPr>
          <w:sz w:val="22"/>
          <w:szCs w:val="18"/>
        </w:rPr>
        <w:t>2.2</w:t>
      </w:r>
      <w:r w:rsidR="000645C7" w:rsidRPr="00120CD0">
        <w:rPr>
          <w:sz w:val="22"/>
          <w:szCs w:val="18"/>
        </w:rPr>
        <w:tab/>
      </w:r>
      <w:r w:rsidRPr="00120CD0">
        <w:rPr>
          <w:sz w:val="22"/>
          <w:szCs w:val="18"/>
        </w:rPr>
        <w:t>Alentar a los grupos pertinentes del UIT-T, el Sector de Radiocomunicaciones de la UIT y el Sector de Desarrollo de las Telecomunicaciones de la UIT a contribuir a la JCA y compartir información relativa a la normalización del metaverso;</w:t>
      </w:r>
    </w:p>
    <w:p w14:paraId="4E73F2F5" w14:textId="215434C6" w:rsidR="00387A1A" w:rsidRPr="00120CD0" w:rsidRDefault="00387A1A" w:rsidP="000645C7">
      <w:pPr>
        <w:pStyle w:val="enumlev1"/>
        <w:rPr>
          <w:sz w:val="22"/>
          <w:szCs w:val="18"/>
        </w:rPr>
      </w:pPr>
      <w:r w:rsidRPr="00120CD0">
        <w:rPr>
          <w:sz w:val="22"/>
          <w:szCs w:val="18"/>
        </w:rPr>
        <w:t>2.3</w:t>
      </w:r>
      <w:r w:rsidR="000645C7" w:rsidRPr="00120CD0">
        <w:rPr>
          <w:sz w:val="22"/>
          <w:szCs w:val="18"/>
        </w:rPr>
        <w:tab/>
      </w:r>
      <w:r w:rsidRPr="00120CD0">
        <w:rPr>
          <w:sz w:val="22"/>
          <w:szCs w:val="18"/>
        </w:rPr>
        <w:t>Elaborar, mantener y actualizar una hoja de ruta para la normalización del metaverso, teniendo en cuenta los productos normativos en curso y publicados por la UIT y otras organizaciones de normalización, consorcios y foros pertinentes.</w:t>
      </w:r>
    </w:p>
    <w:p w14:paraId="513C8016" w14:textId="5E41EFB2" w:rsidR="00387A1A" w:rsidRPr="00120CD0" w:rsidRDefault="00387A1A" w:rsidP="000645C7">
      <w:pPr>
        <w:pStyle w:val="enumlev1"/>
        <w:rPr>
          <w:sz w:val="22"/>
          <w:szCs w:val="18"/>
        </w:rPr>
      </w:pPr>
      <w:r w:rsidRPr="00120CD0">
        <w:rPr>
          <w:sz w:val="22"/>
          <w:szCs w:val="18"/>
        </w:rPr>
        <w:t>2.4</w:t>
      </w:r>
      <w:r w:rsidR="000645C7" w:rsidRPr="00120CD0">
        <w:rPr>
          <w:sz w:val="22"/>
          <w:szCs w:val="18"/>
        </w:rPr>
        <w:tab/>
      </w:r>
      <w:r w:rsidRPr="00120CD0">
        <w:rPr>
          <w:sz w:val="22"/>
          <w:szCs w:val="18"/>
        </w:rPr>
        <w:t>Considerar y promover la cooperación y la complementariedad en el desarrollo de normas internacionales para el metaverso con organizaciones relevantes, incluidas la ISO, la CEI, el</w:t>
      </w:r>
      <w:r w:rsidR="00DD0467" w:rsidRPr="00120CD0">
        <w:rPr>
          <w:sz w:val="22"/>
          <w:szCs w:val="18"/>
        </w:rPr>
        <w:t> </w:t>
      </w:r>
      <w:r w:rsidRPr="00120CD0">
        <w:rPr>
          <w:sz w:val="22"/>
          <w:szCs w:val="18"/>
        </w:rPr>
        <w:t>JTC1 de la ISO/CEI, el Proyecto de Asociación de Tercera Generación (3GPP), el Instituto Europeo de Normas de Telecomunicación (ETSI), el Instituto de Ingenieros Eléctricos y Electrónicos (IEEE), el Grupo Especial de Ingeniería de Internet (IETF), el Foro de Normas del Metaverso (MSF) y las comunidades de código abierto;</w:t>
      </w:r>
    </w:p>
    <w:p w14:paraId="190AB917" w14:textId="73CA94CA" w:rsidR="00387A1A" w:rsidRPr="00120CD0" w:rsidRDefault="00387A1A" w:rsidP="000645C7">
      <w:pPr>
        <w:pStyle w:val="enumlev1"/>
        <w:rPr>
          <w:sz w:val="22"/>
          <w:szCs w:val="18"/>
        </w:rPr>
      </w:pPr>
      <w:r w:rsidRPr="00120CD0">
        <w:rPr>
          <w:sz w:val="22"/>
          <w:szCs w:val="18"/>
        </w:rPr>
        <w:t>2.5</w:t>
      </w:r>
      <w:r w:rsidR="000645C7" w:rsidRPr="00120CD0">
        <w:rPr>
          <w:sz w:val="22"/>
          <w:szCs w:val="18"/>
        </w:rPr>
        <w:tab/>
      </w:r>
      <w:r w:rsidRPr="00120CD0">
        <w:rPr>
          <w:sz w:val="22"/>
          <w:szCs w:val="18"/>
        </w:rPr>
        <w:t>Informar al Grupo Asesor de Normalización de las Telecomunicaciones (GANT) cada vez que se descubra duplicación de esfuerzos u otros asuntos que requieran coordinación, para apoyar la función de coordinación del GANT entre las Comisiones de Estudio del</w:t>
      </w:r>
      <w:r w:rsidR="000645C7" w:rsidRPr="00120CD0">
        <w:rPr>
          <w:sz w:val="22"/>
          <w:szCs w:val="18"/>
        </w:rPr>
        <w:t> </w:t>
      </w:r>
      <w:r w:rsidRPr="00120CD0">
        <w:rPr>
          <w:sz w:val="22"/>
          <w:szCs w:val="18"/>
        </w:rPr>
        <w:t>UIT</w:t>
      </w:r>
      <w:r w:rsidR="000645C7" w:rsidRPr="00120CD0">
        <w:rPr>
          <w:sz w:val="22"/>
          <w:szCs w:val="18"/>
        </w:rPr>
        <w:noBreakHyphen/>
      </w:r>
      <w:r w:rsidRPr="00120CD0">
        <w:rPr>
          <w:sz w:val="22"/>
          <w:szCs w:val="18"/>
        </w:rPr>
        <w:t>T;</w:t>
      </w:r>
    </w:p>
    <w:p w14:paraId="4B6B6CD0" w14:textId="3B73B90E" w:rsidR="00387A1A" w:rsidRPr="00120CD0" w:rsidRDefault="00387A1A" w:rsidP="000645C7">
      <w:pPr>
        <w:pStyle w:val="enumlev1"/>
        <w:rPr>
          <w:sz w:val="22"/>
          <w:szCs w:val="18"/>
        </w:rPr>
      </w:pPr>
      <w:r w:rsidRPr="00120CD0">
        <w:rPr>
          <w:sz w:val="22"/>
          <w:szCs w:val="18"/>
        </w:rPr>
        <w:t>2.6</w:t>
      </w:r>
      <w:r w:rsidR="000645C7" w:rsidRPr="00120CD0">
        <w:rPr>
          <w:sz w:val="22"/>
          <w:szCs w:val="18"/>
        </w:rPr>
        <w:tab/>
      </w:r>
      <w:r w:rsidRPr="00120CD0">
        <w:rPr>
          <w:sz w:val="22"/>
          <w:szCs w:val="18"/>
        </w:rPr>
        <w:t>Actuar como punto de contacto dentro del UIT-T y con otras organizaciones, consorcios y foros de normalización que trabajan en normas relacionadas con el metaverso, especialmente para evitar la duplicación de esfuerzos;</w:t>
      </w:r>
    </w:p>
    <w:p w14:paraId="733A5002" w14:textId="33909A43" w:rsidR="00387A1A" w:rsidRPr="00120CD0" w:rsidRDefault="00387A1A" w:rsidP="000645C7">
      <w:pPr>
        <w:pStyle w:val="enumlev1"/>
        <w:rPr>
          <w:sz w:val="22"/>
          <w:szCs w:val="18"/>
        </w:rPr>
      </w:pPr>
      <w:r w:rsidRPr="00120CD0">
        <w:rPr>
          <w:sz w:val="22"/>
          <w:szCs w:val="18"/>
        </w:rPr>
        <w:t>2.7</w:t>
      </w:r>
      <w:r w:rsidR="000645C7" w:rsidRPr="00120CD0">
        <w:rPr>
          <w:sz w:val="22"/>
          <w:szCs w:val="18"/>
        </w:rPr>
        <w:tab/>
      </w:r>
      <w:r w:rsidRPr="00120CD0">
        <w:rPr>
          <w:sz w:val="22"/>
          <w:szCs w:val="18"/>
        </w:rPr>
        <w:t>Mantener una lista de contactos y representantes de las Comisiones de Estudio pertinentes del UIT-T y de otros grupos conexos de la UIT;</w:t>
      </w:r>
    </w:p>
    <w:p w14:paraId="1F1C64E0" w14:textId="7C9AA86A" w:rsidR="00387A1A" w:rsidRPr="00120CD0" w:rsidRDefault="00387A1A" w:rsidP="000645C7">
      <w:pPr>
        <w:pStyle w:val="enumlev1"/>
        <w:rPr>
          <w:sz w:val="22"/>
          <w:szCs w:val="18"/>
        </w:rPr>
      </w:pPr>
      <w:r w:rsidRPr="00120CD0">
        <w:rPr>
          <w:sz w:val="22"/>
          <w:szCs w:val="18"/>
        </w:rPr>
        <w:t>2.8</w:t>
      </w:r>
      <w:r w:rsidR="000645C7" w:rsidRPr="00120CD0">
        <w:rPr>
          <w:sz w:val="22"/>
          <w:szCs w:val="18"/>
        </w:rPr>
        <w:tab/>
      </w:r>
      <w:r w:rsidRPr="00120CD0">
        <w:rPr>
          <w:sz w:val="22"/>
          <w:szCs w:val="18"/>
        </w:rPr>
        <w:t>Mantener una lista de contactos y representantes de otras organizaciones de normalización, organizaciones regionales/nacionales, consorcios y foros pertinentes que participan en la JCA-MV.</w:t>
      </w:r>
    </w:p>
    <w:p w14:paraId="5871F205" w14:textId="5D79AD70" w:rsidR="00387A1A" w:rsidRPr="00120CD0" w:rsidRDefault="00387A1A" w:rsidP="000645C7">
      <w:pPr>
        <w:pStyle w:val="Heading1"/>
        <w:rPr>
          <w:sz w:val="22"/>
          <w:szCs w:val="18"/>
        </w:rPr>
      </w:pPr>
      <w:r w:rsidRPr="00120CD0">
        <w:rPr>
          <w:sz w:val="22"/>
          <w:szCs w:val="18"/>
        </w:rPr>
        <w:t>3</w:t>
      </w:r>
      <w:r w:rsidR="000645C7" w:rsidRPr="00120CD0">
        <w:rPr>
          <w:sz w:val="22"/>
          <w:szCs w:val="18"/>
        </w:rPr>
        <w:tab/>
      </w:r>
      <w:r w:rsidRPr="00120CD0">
        <w:rPr>
          <w:sz w:val="22"/>
          <w:szCs w:val="18"/>
        </w:rPr>
        <w:t>Participación</w:t>
      </w:r>
    </w:p>
    <w:p w14:paraId="265E9BA2" w14:textId="77777777" w:rsidR="00387A1A" w:rsidRPr="00120CD0" w:rsidRDefault="00387A1A" w:rsidP="000645C7">
      <w:pPr>
        <w:rPr>
          <w:sz w:val="22"/>
          <w:szCs w:val="18"/>
        </w:rPr>
      </w:pPr>
      <w:r w:rsidRPr="00120CD0">
        <w:rPr>
          <w:sz w:val="22"/>
          <w:szCs w:val="18"/>
        </w:rPr>
        <w:t xml:space="preserve">La participación en la JCA-MV está abierta a los representantes de los Miembros de la UIT, incluidos los representantes de todas las CE del UIT-T y del GANT. También se invita a participar a expertos invitados, incluidos representantes de organizaciones de normalización, instituciones académicas, foros y consorcios pertinentes. De conformidad con la Resolución 105 de la AMNT-24 "Normalización del metaverso", se </w:t>
      </w:r>
      <w:r w:rsidRPr="00120CD0">
        <w:rPr>
          <w:sz w:val="22"/>
          <w:szCs w:val="18"/>
        </w:rPr>
        <w:lastRenderedPageBreak/>
        <w:t>alienta especialmente la participación de las pequeñas y medianas empresas (PYME) y de las industrias verticales que participan en el desarrollo del metaverso para garantizar una amplia representación en el proceso de normalización. Se podrá invitar a otros grupos de la UIT y organismos externos pertinentes a que designen a un representante para que se incorpore al grupo.</w:t>
      </w:r>
    </w:p>
    <w:p w14:paraId="179950CC" w14:textId="63986833" w:rsidR="00387A1A" w:rsidRPr="00120CD0" w:rsidRDefault="00387A1A" w:rsidP="000645C7">
      <w:pPr>
        <w:pStyle w:val="Heading1"/>
        <w:spacing w:before="360"/>
        <w:rPr>
          <w:sz w:val="22"/>
          <w:szCs w:val="18"/>
        </w:rPr>
      </w:pPr>
      <w:r w:rsidRPr="00120CD0">
        <w:rPr>
          <w:sz w:val="22"/>
          <w:szCs w:val="18"/>
        </w:rPr>
        <w:t>4</w:t>
      </w:r>
      <w:r w:rsidR="000645C7" w:rsidRPr="00120CD0">
        <w:rPr>
          <w:sz w:val="22"/>
          <w:szCs w:val="18"/>
        </w:rPr>
        <w:tab/>
      </w:r>
      <w:r w:rsidRPr="00120CD0">
        <w:rPr>
          <w:sz w:val="22"/>
          <w:szCs w:val="18"/>
        </w:rPr>
        <w:t>Métodos de trabajo</w:t>
      </w:r>
    </w:p>
    <w:p w14:paraId="6FBD4EC4" w14:textId="38014E38" w:rsidR="00387A1A" w:rsidRPr="00120CD0" w:rsidRDefault="00387A1A" w:rsidP="000645C7">
      <w:pPr>
        <w:rPr>
          <w:sz w:val="22"/>
          <w:szCs w:val="18"/>
        </w:rPr>
      </w:pPr>
      <w:r w:rsidRPr="00120CD0">
        <w:rPr>
          <w:sz w:val="22"/>
          <w:szCs w:val="18"/>
        </w:rPr>
        <w:t>4.1</w:t>
      </w:r>
      <w:r w:rsidR="000645C7" w:rsidRPr="00120CD0">
        <w:rPr>
          <w:sz w:val="22"/>
          <w:szCs w:val="18"/>
        </w:rPr>
        <w:tab/>
      </w:r>
      <w:r w:rsidRPr="00120CD0">
        <w:rPr>
          <w:sz w:val="22"/>
          <w:szCs w:val="18"/>
        </w:rPr>
        <w:t>La participación de la JCA-MV se ajusta a lo establecido en la Recomendación UIT-T A.18 y estará integrada por todos los Presidentes de las Comisiones de Estudio del UIT-T, el Presidente del GANT, varias personas designadas por los Presidentes de las Comisiones de Estudio, personas de contacto sobre el metaverso en las Comisiones de Estudio del UIT-T y representantes invitados de las organizaciones de normalización pertinentes, como la ISO y la CEI, así como de instituciones académicas, foros y consorcios pertinentes.</w:t>
      </w:r>
    </w:p>
    <w:p w14:paraId="4C8398EF" w14:textId="799ECF79" w:rsidR="00387A1A" w:rsidRPr="00120CD0" w:rsidRDefault="00387A1A" w:rsidP="000645C7">
      <w:pPr>
        <w:rPr>
          <w:sz w:val="22"/>
          <w:szCs w:val="18"/>
        </w:rPr>
      </w:pPr>
      <w:r w:rsidRPr="00120CD0">
        <w:rPr>
          <w:sz w:val="22"/>
          <w:szCs w:val="18"/>
        </w:rPr>
        <w:t>4.2</w:t>
      </w:r>
      <w:r w:rsidR="000645C7" w:rsidRPr="00120CD0">
        <w:rPr>
          <w:sz w:val="22"/>
          <w:szCs w:val="18"/>
        </w:rPr>
        <w:tab/>
      </w:r>
      <w:r w:rsidRPr="00120CD0">
        <w:rPr>
          <w:sz w:val="22"/>
          <w:szCs w:val="18"/>
        </w:rPr>
        <w:t>La JCA-MV llevará a cabo su labor principalmente por correspondencia, pero también podrá reunirse en asociación con las reuniones del GANT y de las Comisiones de Estudio pertinentes, cuando sea necesario.</w:t>
      </w:r>
    </w:p>
    <w:p w14:paraId="6F8ED9AB" w14:textId="229566FE" w:rsidR="00387A1A" w:rsidRPr="00120CD0" w:rsidRDefault="00387A1A" w:rsidP="000645C7">
      <w:pPr>
        <w:rPr>
          <w:sz w:val="22"/>
          <w:szCs w:val="18"/>
        </w:rPr>
      </w:pPr>
      <w:r w:rsidRPr="00120CD0">
        <w:rPr>
          <w:sz w:val="22"/>
          <w:szCs w:val="18"/>
        </w:rPr>
        <w:t>4.3</w:t>
      </w:r>
      <w:r w:rsidR="000645C7" w:rsidRPr="00120CD0">
        <w:rPr>
          <w:sz w:val="22"/>
          <w:szCs w:val="18"/>
        </w:rPr>
        <w:tab/>
      </w:r>
      <w:r w:rsidRPr="00120CD0">
        <w:rPr>
          <w:sz w:val="22"/>
          <w:szCs w:val="18"/>
        </w:rPr>
        <w:t>La JCA-MV llevará a cabo sus trabajos principalmente por medios electrónicos, incluida la correspondencia por correo electrónico y las teleconferencias, y celebrará reuniones presenciales sólo cuando lo considere necesario para la conclusión eficaz de sus tareas.</w:t>
      </w:r>
    </w:p>
    <w:p w14:paraId="564174F3" w14:textId="762284AE" w:rsidR="00387A1A" w:rsidRPr="00120CD0" w:rsidRDefault="00387A1A" w:rsidP="000645C7">
      <w:pPr>
        <w:pStyle w:val="Heading1"/>
        <w:rPr>
          <w:sz w:val="22"/>
          <w:szCs w:val="18"/>
        </w:rPr>
      </w:pPr>
      <w:r w:rsidRPr="00120CD0">
        <w:rPr>
          <w:sz w:val="22"/>
          <w:szCs w:val="18"/>
        </w:rPr>
        <w:t>5</w:t>
      </w:r>
      <w:r w:rsidR="000645C7" w:rsidRPr="00120CD0">
        <w:rPr>
          <w:sz w:val="22"/>
          <w:szCs w:val="18"/>
        </w:rPr>
        <w:tab/>
      </w:r>
      <w:r w:rsidRPr="00120CD0">
        <w:rPr>
          <w:sz w:val="22"/>
          <w:szCs w:val="18"/>
        </w:rPr>
        <w:t>Soporte administrativo</w:t>
      </w:r>
    </w:p>
    <w:p w14:paraId="2830639F" w14:textId="15ED847B" w:rsidR="00387A1A" w:rsidRPr="00120CD0" w:rsidRDefault="00387A1A" w:rsidP="000645C7">
      <w:pPr>
        <w:rPr>
          <w:sz w:val="22"/>
          <w:szCs w:val="18"/>
        </w:rPr>
      </w:pPr>
      <w:r w:rsidRPr="00120CD0">
        <w:rPr>
          <w:sz w:val="22"/>
          <w:szCs w:val="18"/>
        </w:rPr>
        <w:t>La Oficina de Normalización de las Telecomunicaciones (TSB) del UIT-T proporciona la secretaría y las instalaciones necesarias para el funcionamiento de la JCA-MV dentro de los límites de sus</w:t>
      </w:r>
      <w:r w:rsidR="00DD0467" w:rsidRPr="00120CD0">
        <w:rPr>
          <w:sz w:val="22"/>
          <w:szCs w:val="18"/>
        </w:rPr>
        <w:t> </w:t>
      </w:r>
      <w:r w:rsidRPr="00120CD0">
        <w:rPr>
          <w:sz w:val="22"/>
          <w:szCs w:val="18"/>
        </w:rPr>
        <w:t>recursos.</w:t>
      </w:r>
    </w:p>
    <w:p w14:paraId="636AA054" w14:textId="04E652AC" w:rsidR="00387A1A" w:rsidRPr="00120CD0" w:rsidRDefault="00387A1A" w:rsidP="000645C7">
      <w:pPr>
        <w:pStyle w:val="Heading1"/>
        <w:rPr>
          <w:sz w:val="22"/>
          <w:szCs w:val="18"/>
        </w:rPr>
      </w:pPr>
      <w:r w:rsidRPr="00120CD0">
        <w:rPr>
          <w:sz w:val="22"/>
          <w:szCs w:val="18"/>
        </w:rPr>
        <w:t>6</w:t>
      </w:r>
      <w:r w:rsidR="000645C7" w:rsidRPr="00120CD0">
        <w:rPr>
          <w:sz w:val="22"/>
          <w:szCs w:val="18"/>
        </w:rPr>
        <w:tab/>
      </w:r>
      <w:r w:rsidRPr="00120CD0">
        <w:rPr>
          <w:sz w:val="22"/>
          <w:szCs w:val="18"/>
        </w:rPr>
        <w:t>Reuniones</w:t>
      </w:r>
    </w:p>
    <w:p w14:paraId="0C95A0FE" w14:textId="5400279E" w:rsidR="00387A1A" w:rsidRPr="00120CD0" w:rsidRDefault="00387A1A" w:rsidP="000645C7">
      <w:pPr>
        <w:rPr>
          <w:sz w:val="22"/>
          <w:szCs w:val="18"/>
        </w:rPr>
      </w:pPr>
      <w:r w:rsidRPr="00120CD0">
        <w:rPr>
          <w:sz w:val="22"/>
          <w:szCs w:val="18"/>
        </w:rPr>
        <w:t>La JCA-MV trabaja por medios electrónicos mediante teleconferencias y reuniones presenciales tres veces al año para examinar las actualizaciones e informes oportunos de las distintas partes. Las reuniones presenciales suelen celebrarse simultáneamente con las Comisiones de Estudio que participan en la JCA-MV. Todas las reuniones se celebrarán según lo determine la JCA-MV y se anunciarán a sus participantes a través del reflector de correo electrónico de la JCA y se publicarán en el sitio web del UIT-T de la JCA-MV.</w:t>
      </w:r>
    </w:p>
    <w:p w14:paraId="634DE805" w14:textId="3B0E7010" w:rsidR="00387A1A" w:rsidRPr="00120CD0" w:rsidRDefault="00387A1A" w:rsidP="000645C7">
      <w:pPr>
        <w:pStyle w:val="Heading1"/>
        <w:rPr>
          <w:sz w:val="22"/>
          <w:szCs w:val="18"/>
        </w:rPr>
      </w:pPr>
      <w:r w:rsidRPr="00120CD0">
        <w:rPr>
          <w:sz w:val="22"/>
          <w:szCs w:val="18"/>
        </w:rPr>
        <w:t>7</w:t>
      </w:r>
      <w:r w:rsidR="000645C7" w:rsidRPr="00120CD0">
        <w:rPr>
          <w:sz w:val="22"/>
          <w:szCs w:val="18"/>
        </w:rPr>
        <w:tab/>
      </w:r>
      <w:r w:rsidRPr="00120CD0">
        <w:rPr>
          <w:sz w:val="22"/>
          <w:szCs w:val="18"/>
        </w:rPr>
        <w:t>Comisión de Estudio rectora e informes de situación</w:t>
      </w:r>
    </w:p>
    <w:p w14:paraId="3ECAE70D" w14:textId="062AEE65" w:rsidR="00387A1A" w:rsidRPr="00120CD0" w:rsidRDefault="00387A1A" w:rsidP="000645C7">
      <w:pPr>
        <w:rPr>
          <w:sz w:val="22"/>
          <w:szCs w:val="18"/>
        </w:rPr>
      </w:pPr>
      <w:r w:rsidRPr="00120CD0">
        <w:rPr>
          <w:sz w:val="22"/>
          <w:szCs w:val="18"/>
        </w:rPr>
        <w:t>La JCA-MV informa de sus actividades al GANT, en su calidad de grupo tutor, en sus reuniones. Se enviará un resumen ejecutivo al GANT después de cada reunión de la JCA-MV. Se enviarán informes de situación y propuestas a las Comisiones de Estudio pertinentes, según sea necesario, de conformidad con la Recomendación UIT-T A.18.</w:t>
      </w:r>
    </w:p>
    <w:p w14:paraId="090EB265" w14:textId="42ABA4EE" w:rsidR="00387A1A" w:rsidRPr="00120CD0" w:rsidRDefault="00387A1A" w:rsidP="000645C7">
      <w:pPr>
        <w:pStyle w:val="Heading1"/>
        <w:rPr>
          <w:sz w:val="22"/>
          <w:szCs w:val="18"/>
        </w:rPr>
      </w:pPr>
      <w:r w:rsidRPr="00120CD0">
        <w:rPr>
          <w:sz w:val="22"/>
          <w:szCs w:val="18"/>
        </w:rPr>
        <w:t>8</w:t>
      </w:r>
      <w:r w:rsidR="000645C7" w:rsidRPr="00120CD0">
        <w:rPr>
          <w:sz w:val="22"/>
          <w:szCs w:val="18"/>
        </w:rPr>
        <w:tab/>
      </w:r>
      <w:r w:rsidRPr="00120CD0">
        <w:rPr>
          <w:sz w:val="22"/>
          <w:szCs w:val="18"/>
        </w:rPr>
        <w:t>Vida útil</w:t>
      </w:r>
    </w:p>
    <w:p w14:paraId="13DE89E9" w14:textId="77777777" w:rsidR="00387A1A" w:rsidRPr="00120CD0" w:rsidRDefault="00387A1A" w:rsidP="000645C7">
      <w:pPr>
        <w:rPr>
          <w:sz w:val="22"/>
          <w:szCs w:val="18"/>
        </w:rPr>
      </w:pPr>
      <w:r w:rsidRPr="00120CD0">
        <w:rPr>
          <w:sz w:val="22"/>
          <w:szCs w:val="18"/>
        </w:rPr>
        <w:t>Véase la Recomendación UIT-T A.18.</w:t>
      </w:r>
    </w:p>
    <w:p w14:paraId="2D7C0540" w14:textId="09E22578" w:rsidR="000645C7" w:rsidRPr="00F64B28" w:rsidRDefault="000645C7">
      <w:pPr>
        <w:tabs>
          <w:tab w:val="clear" w:pos="794"/>
          <w:tab w:val="clear" w:pos="1191"/>
          <w:tab w:val="clear" w:pos="1588"/>
          <w:tab w:val="clear" w:pos="1985"/>
        </w:tabs>
        <w:overflowPunct/>
        <w:autoSpaceDE/>
        <w:autoSpaceDN/>
        <w:adjustRightInd/>
        <w:spacing w:before="0"/>
        <w:textAlignment w:val="auto"/>
      </w:pPr>
      <w:r w:rsidRPr="00F64B28">
        <w:br w:type="page"/>
      </w:r>
    </w:p>
    <w:p w14:paraId="5F199CC5" w14:textId="12A68DEF" w:rsidR="00387A1A" w:rsidRPr="00F64B28" w:rsidRDefault="00387A1A" w:rsidP="000645C7">
      <w:pPr>
        <w:pStyle w:val="AnnexNotitle"/>
      </w:pPr>
      <w:r w:rsidRPr="00F64B28">
        <w:lastRenderedPageBreak/>
        <w:t>Anexo B</w:t>
      </w:r>
      <w:r w:rsidR="000645C7" w:rsidRPr="00F64B28">
        <w:br/>
      </w:r>
      <w:r w:rsidRPr="00F64B28">
        <w:t>Proyecto de orden del día de la 1ª reunión de la JCA-MV</w:t>
      </w:r>
      <w:r w:rsidR="000645C7" w:rsidRPr="00F64B28">
        <w:br/>
      </w:r>
      <w:r w:rsidRPr="00F64B28">
        <w:t>(Ginebra, 9 de octubre de 2025, 11.15-13.15 horas CEST)</w:t>
      </w:r>
    </w:p>
    <w:p w14:paraId="3F911086" w14:textId="09858DCF" w:rsidR="00387A1A" w:rsidRPr="00F64B28" w:rsidRDefault="00387A1A" w:rsidP="000645C7">
      <w:pPr>
        <w:pStyle w:val="Normalaftertitle0"/>
      </w:pPr>
      <w:r w:rsidRPr="00F64B28">
        <w:t>1</w:t>
      </w:r>
      <w:r w:rsidRPr="00F64B28">
        <w:tab/>
        <w:t>Apertura de la reunión</w:t>
      </w:r>
    </w:p>
    <w:p w14:paraId="3B33C603" w14:textId="77777777" w:rsidR="00387A1A" w:rsidRPr="00F64B28" w:rsidRDefault="00387A1A" w:rsidP="000645C7">
      <w:r w:rsidRPr="00F64B28">
        <w:t>2</w:t>
      </w:r>
      <w:r w:rsidRPr="00F64B28">
        <w:tab/>
        <w:t>Aprobación del orden del día</w:t>
      </w:r>
    </w:p>
    <w:p w14:paraId="4C40390E" w14:textId="2CD5EDA0" w:rsidR="00387A1A" w:rsidRPr="00F64B28" w:rsidRDefault="00387A1A" w:rsidP="00573109">
      <w:pPr>
        <w:ind w:left="794" w:hanging="794"/>
      </w:pPr>
      <w:r w:rsidRPr="00F64B28">
        <w:t>3</w:t>
      </w:r>
      <w:r w:rsidRPr="00F64B28">
        <w:tab/>
        <w:t>Examen de los métodos de trabajo de la JCA-MV, incluida la documentación para la reunión [</w:t>
      </w:r>
      <w:hyperlink r:id="rId34" w:history="1">
        <w:r w:rsidRPr="00F64B28">
          <w:rPr>
            <w:rStyle w:val="Hyperlink"/>
          </w:rPr>
          <w:t>https://www.itu.int/ifa/t/sftp/jcamv/</w:t>
        </w:r>
      </w:hyperlink>
      <w:r w:rsidRPr="00F64B28">
        <w:t>] y detalles sobre la participación a distancia</w:t>
      </w:r>
    </w:p>
    <w:p w14:paraId="56D9B15D" w14:textId="77777777" w:rsidR="00387A1A" w:rsidRPr="00F64B28" w:rsidRDefault="00387A1A" w:rsidP="00573109">
      <w:pPr>
        <w:ind w:left="794" w:hanging="794"/>
      </w:pPr>
      <w:r w:rsidRPr="00F64B28">
        <w:t>4</w:t>
      </w:r>
      <w:r w:rsidRPr="00F64B28">
        <w:tab/>
        <w:t>Examen de los resultados de la reunión del GANT relativos a la creación de la JCA-MV, incluida la definición de "metaverso"</w:t>
      </w:r>
    </w:p>
    <w:p w14:paraId="78763079" w14:textId="77777777" w:rsidR="00387A1A" w:rsidRPr="00F64B28" w:rsidRDefault="00387A1A" w:rsidP="000645C7">
      <w:r w:rsidRPr="00F64B28">
        <w:t>5</w:t>
      </w:r>
      <w:r w:rsidRPr="00F64B28">
        <w:tab/>
        <w:t>Examen del mandato de la JCA-MV</w:t>
      </w:r>
    </w:p>
    <w:p w14:paraId="692E7D2D" w14:textId="77777777" w:rsidR="00387A1A" w:rsidRPr="00F64B28" w:rsidRDefault="00387A1A" w:rsidP="000645C7">
      <w:r w:rsidRPr="00F64B28">
        <w:t>6</w:t>
      </w:r>
      <w:r w:rsidRPr="00F64B28">
        <w:tab/>
        <w:t>Declaraciones de coordinación entrantes</w:t>
      </w:r>
    </w:p>
    <w:p w14:paraId="378524DA" w14:textId="77777777" w:rsidR="00387A1A" w:rsidRPr="00F64B28" w:rsidRDefault="00387A1A" w:rsidP="00573109">
      <w:pPr>
        <w:ind w:left="794" w:hanging="794"/>
      </w:pPr>
      <w:r w:rsidRPr="00F64B28">
        <w:t>7</w:t>
      </w:r>
      <w:r w:rsidRPr="00F64B28">
        <w:tab/>
        <w:t>Examen de las actividades de normalización en las Comisiones de Estudio del UIT-T, otras organizaciones de normalización y foros:</w:t>
      </w:r>
    </w:p>
    <w:p w14:paraId="09E3A28E" w14:textId="77777777" w:rsidR="00387A1A" w:rsidRPr="00F64B28" w:rsidRDefault="00387A1A" w:rsidP="00573109">
      <w:pPr>
        <w:ind w:left="794" w:hanging="794"/>
      </w:pPr>
      <w:r w:rsidRPr="00F64B28">
        <w:t>8</w:t>
      </w:r>
      <w:r w:rsidRPr="00F64B28">
        <w:tab/>
        <w:t>Examen de los documentos de contribución para la reunión de la JCA-MV</w:t>
      </w:r>
    </w:p>
    <w:p w14:paraId="7CDFCF83" w14:textId="77777777" w:rsidR="00387A1A" w:rsidRPr="00F64B28" w:rsidRDefault="00387A1A" w:rsidP="000645C7">
      <w:r w:rsidRPr="00F64B28">
        <w:t>9</w:t>
      </w:r>
      <w:r w:rsidRPr="00F64B28">
        <w:tab/>
        <w:t>Asuntos que requieren coordinación</w:t>
      </w:r>
    </w:p>
    <w:p w14:paraId="3128E20E" w14:textId="639E0335" w:rsidR="00387A1A" w:rsidRPr="00F64B28" w:rsidRDefault="00387A1A" w:rsidP="000645C7">
      <w:r w:rsidRPr="00F64B28">
        <w:t>10</w:t>
      </w:r>
      <w:r w:rsidRPr="00F64B28">
        <w:tab/>
        <w:t>Nombramiento de los representantes de coordinación JCA-MV</w:t>
      </w:r>
    </w:p>
    <w:p w14:paraId="08750A88" w14:textId="77777777" w:rsidR="00387A1A" w:rsidRPr="00F64B28" w:rsidRDefault="00387A1A" w:rsidP="000645C7">
      <w:r w:rsidRPr="00F64B28">
        <w:t>11</w:t>
      </w:r>
      <w:r w:rsidRPr="00F64B28">
        <w:tab/>
        <w:t>Aprobación de declaraciones de coordinación salientes</w:t>
      </w:r>
    </w:p>
    <w:p w14:paraId="0D21B5E9" w14:textId="77777777" w:rsidR="00387A1A" w:rsidRPr="00F64B28" w:rsidRDefault="00387A1A" w:rsidP="000645C7">
      <w:r w:rsidRPr="00F64B28">
        <w:t>12</w:t>
      </w:r>
      <w:r w:rsidRPr="00F64B28">
        <w:tab/>
        <w:t>Reuniones futuras</w:t>
      </w:r>
    </w:p>
    <w:p w14:paraId="614C6F74" w14:textId="77777777" w:rsidR="00387A1A" w:rsidRPr="00F64B28" w:rsidRDefault="00387A1A" w:rsidP="000645C7">
      <w:r w:rsidRPr="00F64B28">
        <w:t>13</w:t>
      </w:r>
      <w:r w:rsidRPr="00F64B28">
        <w:tab/>
        <w:t>Otros asuntos</w:t>
      </w:r>
    </w:p>
    <w:p w14:paraId="4C5C9DBD" w14:textId="77777777" w:rsidR="00387A1A" w:rsidRPr="00F64B28" w:rsidRDefault="00387A1A" w:rsidP="000645C7">
      <w:r w:rsidRPr="00F64B28">
        <w:t>14</w:t>
      </w:r>
      <w:r w:rsidRPr="00F64B28">
        <w:tab/>
        <w:t>Próximos pasos</w:t>
      </w:r>
    </w:p>
    <w:p w14:paraId="7BD2BA4E" w14:textId="7D6036C5" w:rsidR="00387A1A" w:rsidRPr="00F64B28" w:rsidRDefault="00387A1A" w:rsidP="000645C7">
      <w:r w:rsidRPr="00F64B28">
        <w:t>15</w:t>
      </w:r>
      <w:r w:rsidRPr="00F64B28">
        <w:tab/>
        <w:t>Clausura de la reunión</w:t>
      </w:r>
    </w:p>
    <w:p w14:paraId="52C797FB" w14:textId="77777777" w:rsidR="000645C7" w:rsidRPr="00F64B28" w:rsidRDefault="000645C7">
      <w:pPr>
        <w:jc w:val="center"/>
      </w:pPr>
      <w:r w:rsidRPr="00F64B28">
        <w:t>______________</w:t>
      </w:r>
    </w:p>
    <w:sectPr w:rsidR="000645C7" w:rsidRPr="00F64B28" w:rsidSect="00B87E9E">
      <w:headerReference w:type="default" r:id="rId35"/>
      <w:footerReference w:type="first" r:id="rId3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97927" w14:textId="77777777" w:rsidR="00124E5A" w:rsidRDefault="00124E5A">
      <w:r>
        <w:separator/>
      </w:r>
    </w:p>
  </w:endnote>
  <w:endnote w:type="continuationSeparator" w:id="0">
    <w:p w14:paraId="137147E8" w14:textId="77777777" w:rsidR="00124E5A" w:rsidRDefault="0012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90BF"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C72D7" w14:textId="77777777" w:rsidR="00124E5A" w:rsidRDefault="00124E5A">
      <w:r>
        <w:t>____________________</w:t>
      </w:r>
    </w:p>
  </w:footnote>
  <w:footnote w:type="continuationSeparator" w:id="0">
    <w:p w14:paraId="7C3604E6" w14:textId="77777777" w:rsidR="00124E5A" w:rsidRDefault="00124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0AD4" w14:textId="19529661"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105FD804" w14:textId="50BD63E4" w:rsidR="00387A1A" w:rsidRPr="00303D62" w:rsidRDefault="00387A1A">
    <w:pPr>
      <w:pStyle w:val="Header"/>
      <w:rPr>
        <w:sz w:val="18"/>
        <w:szCs w:val="18"/>
      </w:rPr>
    </w:pPr>
    <w:r>
      <w:rPr>
        <w:rStyle w:val="PageNumber"/>
        <w:sz w:val="18"/>
        <w:szCs w:val="18"/>
      </w:rPr>
      <w:t>TSB Circular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04C7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CC65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1A71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C8A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120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167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45B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0F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CFD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AAE0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47377C"/>
    <w:multiLevelType w:val="hybridMultilevel"/>
    <w:tmpl w:val="8BA023FA"/>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4B9F62A7"/>
    <w:multiLevelType w:val="hybridMultilevel"/>
    <w:tmpl w:val="F498283E"/>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1"/>
  </w:num>
  <w:num w:numId="2" w16cid:durableId="1345282128">
    <w:abstractNumId w:val="15"/>
  </w:num>
  <w:num w:numId="3" w16cid:durableId="1069613404">
    <w:abstractNumId w:val="14"/>
  </w:num>
  <w:num w:numId="4" w16cid:durableId="374936234">
    <w:abstractNumId w:val="13"/>
  </w:num>
  <w:num w:numId="5" w16cid:durableId="1660423884">
    <w:abstractNumId w:val="10"/>
  </w:num>
  <w:num w:numId="6" w16cid:durableId="557010871">
    <w:abstractNumId w:val="12"/>
  </w:num>
  <w:num w:numId="7" w16cid:durableId="1452702761">
    <w:abstractNumId w:val="9"/>
  </w:num>
  <w:num w:numId="8" w16cid:durableId="21130752">
    <w:abstractNumId w:val="7"/>
  </w:num>
  <w:num w:numId="9" w16cid:durableId="1923833169">
    <w:abstractNumId w:val="6"/>
  </w:num>
  <w:num w:numId="10" w16cid:durableId="364907006">
    <w:abstractNumId w:val="5"/>
  </w:num>
  <w:num w:numId="11" w16cid:durableId="239757232">
    <w:abstractNumId w:val="4"/>
  </w:num>
  <w:num w:numId="12" w16cid:durableId="1280454601">
    <w:abstractNumId w:val="8"/>
  </w:num>
  <w:num w:numId="13" w16cid:durableId="70809826">
    <w:abstractNumId w:val="3"/>
  </w:num>
  <w:num w:numId="14" w16cid:durableId="1148012570">
    <w:abstractNumId w:val="2"/>
  </w:num>
  <w:num w:numId="15" w16cid:durableId="2049867294">
    <w:abstractNumId w:val="1"/>
  </w:num>
  <w:num w:numId="16" w16cid:durableId="129945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5A"/>
    <w:rsid w:val="00002529"/>
    <w:rsid w:val="000645C7"/>
    <w:rsid w:val="00085662"/>
    <w:rsid w:val="000C382F"/>
    <w:rsid w:val="000D3B24"/>
    <w:rsid w:val="001173CC"/>
    <w:rsid w:val="00120CD0"/>
    <w:rsid w:val="00124E5A"/>
    <w:rsid w:val="001350B9"/>
    <w:rsid w:val="0014464D"/>
    <w:rsid w:val="00186703"/>
    <w:rsid w:val="001A54CC"/>
    <w:rsid w:val="00257FB4"/>
    <w:rsid w:val="002E496E"/>
    <w:rsid w:val="00303D62"/>
    <w:rsid w:val="00335367"/>
    <w:rsid w:val="00370C2D"/>
    <w:rsid w:val="00387A1A"/>
    <w:rsid w:val="003D1E8D"/>
    <w:rsid w:val="003D673B"/>
    <w:rsid w:val="003F2855"/>
    <w:rsid w:val="00401C20"/>
    <w:rsid w:val="004A7957"/>
    <w:rsid w:val="004C4144"/>
    <w:rsid w:val="0055719E"/>
    <w:rsid w:val="00573109"/>
    <w:rsid w:val="006969B4"/>
    <w:rsid w:val="006E4F7B"/>
    <w:rsid w:val="00761DF5"/>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37F72"/>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D0467"/>
    <w:rsid w:val="00DD77C9"/>
    <w:rsid w:val="00DF3538"/>
    <w:rsid w:val="00E839B0"/>
    <w:rsid w:val="00E92C09"/>
    <w:rsid w:val="00F14380"/>
    <w:rsid w:val="00F6461F"/>
    <w:rsid w:val="00F64B28"/>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B5ECB"/>
  <w15:docId w15:val="{324EC397-87F9-44BE-A161-4D2E727D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link w:val="ListParagraphChar"/>
    <w:uiPriority w:val="34"/>
    <w:qFormat/>
    <w:rsid w:val="00124E5A"/>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character" w:customStyle="1" w:styleId="ListParagraphChar">
    <w:name w:val="List Paragraph Char"/>
    <w:basedOn w:val="DefaultParagraphFont"/>
    <w:link w:val="ListParagraph"/>
    <w:uiPriority w:val="34"/>
    <w:rsid w:val="00124E5A"/>
    <w:rPr>
      <w:rFonts w:ascii="Times New Roman" w:eastAsiaTheme="minorEastAsia" w:hAnsi="Times New Roman"/>
      <w:sz w:val="24"/>
      <w:szCs w:val="24"/>
      <w:lang w:val="en-GB" w:eastAsia="ja-JP"/>
    </w:rPr>
  </w:style>
  <w:style w:type="character" w:styleId="UnresolvedMention">
    <w:name w:val="Unresolved Mention"/>
    <w:basedOn w:val="DefaultParagraphFont"/>
    <w:uiPriority w:val="99"/>
    <w:semiHidden/>
    <w:unhideWhenUsed/>
    <w:rsid w:val="00124E5A"/>
    <w:rPr>
      <w:color w:val="605E5C"/>
      <w:shd w:val="clear" w:color="auto" w:fill="E1DFDD"/>
    </w:rPr>
  </w:style>
  <w:style w:type="table" w:styleId="TableGrid">
    <w:name w:val="Table Grid"/>
    <w:basedOn w:val="TableNormal"/>
    <w:uiPriority w:val="59"/>
    <w:rsid w:val="00124E5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0645C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mv/Pages/default.aspx" TargetMode="External"/><Relationship Id="rId18" Type="http://schemas.openxmlformats.org/officeDocument/2006/relationships/hyperlink" Target="http://itu.int/en/ITU-T/jca/mv" TargetMode="External"/><Relationship Id="rId26" Type="http://schemas.openxmlformats.org/officeDocument/2006/relationships/hyperlink" Target="mailto:tsbjcamv@itu.int" TargetMode="External"/><Relationship Id="rId21" Type="http://schemas.openxmlformats.org/officeDocument/2006/relationships/hyperlink" Target="http://itu.int/en/ITU-T/jca/mv" TargetMode="External"/><Relationship Id="rId34" Type="http://schemas.openxmlformats.org/officeDocument/2006/relationships/hyperlink" Target="https://www.itu.int/ifa/t/sftp/jcamv/" TargetMode="External"/><Relationship Id="rId7" Type="http://schemas.openxmlformats.org/officeDocument/2006/relationships/endnotes" Target="endnotes.xml"/><Relationship Id="rId12" Type="http://schemas.openxmlformats.org/officeDocument/2006/relationships/hyperlink" Target="https://www.itu.int/en/ITU-T/studygroups/2025-2028/21/Pages/default.aspx" TargetMode="External"/><Relationship Id="rId17" Type="http://schemas.openxmlformats.org/officeDocument/2006/relationships/hyperlink" Target="http://itu.int/en/ITU-T/jca/mv" TargetMode="External"/><Relationship Id="rId25" Type="http://schemas.openxmlformats.org/officeDocument/2006/relationships/hyperlink" Target="mailto:tsbjcamv@itu.int"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ITU-T/jca/mv" TargetMode="External"/><Relationship Id="rId20" Type="http://schemas.openxmlformats.org/officeDocument/2006/relationships/hyperlink" Target="mailto:tsbjcamv@itu.int" TargetMode="External"/><Relationship Id="rId29" Type="http://schemas.openxmlformats.org/officeDocument/2006/relationships/hyperlink" Target="http://itu.int/en/ITU-T/jca/m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jca/mv" TargetMode="External"/><Relationship Id="rId24" Type="http://schemas.openxmlformats.org/officeDocument/2006/relationships/hyperlink" Target="http://itu.int/en/ITU-T/jca/mv" TargetMode="External"/><Relationship Id="rId32" Type="http://schemas.openxmlformats.org/officeDocument/2006/relationships/hyperlink" Target="http://itu.int/en/ITU-T/jca/m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jcamv@itu.int" TargetMode="External"/><Relationship Id="rId23" Type="http://schemas.openxmlformats.org/officeDocument/2006/relationships/hyperlink" Target="http://itu.int/en/ITU-T/jca/qkdn" TargetMode="External"/><Relationship Id="rId28" Type="http://schemas.openxmlformats.org/officeDocument/2006/relationships/hyperlink" Target="http://itu.int/en/ITU-T/jca/qkdn" TargetMode="External"/><Relationship Id="rId36" Type="http://schemas.openxmlformats.org/officeDocument/2006/relationships/footer" Target="footer1.xml"/><Relationship Id="rId10" Type="http://schemas.openxmlformats.org/officeDocument/2006/relationships/hyperlink" Target="https://www.itu.int/en/ITU-T/jca/mv/Pages/default.aspx" TargetMode="External"/><Relationship Id="rId19" Type="http://schemas.openxmlformats.org/officeDocument/2006/relationships/hyperlink" Target="http://itu.int/en/ITU-T/jca/mv" TargetMode="External"/><Relationship Id="rId31" Type="http://schemas.openxmlformats.org/officeDocument/2006/relationships/hyperlink" Target="https://www.itu.int/en/ITU-T/studygroups/2025-2028/21/Pages/default.aspx" TargetMode="External"/><Relationship Id="rId4" Type="http://schemas.openxmlformats.org/officeDocument/2006/relationships/settings" Target="settings.xml"/><Relationship Id="rId9" Type="http://schemas.openxmlformats.org/officeDocument/2006/relationships/hyperlink" Target="mailto:tsbsgcamv@itu.int" TargetMode="External"/><Relationship Id="rId14" Type="http://schemas.openxmlformats.org/officeDocument/2006/relationships/hyperlink" Target="mailto:tsbjcamv@itu.int" TargetMode="External"/><Relationship Id="rId22" Type="http://schemas.openxmlformats.org/officeDocument/2006/relationships/hyperlink" Target="mailto:tsbjcamv@itu.int" TargetMode="External"/><Relationship Id="rId27" Type="http://schemas.openxmlformats.org/officeDocument/2006/relationships/hyperlink" Target="http://itu.int/en/ITU-T/jca/mv" TargetMode="External"/><Relationship Id="rId30" Type="http://schemas.openxmlformats.org/officeDocument/2006/relationships/image" Target="media/image2.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42</TotalTime>
  <Pages>5</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12373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2025-07-18T14:23:00Z</cp:lastPrinted>
  <dcterms:created xsi:type="dcterms:W3CDTF">2025-07-04T08:57:00Z</dcterms:created>
  <dcterms:modified xsi:type="dcterms:W3CDTF">2025-07-18T14:23:00Z</dcterms:modified>
</cp:coreProperties>
</file>