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31"/>
        <w:tblW w:w="980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44"/>
        <w:gridCol w:w="3418"/>
        <w:gridCol w:w="4819"/>
        <w:gridCol w:w="26"/>
      </w:tblGrid>
      <w:tr w:rsidR="003218E1" w:rsidRPr="003218E1" w14:paraId="2A31247B" w14:textId="77777777" w:rsidTr="003218E1">
        <w:trPr>
          <w:cantSplit/>
        </w:trPr>
        <w:tc>
          <w:tcPr>
            <w:tcW w:w="1544" w:type="dxa"/>
          </w:tcPr>
          <w:p w14:paraId="2C4991EA" w14:textId="77777777" w:rsidR="003218E1" w:rsidRPr="00C258C6" w:rsidRDefault="003218E1" w:rsidP="003218E1">
            <w:pPr>
              <w:spacing w:before="0"/>
              <w:rPr>
                <w:b/>
                <w:bCs/>
                <w:lang w:val="ru-RU"/>
              </w:rPr>
            </w:pPr>
            <w:r w:rsidRPr="00C258C6">
              <w:rPr>
                <w:noProof/>
                <w:lang w:val="ru-RU" w:eastAsia="zh-CN"/>
              </w:rPr>
              <w:drawing>
                <wp:inline distT="0" distB="0" distL="0" distR="0" wp14:anchorId="1CF21561" wp14:editId="0E2AF56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3" w:type="dxa"/>
            <w:gridSpan w:val="3"/>
            <w:vAlign w:val="center"/>
          </w:tcPr>
          <w:p w14:paraId="1D6F86C5" w14:textId="77777777" w:rsidR="003218E1" w:rsidRPr="00C258C6" w:rsidRDefault="003218E1" w:rsidP="003218E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258C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A91E5FE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3218E1" w:rsidRPr="00C258C6" w14:paraId="3AFD4580" w14:textId="77777777" w:rsidTr="003218E1">
        <w:trPr>
          <w:cantSplit/>
          <w:trHeight w:val="618"/>
        </w:trPr>
        <w:tc>
          <w:tcPr>
            <w:tcW w:w="1544" w:type="dxa"/>
          </w:tcPr>
          <w:p w14:paraId="3A51490B" w14:textId="77777777" w:rsidR="003218E1" w:rsidRPr="00C258C6" w:rsidRDefault="003218E1" w:rsidP="003218E1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418" w:type="dxa"/>
          </w:tcPr>
          <w:p w14:paraId="5B6BF3FA" w14:textId="77777777" w:rsidR="003218E1" w:rsidRPr="00C258C6" w:rsidRDefault="003218E1" w:rsidP="003218E1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845" w:type="dxa"/>
            <w:gridSpan w:val="2"/>
          </w:tcPr>
          <w:p w14:paraId="577B9483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8" w:hanging="288"/>
              <w:rPr>
                <w:lang w:val="ru-RU"/>
              </w:rPr>
            </w:pPr>
            <w:r w:rsidRPr="00C258C6">
              <w:rPr>
                <w:lang w:val="ru-RU"/>
              </w:rPr>
              <w:t>Женева, 3 июля 2025 года</w:t>
            </w:r>
          </w:p>
        </w:tc>
      </w:tr>
      <w:tr w:rsidR="003218E1" w:rsidRPr="00C258C6" w14:paraId="3D3009FD" w14:textId="77777777" w:rsidTr="003218E1">
        <w:trPr>
          <w:cantSplit/>
        </w:trPr>
        <w:tc>
          <w:tcPr>
            <w:tcW w:w="1544" w:type="dxa"/>
          </w:tcPr>
          <w:p w14:paraId="21600629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3218E1">
              <w:rPr>
                <w:b/>
                <w:bCs/>
                <w:lang w:val="ru-RU"/>
              </w:rPr>
              <w:t>Осн</w:t>
            </w:r>
            <w:r w:rsidRPr="00C258C6">
              <w:rPr>
                <w:lang w:val="ru-RU"/>
              </w:rPr>
              <w:t>.:</w:t>
            </w:r>
          </w:p>
        </w:tc>
        <w:tc>
          <w:tcPr>
            <w:tcW w:w="3418" w:type="dxa"/>
          </w:tcPr>
          <w:p w14:paraId="7BD91162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b/>
                <w:lang w:val="ru-RU"/>
              </w:rPr>
              <w:t>Циркуляр 60 БСЭ</w:t>
            </w:r>
            <w:r w:rsidRPr="00C258C6">
              <w:rPr>
                <w:b/>
                <w:lang w:val="ru-RU"/>
              </w:rPr>
              <w:br/>
            </w:r>
            <w:r w:rsidRPr="00C258C6">
              <w:rPr>
                <w:bCs/>
                <w:lang w:val="ru-RU"/>
              </w:rPr>
              <w:t>CB</w:t>
            </w:r>
          </w:p>
        </w:tc>
        <w:tc>
          <w:tcPr>
            <w:tcW w:w="4845" w:type="dxa"/>
            <w:gridSpan w:val="2"/>
            <w:vMerge w:val="restart"/>
          </w:tcPr>
          <w:p w14:paraId="517CC92C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C258C6">
              <w:rPr>
                <w:b/>
                <w:bCs/>
                <w:szCs w:val="22"/>
                <w:lang w:val="ru-RU"/>
              </w:rPr>
              <w:t>Кому</w:t>
            </w:r>
            <w:r w:rsidRPr="00C258C6">
              <w:rPr>
                <w:szCs w:val="22"/>
                <w:lang w:val="ru-RU"/>
              </w:rPr>
              <w:t>:</w:t>
            </w:r>
          </w:p>
          <w:p w14:paraId="3B3E7E77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Администрациям Государств – Членов Союза;</w:t>
            </w:r>
          </w:p>
          <w:p w14:paraId="67868121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Членам Сектора МСЭ-Т;</w:t>
            </w:r>
          </w:p>
          <w:p w14:paraId="2E14D064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Государству Палестина (Рез. 99 (Пересм. Дубай, 2018 г.));</w:t>
            </w:r>
          </w:p>
          <w:p w14:paraId="6F8B5A67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Ассоциированным членам МСЭ-Т;</w:t>
            </w:r>
          </w:p>
          <w:p w14:paraId="50180599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Академическим организациям – Членам МСЭ</w:t>
            </w:r>
          </w:p>
          <w:p w14:paraId="449B92E0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b/>
                <w:bCs/>
                <w:lang w:val="ru-RU"/>
              </w:rPr>
              <w:t>Копии</w:t>
            </w:r>
            <w:r w:rsidRPr="00C258C6">
              <w:rPr>
                <w:lang w:val="ru-RU"/>
              </w:rPr>
              <w:t>:</w:t>
            </w:r>
          </w:p>
          <w:p w14:paraId="1F5E827B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Председателям и заместителям председателей исследовательских комиссий МСЭ-Т;</w:t>
            </w:r>
          </w:p>
          <w:p w14:paraId="07C059C4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Директору Бюро развития электросвязи;</w:t>
            </w:r>
          </w:p>
          <w:p w14:paraId="794066B4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Директору Бюро радиосвязи;</w:t>
            </w:r>
          </w:p>
          <w:p w14:paraId="36B0F191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58C6">
              <w:rPr>
                <w:lang w:val="ru-RU"/>
              </w:rPr>
              <w:t>–</w:t>
            </w:r>
            <w:r w:rsidRPr="00C258C6">
              <w:rPr>
                <w:lang w:val="ru-RU"/>
              </w:rPr>
              <w:tab/>
              <w:t>Руководителям региональных отделений МСЭ</w:t>
            </w:r>
          </w:p>
        </w:tc>
      </w:tr>
      <w:tr w:rsidR="003218E1" w:rsidRPr="00C258C6" w14:paraId="23567D79" w14:textId="77777777" w:rsidTr="003218E1">
        <w:trPr>
          <w:cantSplit/>
        </w:trPr>
        <w:tc>
          <w:tcPr>
            <w:tcW w:w="1544" w:type="dxa"/>
          </w:tcPr>
          <w:p w14:paraId="76FBFF3B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lang w:val="ru-RU"/>
              </w:rPr>
              <w:t>Тел.:</w:t>
            </w:r>
          </w:p>
        </w:tc>
        <w:tc>
          <w:tcPr>
            <w:tcW w:w="3418" w:type="dxa"/>
          </w:tcPr>
          <w:p w14:paraId="3C7B6FD9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color w:val="000000"/>
                <w:lang w:val="ru-RU"/>
              </w:rPr>
              <w:t>+41 22 730 6301</w:t>
            </w:r>
          </w:p>
        </w:tc>
        <w:tc>
          <w:tcPr>
            <w:tcW w:w="4845" w:type="dxa"/>
            <w:gridSpan w:val="2"/>
            <w:vMerge/>
          </w:tcPr>
          <w:p w14:paraId="667EA395" w14:textId="77777777" w:rsidR="003218E1" w:rsidRPr="00C258C6" w:rsidRDefault="003218E1" w:rsidP="003218E1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3218E1" w:rsidRPr="00C258C6" w14:paraId="0EEF9ED5" w14:textId="77777777" w:rsidTr="003218E1">
        <w:trPr>
          <w:cantSplit/>
        </w:trPr>
        <w:tc>
          <w:tcPr>
            <w:tcW w:w="1544" w:type="dxa"/>
          </w:tcPr>
          <w:p w14:paraId="4818457A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lang w:val="ru-RU"/>
              </w:rPr>
              <w:t>Факс:</w:t>
            </w:r>
          </w:p>
        </w:tc>
        <w:tc>
          <w:tcPr>
            <w:tcW w:w="3418" w:type="dxa"/>
          </w:tcPr>
          <w:p w14:paraId="662E2DD6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color w:val="000000"/>
                <w:lang w:val="ru-RU"/>
              </w:rPr>
              <w:t>+41 22 730 5853</w:t>
            </w:r>
          </w:p>
        </w:tc>
        <w:tc>
          <w:tcPr>
            <w:tcW w:w="4845" w:type="dxa"/>
            <w:gridSpan w:val="2"/>
            <w:vMerge/>
          </w:tcPr>
          <w:p w14:paraId="14A166C0" w14:textId="77777777" w:rsidR="003218E1" w:rsidRPr="00C258C6" w:rsidRDefault="003218E1" w:rsidP="003218E1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3218E1" w:rsidRPr="00C258C6" w14:paraId="4D730C48" w14:textId="77777777" w:rsidTr="003218E1">
        <w:trPr>
          <w:cantSplit/>
        </w:trPr>
        <w:tc>
          <w:tcPr>
            <w:tcW w:w="1544" w:type="dxa"/>
          </w:tcPr>
          <w:p w14:paraId="19AD0502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r w:rsidRPr="00C258C6">
              <w:rPr>
                <w:lang w:val="ru-RU"/>
              </w:rPr>
              <w:t>Эл. почта:</w:t>
            </w:r>
          </w:p>
        </w:tc>
        <w:tc>
          <w:tcPr>
            <w:tcW w:w="3418" w:type="dxa"/>
          </w:tcPr>
          <w:p w14:paraId="1DA5D6F9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  <w:hyperlink r:id="rId8" w:history="1">
              <w:r w:rsidRPr="00C258C6">
                <w:rPr>
                  <w:rStyle w:val="Hyperlink"/>
                  <w:rFonts w:cstheme="minorHAnsi"/>
                  <w:lang w:val="ru-RU"/>
                </w:rPr>
                <w:t>tsbjcamv@itu.int</w:t>
              </w:r>
            </w:hyperlink>
          </w:p>
        </w:tc>
        <w:tc>
          <w:tcPr>
            <w:tcW w:w="4845" w:type="dxa"/>
            <w:gridSpan w:val="2"/>
            <w:vMerge/>
          </w:tcPr>
          <w:p w14:paraId="7E34DF9A" w14:textId="77777777" w:rsidR="003218E1" w:rsidRPr="00C258C6" w:rsidRDefault="003218E1" w:rsidP="003218E1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3218E1" w:rsidRPr="00C258C6" w14:paraId="76D9229F" w14:textId="77777777" w:rsidTr="003218E1">
        <w:trPr>
          <w:cantSplit/>
          <w:trHeight w:val="2535"/>
        </w:trPr>
        <w:tc>
          <w:tcPr>
            <w:tcW w:w="1544" w:type="dxa"/>
          </w:tcPr>
          <w:p w14:paraId="51AB1161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</w:p>
        </w:tc>
        <w:tc>
          <w:tcPr>
            <w:tcW w:w="3418" w:type="dxa"/>
          </w:tcPr>
          <w:p w14:paraId="2AC68D4E" w14:textId="77777777" w:rsidR="003218E1" w:rsidRPr="00C258C6" w:rsidRDefault="003218E1" w:rsidP="003218E1">
            <w:pPr>
              <w:spacing w:before="40"/>
              <w:rPr>
                <w:lang w:val="ru-RU"/>
              </w:rPr>
            </w:pPr>
          </w:p>
        </w:tc>
        <w:tc>
          <w:tcPr>
            <w:tcW w:w="4845" w:type="dxa"/>
            <w:gridSpan w:val="2"/>
            <w:vMerge/>
          </w:tcPr>
          <w:p w14:paraId="1E27C5BA" w14:textId="77777777" w:rsidR="003218E1" w:rsidRPr="00C258C6" w:rsidRDefault="003218E1" w:rsidP="003218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218E1" w:rsidRPr="003218E1" w14:paraId="53D13BDB" w14:textId="77777777" w:rsidTr="003218E1">
        <w:trPr>
          <w:gridAfter w:val="1"/>
          <w:wAfter w:w="26" w:type="dxa"/>
          <w:cantSplit/>
        </w:trPr>
        <w:tc>
          <w:tcPr>
            <w:tcW w:w="1544" w:type="dxa"/>
          </w:tcPr>
          <w:p w14:paraId="0312147E" w14:textId="77777777" w:rsidR="003218E1" w:rsidRPr="00C258C6" w:rsidRDefault="003218E1" w:rsidP="003218E1">
            <w:pPr>
              <w:spacing w:before="0"/>
              <w:rPr>
                <w:b/>
                <w:bCs/>
                <w:lang w:val="ru-RU"/>
              </w:rPr>
            </w:pPr>
            <w:r w:rsidRPr="00C258C6">
              <w:rPr>
                <w:b/>
                <w:bCs/>
                <w:lang w:val="ru-RU"/>
              </w:rPr>
              <w:t>Предмет</w:t>
            </w:r>
            <w:r w:rsidRPr="00C258C6">
              <w:rPr>
                <w:lang w:val="ru-RU"/>
              </w:rPr>
              <w:t>:</w:t>
            </w:r>
          </w:p>
        </w:tc>
        <w:tc>
          <w:tcPr>
            <w:tcW w:w="8237" w:type="dxa"/>
            <w:gridSpan w:val="2"/>
          </w:tcPr>
          <w:p w14:paraId="67A8DA72" w14:textId="77777777" w:rsidR="003218E1" w:rsidRPr="00C258C6" w:rsidRDefault="003218E1" w:rsidP="003218E1">
            <w:pPr>
              <w:tabs>
                <w:tab w:val="clear" w:pos="794"/>
                <w:tab w:val="left" w:pos="350"/>
              </w:tabs>
              <w:spacing w:before="0"/>
              <w:rPr>
                <w:b/>
                <w:bCs/>
                <w:lang w:val="ru-RU"/>
              </w:rPr>
            </w:pPr>
            <w:r w:rsidRPr="00C258C6">
              <w:rPr>
                <w:b/>
                <w:bCs/>
                <w:lang w:val="ru-RU"/>
              </w:rPr>
              <w:t>Создание Группы по совместной координационной деятельности по стандартизации метавселенной (JCA-MV) и ее первое собрание (Женева,</w:t>
            </w:r>
            <w:r>
              <w:rPr>
                <w:b/>
                <w:bCs/>
                <w:lang w:val="ru-RU"/>
              </w:rPr>
              <w:t> </w:t>
            </w:r>
            <w:r w:rsidRPr="00C258C6">
              <w:rPr>
                <w:b/>
                <w:bCs/>
                <w:lang w:val="ru-RU"/>
              </w:rPr>
              <w:t>9 октября 2025 г.)</w:t>
            </w:r>
          </w:p>
        </w:tc>
      </w:tr>
    </w:tbl>
    <w:p w14:paraId="38C1FAE1" w14:textId="77777777" w:rsidR="001629DC" w:rsidRPr="00C258C6" w:rsidRDefault="001629DC" w:rsidP="003218E1">
      <w:pPr>
        <w:rPr>
          <w:lang w:val="ru-RU"/>
        </w:rPr>
      </w:pPr>
      <w:r w:rsidRPr="00C258C6">
        <w:rPr>
          <w:lang w:val="ru-RU"/>
        </w:rPr>
        <w:t>Уважаемая госпожа,</w:t>
      </w:r>
      <w:r w:rsidRPr="00C258C6">
        <w:rPr>
          <w:lang w:val="ru-RU"/>
        </w:rPr>
        <w:br/>
        <w:t>уважаемый господин,</w:t>
      </w:r>
    </w:p>
    <w:p w14:paraId="313A2E10" w14:textId="43532293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1</w:t>
      </w:r>
      <w:r w:rsidRPr="00C258C6">
        <w:rPr>
          <w:lang w:val="ru-RU"/>
        </w:rPr>
        <w:tab/>
        <w:t>В соответствии с соглашением, достигнутым Консультативной группой по стандартизации электросвязи (КГСЭ) Международного союза электросвязи (МСЭ) на ее собрании, состоявшемся 26</w:t>
      </w:r>
      <w:r w:rsidR="00863880" w:rsidRPr="00C258C6">
        <w:rPr>
          <w:lang w:val="ru-RU"/>
        </w:rPr>
        <w:t>−</w:t>
      </w:r>
      <w:r w:rsidRPr="00C258C6">
        <w:rPr>
          <w:lang w:val="ru-RU"/>
        </w:rPr>
        <w:t xml:space="preserve">30 мая 2025 года, имею честь объявить о создании </w:t>
      </w:r>
      <w:hyperlink r:id="rId9" w:history="1">
        <w:r w:rsidR="00DA49B8">
          <w:rPr>
            <w:rStyle w:val="Hyperlink"/>
            <w:lang w:val="ru-RU"/>
          </w:rPr>
          <w:t>Группы по совместной координационной деятельности по стандартизации метавселенной (JCA-MV)</w:t>
        </w:r>
      </w:hyperlink>
      <w:r w:rsidRPr="00C258C6">
        <w:rPr>
          <w:lang w:val="ru-RU"/>
        </w:rPr>
        <w:t>.</w:t>
      </w:r>
      <w:hyperlink r:id="rId10" w:history="1"/>
    </w:p>
    <w:p w14:paraId="2005E0C0" w14:textId="72295CE7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2</w:t>
      </w:r>
      <w:r w:rsidRPr="00C258C6">
        <w:rPr>
          <w:lang w:val="ru-RU"/>
        </w:rPr>
        <w:tab/>
        <w:t>В сферу деятельности JCA-MV входит координация в рамках МСЭ-Т работы по</w:t>
      </w:r>
      <w:r w:rsidR="00863880" w:rsidRPr="00C258C6">
        <w:rPr>
          <w:lang w:val="ru-RU"/>
        </w:rPr>
        <w:t> </w:t>
      </w:r>
      <w:r w:rsidRPr="00C258C6">
        <w:rPr>
          <w:lang w:val="ru-RU"/>
        </w:rPr>
        <w:t>стандартизации, связанной с метавселенной, которая ведется Сектором стандартизации электросвязи МСЭ (МСЭ-T), а также содействие сотрудничеству между всеми соответствующими исследовательскими комиссиями. Помимо этого, Группа выступает в качестве главного координационного центра для взаимодействия с внешними организациями по разработке стандартов, консорциумами и форумами, работающими над стандартами, связанными с</w:t>
      </w:r>
      <w:r w:rsidR="00863880" w:rsidRPr="00C258C6">
        <w:rPr>
          <w:lang w:val="ru-RU"/>
        </w:rPr>
        <w:t> </w:t>
      </w:r>
      <w:r w:rsidRPr="00C258C6">
        <w:rPr>
          <w:lang w:val="ru-RU"/>
        </w:rPr>
        <w:t xml:space="preserve">метавселенной, и содействия эффективной двусторонней связи с такими органами. Круг ведения представлен в </w:t>
      </w:r>
      <w:r w:rsidRPr="00C258C6">
        <w:rPr>
          <w:b/>
          <w:bCs/>
          <w:lang w:val="ru-RU"/>
        </w:rPr>
        <w:t>Приложении A</w:t>
      </w:r>
      <w:r w:rsidRPr="00C258C6">
        <w:rPr>
          <w:lang w:val="ru-RU"/>
        </w:rPr>
        <w:t>.</w:t>
      </w:r>
    </w:p>
    <w:p w14:paraId="1C8BF46D" w14:textId="77777777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3</w:t>
      </w:r>
      <w:r w:rsidRPr="00C258C6">
        <w:rPr>
          <w:lang w:val="ru-RU"/>
        </w:rPr>
        <w:tab/>
        <w:t>КГСЭ назначила сопредседателями JCA-MV г-на Муата Альрумайха (Комиссия по связи, космосу и технологиям (CST), Королевство Саудовская Аравия) и г-на Син-Гак Кана (Научно-исследовательский институт электроники и электросвязи (ETRI), Республика Корея).</w:t>
      </w:r>
    </w:p>
    <w:p w14:paraId="402CC8CC" w14:textId="77777777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4</w:t>
      </w:r>
      <w:r w:rsidRPr="00C258C6">
        <w:rPr>
          <w:lang w:val="ru-RU"/>
        </w:rPr>
        <w:tab/>
        <w:t>JCA-ML открыта для Членов МСЭ-Т. Помимо этого, в ее работе также могут принять участие приглашенные эксперты и назначенные представители других соответствующих межправительственных организаций, организаций по разработке стандартов и форумов.</w:t>
      </w:r>
    </w:p>
    <w:p w14:paraId="112013BA" w14:textId="156E5E45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5</w:t>
      </w:r>
      <w:r w:rsidRPr="00C258C6">
        <w:rPr>
          <w:lang w:val="ru-RU"/>
        </w:rPr>
        <w:tab/>
        <w:t xml:space="preserve">Первое собрание JCA-MV состоится в Женеве </w:t>
      </w:r>
      <w:r w:rsidRPr="00DA49B8">
        <w:rPr>
          <w:b/>
          <w:bCs/>
          <w:lang w:val="ru-RU"/>
        </w:rPr>
        <w:t>9 октября 2025 года</w:t>
      </w:r>
      <w:r w:rsidRPr="00C258C6">
        <w:rPr>
          <w:lang w:val="ru-RU"/>
        </w:rPr>
        <w:t xml:space="preserve"> с </w:t>
      </w:r>
      <w:r w:rsidRPr="00DA49B8">
        <w:rPr>
          <w:b/>
          <w:bCs/>
          <w:lang w:val="ru-RU"/>
        </w:rPr>
        <w:t>11 час</w:t>
      </w:r>
      <w:r w:rsidRPr="00DA49B8">
        <w:rPr>
          <w:lang w:val="ru-RU"/>
        </w:rPr>
        <w:t>.</w:t>
      </w:r>
      <w:r w:rsidRPr="00DA49B8">
        <w:rPr>
          <w:b/>
          <w:bCs/>
          <w:lang w:val="ru-RU"/>
        </w:rPr>
        <w:t xml:space="preserve"> 15 мин</w:t>
      </w:r>
      <w:r w:rsidRPr="00DA49B8">
        <w:rPr>
          <w:lang w:val="ru-RU"/>
        </w:rPr>
        <w:t>.</w:t>
      </w:r>
      <w:r w:rsidRPr="00C258C6">
        <w:rPr>
          <w:lang w:val="ru-RU"/>
        </w:rPr>
        <w:t xml:space="preserve"> до</w:t>
      </w:r>
      <w:r w:rsidR="00863880" w:rsidRPr="00C258C6">
        <w:rPr>
          <w:lang w:val="ru-RU"/>
        </w:rPr>
        <w:t> </w:t>
      </w:r>
      <w:r w:rsidRPr="00DA49B8">
        <w:rPr>
          <w:b/>
          <w:bCs/>
          <w:lang w:val="ru-RU"/>
        </w:rPr>
        <w:t>13</w:t>
      </w:r>
      <w:r w:rsidR="00863880" w:rsidRPr="00DA49B8">
        <w:rPr>
          <w:b/>
          <w:bCs/>
          <w:lang w:val="ru-RU"/>
        </w:rPr>
        <w:t> </w:t>
      </w:r>
      <w:r w:rsidRPr="00DA49B8">
        <w:rPr>
          <w:b/>
          <w:bCs/>
          <w:lang w:val="ru-RU"/>
        </w:rPr>
        <w:t>час</w:t>
      </w:r>
      <w:r w:rsidRPr="00C258C6">
        <w:rPr>
          <w:lang w:val="ru-RU"/>
        </w:rPr>
        <w:t>.</w:t>
      </w:r>
      <w:r w:rsidR="00863880" w:rsidRPr="00C258C6">
        <w:rPr>
          <w:lang w:val="ru-RU"/>
        </w:rPr>
        <w:t> </w:t>
      </w:r>
      <w:r w:rsidRPr="00DA49B8">
        <w:rPr>
          <w:b/>
          <w:bCs/>
          <w:lang w:val="ru-RU"/>
        </w:rPr>
        <w:t>15 мин</w:t>
      </w:r>
      <w:r w:rsidRPr="00C258C6">
        <w:rPr>
          <w:lang w:val="ru-RU"/>
        </w:rPr>
        <w:t xml:space="preserve">. </w:t>
      </w:r>
      <w:r w:rsidRPr="00DA49B8">
        <w:rPr>
          <w:b/>
          <w:bCs/>
          <w:lang w:val="ru-RU"/>
        </w:rPr>
        <w:t>по женевскому времени</w:t>
      </w:r>
      <w:r w:rsidRPr="00C258C6">
        <w:rPr>
          <w:lang w:val="ru-RU"/>
        </w:rPr>
        <w:t xml:space="preserve"> (совмещено по времени и месту с собранием </w:t>
      </w:r>
      <w:hyperlink r:id="rId11" w:history="1">
        <w:r w:rsidRPr="00C258C6">
          <w:rPr>
            <w:rStyle w:val="Hyperlink"/>
            <w:lang w:val="ru-RU"/>
          </w:rPr>
          <w:t>21</w:t>
        </w:r>
        <w:r w:rsidR="00863880" w:rsidRPr="00C258C6">
          <w:rPr>
            <w:rStyle w:val="Hyperlink"/>
            <w:rFonts w:ascii="Cambria Math" w:hAnsi="Cambria Math"/>
            <w:lang w:val="ru-RU"/>
          </w:rPr>
          <w:t>‑</w:t>
        </w:r>
        <w:r w:rsidRPr="00C258C6">
          <w:rPr>
            <w:rStyle w:val="Hyperlink"/>
            <w:lang w:val="ru-RU"/>
          </w:rPr>
          <w:t>й</w:t>
        </w:r>
        <w:r w:rsidR="00863880" w:rsidRPr="00C258C6">
          <w:rPr>
            <w:rStyle w:val="Hyperlink"/>
            <w:lang w:val="ru-RU"/>
          </w:rPr>
          <w:t> </w:t>
        </w:r>
        <w:r w:rsidRPr="00C258C6">
          <w:rPr>
            <w:rStyle w:val="Hyperlink"/>
            <w:lang w:val="ru-RU"/>
          </w:rPr>
          <w:t>Исследовательской комиссии МСЭ-Т</w:t>
        </w:r>
      </w:hyperlink>
      <w:r w:rsidRPr="00C258C6">
        <w:rPr>
          <w:lang w:val="ru-RU"/>
        </w:rPr>
        <w:t xml:space="preserve">, которое состоится 6–17 октября 2025 г.). Регистрация является обязательной и должна быть выполнена с использованием онлайновой регистрационной формы, размещенной на </w:t>
      </w:r>
      <w:hyperlink r:id="rId12" w:history="1">
        <w:r w:rsidRPr="00C258C6">
          <w:rPr>
            <w:rStyle w:val="Hyperlink"/>
            <w:lang w:val="ru-RU"/>
          </w:rPr>
          <w:t>домашней странице JCA-MV</w:t>
        </w:r>
      </w:hyperlink>
      <w:r w:rsidRPr="00C258C6">
        <w:rPr>
          <w:lang w:val="ru-RU"/>
        </w:rPr>
        <w:t>.</w:t>
      </w:r>
      <w:hyperlink r:id="rId13" w:history="1"/>
      <w:hyperlink r:id="rId14" w:history="1"/>
    </w:p>
    <w:p w14:paraId="16A18357" w14:textId="3D59B8C6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 xml:space="preserve">Просьба иметь в виду, что для дистанционного участия также требуется регистрация. Для получения помощи вы можете связаться с Секретариатом по адресу электронной почты: </w:t>
      </w:r>
      <w:hyperlink r:id="rId15" w:history="1">
        <w:r w:rsidRPr="00C258C6">
          <w:rPr>
            <w:rStyle w:val="Hyperlink"/>
            <w:lang w:val="ru-RU"/>
          </w:rPr>
          <w:t>tsbjcamv@itu.int</w:t>
        </w:r>
      </w:hyperlink>
      <w:r w:rsidRPr="00C258C6">
        <w:rPr>
          <w:lang w:val="ru-RU"/>
        </w:rPr>
        <w:t>.</w:t>
      </w:r>
      <w:hyperlink r:id="rId16" w:history="1"/>
    </w:p>
    <w:p w14:paraId="4D385FFF" w14:textId="77777777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lastRenderedPageBreak/>
        <w:t>6</w:t>
      </w:r>
      <w:r w:rsidRPr="00C258C6">
        <w:rPr>
          <w:lang w:val="ru-RU"/>
        </w:rPr>
        <w:tab/>
        <w:t>Собрание проводится только на английском языке.</w:t>
      </w:r>
    </w:p>
    <w:p w14:paraId="06C786BE" w14:textId="53096821" w:rsidR="004D5E5A" w:rsidRPr="00C258C6" w:rsidRDefault="004D5E5A" w:rsidP="004D5E5A">
      <w:pPr>
        <w:rPr>
          <w:szCs w:val="22"/>
          <w:lang w:val="ru-RU"/>
        </w:rPr>
      </w:pPr>
      <w:r w:rsidRPr="00C258C6">
        <w:rPr>
          <w:lang w:val="ru-RU"/>
        </w:rPr>
        <w:t>7</w:t>
      </w:r>
      <w:r w:rsidRPr="00C258C6">
        <w:rPr>
          <w:lang w:val="ru-RU"/>
        </w:rPr>
        <w:tab/>
        <w:t xml:space="preserve">Для JCA-MV была создана отдельная веб-страница, которая доступна по адресу: </w:t>
      </w:r>
      <w:hyperlink r:id="rId17" w:history="1">
        <w:r w:rsidRPr="00C258C6">
          <w:rPr>
            <w:rStyle w:val="Hyperlink"/>
            <w:lang w:val="ru-RU"/>
          </w:rPr>
          <w:t>http://itu.int/en/ITU-T/jca/mv</w:t>
        </w:r>
      </w:hyperlink>
      <w:r w:rsidRPr="00C258C6">
        <w:rPr>
          <w:lang w:val="ru-RU"/>
        </w:rPr>
        <w:t>. Информация о ее первом собрании, включая подробную информацию о</w:t>
      </w:r>
      <w:r w:rsidR="00863880" w:rsidRPr="00C258C6">
        <w:rPr>
          <w:lang w:val="ru-RU"/>
        </w:rPr>
        <w:t> </w:t>
      </w:r>
      <w:r w:rsidRPr="00C258C6">
        <w:rPr>
          <w:lang w:val="ru-RU"/>
        </w:rPr>
        <w:t xml:space="preserve">регистрации, проект повестки дня и документы собрания, будет размещена на </w:t>
      </w:r>
      <w:hyperlink r:id="rId18" w:history="1">
        <w:r w:rsidRPr="00C258C6">
          <w:rPr>
            <w:rStyle w:val="Hyperlink"/>
            <w:lang w:val="ru-RU"/>
          </w:rPr>
          <w:t>домашней странице JCA-MV</w:t>
        </w:r>
      </w:hyperlink>
      <w:r w:rsidRPr="00C258C6">
        <w:rPr>
          <w:lang w:val="ru-RU"/>
        </w:rPr>
        <w:t xml:space="preserve">. Помимо этого, в </w:t>
      </w:r>
      <w:r w:rsidRPr="00C258C6">
        <w:rPr>
          <w:b/>
          <w:bCs/>
          <w:lang w:val="ru-RU"/>
        </w:rPr>
        <w:t>Приложении B</w:t>
      </w:r>
      <w:r w:rsidRPr="00C258C6">
        <w:rPr>
          <w:lang w:val="ru-RU"/>
        </w:rPr>
        <w:t>, ниже, приведен проект повестки дня собрания, подготовленный сопредседателями JCA-MV г-ном Муатом Альрумайхом и г-ном Син-Гак Кангом.</w:t>
      </w:r>
      <w:hyperlink r:id="rId19" w:history="1"/>
      <w:hyperlink r:id="rId20" w:history="1"/>
    </w:p>
    <w:p w14:paraId="2F88D6FB" w14:textId="0700E461" w:rsidR="004D5E5A" w:rsidRPr="00C258C6" w:rsidRDefault="004D5E5A" w:rsidP="004D5E5A">
      <w:pPr>
        <w:rPr>
          <w:b/>
          <w:bCs/>
          <w:szCs w:val="22"/>
          <w:lang w:val="ru-RU"/>
        </w:rPr>
      </w:pPr>
      <w:r w:rsidRPr="00C258C6">
        <w:rPr>
          <w:lang w:val="ru-RU"/>
        </w:rPr>
        <w:t>8</w:t>
      </w:r>
      <w:r w:rsidRPr="00C258C6">
        <w:rPr>
          <w:lang w:val="ru-RU"/>
        </w:rPr>
        <w:tab/>
        <w:t>Участникам предлагается представлять свои вклады для JCA-MV по электронной почте по</w:t>
      </w:r>
      <w:r w:rsidR="00DA49B8">
        <w:rPr>
          <w:lang w:val="ru-RU"/>
        </w:rPr>
        <w:t> </w:t>
      </w:r>
      <w:r w:rsidRPr="00C258C6">
        <w:rPr>
          <w:lang w:val="ru-RU"/>
        </w:rPr>
        <w:t xml:space="preserve">адресу: </w:t>
      </w:r>
      <w:hyperlink r:id="rId21" w:history="1">
        <w:r w:rsidRPr="00C258C6">
          <w:rPr>
            <w:rStyle w:val="Hyperlink"/>
            <w:lang w:val="ru-RU"/>
          </w:rPr>
          <w:t>tsbjcamv@itu.int</w:t>
        </w:r>
      </w:hyperlink>
      <w:r w:rsidRPr="00C258C6">
        <w:rPr>
          <w:lang w:val="ru-RU"/>
        </w:rPr>
        <w:t xml:space="preserve">, используя шаблон документов, доступный на </w:t>
      </w:r>
      <w:hyperlink r:id="rId22" w:history="1">
        <w:r w:rsidRPr="00C258C6">
          <w:rPr>
            <w:rStyle w:val="Hyperlink"/>
            <w:lang w:val="ru-RU"/>
          </w:rPr>
          <w:t>домашней странице JCA</w:t>
        </w:r>
        <w:r w:rsidR="00DA49B8">
          <w:rPr>
            <w:rStyle w:val="Hyperlink"/>
            <w:rFonts w:ascii="Cambria Math" w:hAnsi="Cambria Math"/>
            <w:lang w:val="ru-RU"/>
          </w:rPr>
          <w:t>‑</w:t>
        </w:r>
        <w:r w:rsidRPr="00C258C6">
          <w:rPr>
            <w:rStyle w:val="Hyperlink"/>
            <w:lang w:val="ru-RU"/>
          </w:rPr>
          <w:t>MV</w:t>
        </w:r>
      </w:hyperlink>
      <w:r w:rsidRPr="00C258C6">
        <w:rPr>
          <w:lang w:val="ru-RU"/>
        </w:rPr>
        <w:t xml:space="preserve">. Для того чтобы обеспечить достаточное время для подготовки данного собрания, просим участников представить свои вклады не позднее </w:t>
      </w:r>
      <w:r w:rsidRPr="00DA49B8">
        <w:rPr>
          <w:b/>
          <w:bCs/>
          <w:lang w:val="ru-RU"/>
        </w:rPr>
        <w:t>30 сентября 2025 года</w:t>
      </w:r>
      <w:r w:rsidRPr="00C258C6">
        <w:rPr>
          <w:lang w:val="ru-RU"/>
        </w:rPr>
        <w:t>.</w:t>
      </w:r>
      <w:hyperlink r:id="rId23" w:history="1"/>
      <w:hyperlink r:id="rId24">
        <w:hyperlink r:id="rId25" w:history="1"/>
      </w:hyperlink>
    </w:p>
    <w:p w14:paraId="4F138097" w14:textId="77777777" w:rsidR="00A05945" w:rsidRPr="00C258C6" w:rsidRDefault="00A05945" w:rsidP="00863880">
      <w:pPr>
        <w:keepNext/>
        <w:keepLines/>
        <w:spacing w:before="240" w:after="80"/>
        <w:rPr>
          <w:rFonts w:cstheme="minorHAnsi"/>
          <w:lang w:val="ru-RU"/>
        </w:rPr>
      </w:pPr>
      <w:r w:rsidRPr="00C258C6">
        <w:rPr>
          <w:rFonts w:cstheme="minorHAnsi"/>
          <w:b/>
          <w:bCs/>
          <w:lang w:val="ru-RU"/>
        </w:rPr>
        <w:t>Основные предельные сроки</w:t>
      </w:r>
      <w:r w:rsidRPr="00C258C6">
        <w:rPr>
          <w:rFonts w:cstheme="minorHAnsi"/>
          <w:lang w:val="ru-RU"/>
        </w:rPr>
        <w:t>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63"/>
      </w:tblGrid>
      <w:tr w:rsidR="00CA3FF4" w:rsidRPr="003218E1" w14:paraId="0BB0F2AF" w14:textId="77777777" w:rsidTr="00A04F1C">
        <w:tc>
          <w:tcPr>
            <w:tcW w:w="2263" w:type="dxa"/>
            <w:shd w:val="clear" w:color="auto" w:fill="auto"/>
          </w:tcPr>
          <w:p w14:paraId="3A38F560" w14:textId="22529ABD" w:rsidR="00CA3FF4" w:rsidRPr="00C258C6" w:rsidRDefault="00CA3FF4" w:rsidP="00CA3FF4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C258C6">
              <w:rPr>
                <w:rFonts w:cstheme="minorHAnsi"/>
                <w:sz w:val="20"/>
                <w:lang w:val="ru-RU"/>
              </w:rPr>
              <w:t>30 сентября 2025 г.</w:t>
            </w:r>
          </w:p>
        </w:tc>
        <w:tc>
          <w:tcPr>
            <w:tcW w:w="7363" w:type="dxa"/>
            <w:shd w:val="clear" w:color="auto" w:fill="auto"/>
          </w:tcPr>
          <w:p w14:paraId="0CED6E66" w14:textId="6355733A" w:rsidR="00CA3FF4" w:rsidRPr="00C258C6" w:rsidRDefault="00CA3FF4" w:rsidP="00CA3FF4">
            <w:pPr>
              <w:pStyle w:val="TableText"/>
              <w:keepNext/>
              <w:keepLines/>
              <w:tabs>
                <w:tab w:val="clear" w:pos="284"/>
              </w:tabs>
              <w:ind w:left="318" w:hanging="353"/>
              <w:rPr>
                <w:rFonts w:cstheme="minorHAnsi"/>
                <w:sz w:val="20"/>
                <w:lang w:val="ru-RU"/>
              </w:rPr>
            </w:pPr>
            <w:r w:rsidRPr="00C258C6">
              <w:rPr>
                <w:color w:val="000000"/>
                <w:sz w:val="20"/>
                <w:lang w:val="ru-RU"/>
              </w:rPr>
              <w:t>−</w:t>
            </w:r>
            <w:r w:rsidRPr="00C258C6">
              <w:rPr>
                <w:color w:val="000000"/>
                <w:sz w:val="20"/>
                <w:lang w:val="ru-RU"/>
              </w:rPr>
              <w:tab/>
              <w:t xml:space="preserve">Представление вкладов для JCA-MV по электронной почте по адресу: </w:t>
            </w:r>
            <w:hyperlink r:id="rId26" w:history="1">
              <w:r w:rsidRPr="00C258C6">
                <w:rPr>
                  <w:rStyle w:val="Hyperlink"/>
                  <w:sz w:val="20"/>
                  <w:lang w:val="ru-RU"/>
                </w:rPr>
                <w:t>tsbjcamv@itu.int</w:t>
              </w:r>
            </w:hyperlink>
            <w:hyperlink r:id="rId27" w:history="1"/>
          </w:p>
        </w:tc>
      </w:tr>
      <w:tr w:rsidR="00CA3FF4" w:rsidRPr="003218E1" w14:paraId="3FA0B678" w14:textId="77777777" w:rsidTr="00A04F1C">
        <w:tc>
          <w:tcPr>
            <w:tcW w:w="2263" w:type="dxa"/>
            <w:shd w:val="clear" w:color="auto" w:fill="auto"/>
          </w:tcPr>
          <w:p w14:paraId="1E5ADCD2" w14:textId="7E7E497F" w:rsidR="00CA3FF4" w:rsidRPr="00C258C6" w:rsidRDefault="00CA3FF4" w:rsidP="00CA3FF4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C258C6">
              <w:rPr>
                <w:rFonts w:cstheme="minorHAnsi"/>
                <w:sz w:val="20"/>
                <w:lang w:val="ru-RU"/>
              </w:rPr>
              <w:t>7 октября 2025 г.</w:t>
            </w:r>
          </w:p>
        </w:tc>
        <w:tc>
          <w:tcPr>
            <w:tcW w:w="7363" w:type="dxa"/>
            <w:shd w:val="clear" w:color="auto" w:fill="auto"/>
          </w:tcPr>
          <w:p w14:paraId="1ACCD8AA" w14:textId="7731F55D" w:rsidR="00CA3FF4" w:rsidRPr="00C258C6" w:rsidRDefault="00CA3FF4" w:rsidP="00CA3FF4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53"/>
              <w:rPr>
                <w:rFonts w:cstheme="minorHAnsi"/>
                <w:sz w:val="20"/>
                <w:lang w:val="ru-RU"/>
              </w:rPr>
            </w:pPr>
            <w:r w:rsidRPr="00C258C6">
              <w:rPr>
                <w:color w:val="000000"/>
                <w:sz w:val="20"/>
                <w:lang w:val="ru-RU"/>
              </w:rPr>
              <w:t>−</w:t>
            </w:r>
            <w:r w:rsidRPr="00C258C6">
              <w:rPr>
                <w:color w:val="000000"/>
                <w:sz w:val="20"/>
                <w:lang w:val="ru-RU"/>
              </w:rPr>
              <w:tab/>
              <w:t>Предварительная регистрация (через онлайновую форму регистрации на </w:t>
            </w:r>
            <w:hyperlink r:id="rId28" w:history="1">
              <w:r w:rsidRPr="00C258C6">
                <w:rPr>
                  <w:rStyle w:val="Hyperlink"/>
                  <w:sz w:val="20"/>
                  <w:lang w:val="ru-RU"/>
                </w:rPr>
                <w:t>домашней странице JCA-MV</w:t>
              </w:r>
            </w:hyperlink>
            <w:r w:rsidRPr="00C258C6">
              <w:rPr>
                <w:color w:val="000000"/>
                <w:sz w:val="20"/>
                <w:lang w:val="ru-RU"/>
              </w:rPr>
              <w:t>)</w:t>
            </w:r>
            <w:hyperlink r:id="rId29">
              <w:hyperlink r:id="rId30" w:history="1"/>
            </w:hyperlink>
          </w:p>
        </w:tc>
      </w:tr>
    </w:tbl>
    <w:p w14:paraId="24117367" w14:textId="743EDB39" w:rsidR="00A05945" w:rsidRPr="00C258C6" w:rsidRDefault="00EC6375" w:rsidP="00A05945">
      <w:pPr>
        <w:rPr>
          <w:rFonts w:cstheme="minorHAnsi"/>
          <w:lang w:val="ru-RU"/>
        </w:rPr>
      </w:pPr>
      <w:r w:rsidRPr="00C258C6">
        <w:rPr>
          <w:rFonts w:cstheme="minorHAnsi"/>
          <w:lang w:val="ru-RU"/>
        </w:rPr>
        <w:t>Желаю вам плодотворного и приятного начала работы</w:t>
      </w:r>
      <w:r w:rsidR="00A05945" w:rsidRPr="00C258C6">
        <w:rPr>
          <w:rFonts w:cstheme="minorHAnsi"/>
          <w:lang w:val="ru-RU"/>
        </w:rPr>
        <w:t>.</w:t>
      </w:r>
    </w:p>
    <w:tbl>
      <w:tblPr>
        <w:tblStyle w:val="TableGrid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409"/>
      </w:tblGrid>
      <w:tr w:rsidR="00C85416" w:rsidRPr="00C258C6" w14:paraId="631D3EB1" w14:textId="77777777" w:rsidTr="00A04F1C">
        <w:trPr>
          <w:cantSplit/>
          <w:trHeight w:val="1955"/>
        </w:trPr>
        <w:tc>
          <w:tcPr>
            <w:tcW w:w="7372" w:type="dxa"/>
            <w:vMerge w:val="restart"/>
            <w:tcBorders>
              <w:right w:val="single" w:sz="4" w:space="0" w:color="auto"/>
            </w:tcBorders>
          </w:tcPr>
          <w:p w14:paraId="4127ADFF" w14:textId="01951E6F" w:rsidR="00C85416" w:rsidRPr="00C258C6" w:rsidRDefault="00C85416" w:rsidP="004A4CAB">
            <w:pPr>
              <w:ind w:firstLine="33"/>
              <w:rPr>
                <w:lang w:val="ru-RU"/>
              </w:rPr>
            </w:pPr>
            <w:r w:rsidRPr="00C258C6">
              <w:rPr>
                <w:lang w:val="ru-RU"/>
              </w:rPr>
              <w:t>С уважением,</w:t>
            </w:r>
          </w:p>
          <w:p w14:paraId="320A640A" w14:textId="50BD4038" w:rsidR="00C85416" w:rsidRPr="00C258C6" w:rsidRDefault="00155455" w:rsidP="003218E1">
            <w:pPr>
              <w:keepNext/>
              <w:keepLines/>
              <w:spacing w:before="720"/>
              <w:ind w:left="29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5D4C103" wp14:editId="78BC4CD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40640</wp:posOffset>
                  </wp:positionV>
                  <wp:extent cx="768350" cy="342900"/>
                  <wp:effectExtent l="0" t="0" r="0" b="0"/>
                  <wp:wrapNone/>
                  <wp:docPr id="1385656736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56736" name="Picture 1" descr="A black text on a white background&#10;&#10;AI-generated content may be incorrect.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5416" w:rsidRPr="00C258C6">
              <w:rPr>
                <w:lang w:val="ru-RU"/>
              </w:rPr>
              <w:t xml:space="preserve">Сейдзо Оноэ </w:t>
            </w:r>
            <w:r w:rsidR="00C85416" w:rsidRPr="00C258C6">
              <w:rPr>
                <w:lang w:val="ru-RU"/>
              </w:rPr>
              <w:br/>
              <w:t xml:space="preserve">Директор Бюро </w:t>
            </w:r>
            <w:r w:rsidR="00C85416" w:rsidRPr="00C258C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B5A8B" w14:textId="51758D54" w:rsidR="00C85416" w:rsidRPr="00C258C6" w:rsidRDefault="00FC6DCB" w:rsidP="004A4CAB">
            <w:pPr>
              <w:keepNext/>
              <w:keepLines/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258C6">
              <w:rPr>
                <w:rFonts w:cstheme="minorHAnsi"/>
                <w:noProof/>
                <w:sz w:val="20"/>
                <w:szCs w:val="20"/>
                <w:lang w:val="ru-RU"/>
              </w:rPr>
              <w:drawing>
                <wp:inline distT="0" distB="0" distL="0" distR="0" wp14:anchorId="0C3A1CA2" wp14:editId="2C692AAD">
                  <wp:extent cx="988201" cy="988201"/>
                  <wp:effectExtent l="0" t="0" r="2540" b="2540"/>
                  <wp:docPr id="75227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739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01" cy="98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416" w:rsidRPr="00C258C6">
              <w:rPr>
                <w:sz w:val="20"/>
                <w:szCs w:val="20"/>
                <w:lang w:val="ru-RU"/>
              </w:rPr>
              <w:t xml:space="preserve"> </w:t>
            </w:r>
            <w:r w:rsidR="0027451A" w:rsidRPr="00C258C6">
              <w:rPr>
                <w:sz w:val="20"/>
                <w:szCs w:val="20"/>
                <w:lang w:val="ru-RU"/>
              </w:rPr>
              <w:br/>
              <w:t>Дополнительная информация</w:t>
            </w:r>
          </w:p>
        </w:tc>
      </w:tr>
      <w:tr w:rsidR="00C85416" w:rsidRPr="00C258C6" w14:paraId="5F0CA23C" w14:textId="77777777" w:rsidTr="00A04F1C">
        <w:trPr>
          <w:cantSplit/>
          <w:trHeight w:val="227"/>
        </w:trPr>
        <w:tc>
          <w:tcPr>
            <w:tcW w:w="7372" w:type="dxa"/>
            <w:vMerge/>
            <w:tcBorders>
              <w:right w:val="single" w:sz="4" w:space="0" w:color="auto"/>
            </w:tcBorders>
          </w:tcPr>
          <w:p w14:paraId="73FAEEFA" w14:textId="77777777" w:rsidR="00C85416" w:rsidRPr="00C258C6" w:rsidRDefault="00C85416" w:rsidP="004A4CAB">
            <w:pPr>
              <w:spacing w:before="480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57C" w14:textId="2B55711F" w:rsidR="00C85416" w:rsidRPr="00C258C6" w:rsidRDefault="00C85416" w:rsidP="004A4CAB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/>
              </w:rPr>
            </w:pPr>
          </w:p>
        </w:tc>
      </w:tr>
    </w:tbl>
    <w:p w14:paraId="5D7D4829" w14:textId="3C552A40" w:rsidR="000C1DAA" w:rsidRPr="00C258C6" w:rsidRDefault="000C1DAA" w:rsidP="00863880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Cs w:val="22"/>
          <w:lang w:val="ru-RU"/>
        </w:rPr>
      </w:pPr>
      <w:r w:rsidRPr="00C258C6">
        <w:rPr>
          <w:b/>
          <w:bCs/>
          <w:szCs w:val="22"/>
          <w:lang w:val="ru-RU"/>
        </w:rPr>
        <w:t>Приложения</w:t>
      </w:r>
      <w:r w:rsidRPr="00C258C6">
        <w:rPr>
          <w:szCs w:val="22"/>
          <w:lang w:val="ru-RU"/>
        </w:rPr>
        <w:t xml:space="preserve">: </w:t>
      </w:r>
      <w:r w:rsidR="0027451A" w:rsidRPr="00C258C6">
        <w:rPr>
          <w:szCs w:val="22"/>
          <w:lang w:val="ru-RU"/>
        </w:rPr>
        <w:t>2</w:t>
      </w:r>
    </w:p>
    <w:p w14:paraId="0CC45DA8" w14:textId="70660096" w:rsidR="005C280E" w:rsidRPr="00C258C6" w:rsidRDefault="005C28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C258C6">
        <w:rPr>
          <w:lang w:val="ru-RU"/>
        </w:rPr>
        <w:br w:type="page"/>
      </w:r>
    </w:p>
    <w:p w14:paraId="75C03DE9" w14:textId="77777777" w:rsidR="00C77654" w:rsidRPr="003218E1" w:rsidRDefault="002323B2" w:rsidP="00B32F19">
      <w:pPr>
        <w:pStyle w:val="AnnexNo"/>
        <w:rPr>
          <w:b/>
          <w:bCs/>
          <w:lang w:val="ru-RU"/>
        </w:rPr>
      </w:pPr>
      <w:r w:rsidRPr="003218E1">
        <w:rPr>
          <w:b/>
          <w:bCs/>
          <w:lang w:val="ru-RU"/>
        </w:rPr>
        <w:lastRenderedPageBreak/>
        <w:t>ПРИЛОЖЕНИЕ A</w:t>
      </w:r>
    </w:p>
    <w:p w14:paraId="39E82908" w14:textId="760C6E5E" w:rsidR="00B32F19" w:rsidRPr="00C258C6" w:rsidRDefault="00B32F19" w:rsidP="00A04F1C">
      <w:pPr>
        <w:pStyle w:val="Annextitle0"/>
        <w:spacing w:after="240"/>
        <w:rPr>
          <w:lang w:val="ru-RU"/>
        </w:rPr>
      </w:pPr>
      <w:r w:rsidRPr="00C258C6">
        <w:rPr>
          <w:lang w:val="ru-RU"/>
        </w:rPr>
        <w:t>Круг ведения</w:t>
      </w:r>
      <w:r w:rsidRPr="00C258C6">
        <w:rPr>
          <w:lang w:val="ru-RU"/>
        </w:rPr>
        <w:br/>
        <w:t>Группы по совместной координационной деятельности</w:t>
      </w:r>
      <w:r w:rsidRPr="00C258C6">
        <w:rPr>
          <w:lang w:val="ru-RU"/>
        </w:rPr>
        <w:br/>
        <w:t>по стандартизации метавселенной (JCA-MV)</w:t>
      </w:r>
    </w:p>
    <w:p w14:paraId="1A7AE469" w14:textId="388883A4" w:rsidR="00B32F19" w:rsidRPr="00C258C6" w:rsidRDefault="00B32F19" w:rsidP="00B32F19">
      <w:pPr>
        <w:pStyle w:val="Heading1"/>
        <w:rPr>
          <w:lang w:val="ru-RU"/>
        </w:rPr>
      </w:pPr>
      <w:r w:rsidRPr="00C258C6">
        <w:rPr>
          <w:lang w:val="ru-RU"/>
        </w:rPr>
        <w:t>1</w:t>
      </w:r>
      <w:r w:rsidRPr="00C258C6">
        <w:rPr>
          <w:lang w:val="ru-RU"/>
        </w:rPr>
        <w:tab/>
        <w:t>Сфера деятельности</w:t>
      </w:r>
    </w:p>
    <w:p w14:paraId="77995513" w14:textId="77777777" w:rsidR="00B32F19" w:rsidRPr="00C258C6" w:rsidRDefault="00B32F19" w:rsidP="00B32F19">
      <w:pPr>
        <w:rPr>
          <w:rFonts w:cstheme="minorHAnsi"/>
          <w:shd w:val="clear" w:color="auto" w:fill="FFFFFF"/>
          <w:lang w:val="ru-RU"/>
        </w:rPr>
      </w:pPr>
      <w:r w:rsidRPr="00C258C6">
        <w:rPr>
          <w:lang w:val="ru-RU"/>
        </w:rPr>
        <w:t>В сферу деятельности JCA-MV входят координация работы МСЭ-Т в области стандартизации метавселенной и содействие сотрудничеству между всеми соответствующими исследовательскими комиссиями в рамках МСЭ-Т, обеспечение реальной возможности для контактов и координация связи с внешними организациями по разработке стандартов, консорциумами и форумами, работающими над стандартами, связанными с метавселенной, способствуя эффективной двусторонней связи с такими органами.</w:t>
      </w:r>
    </w:p>
    <w:p w14:paraId="5061BE4D" w14:textId="77777777" w:rsidR="00B32F19" w:rsidRPr="00C258C6" w:rsidRDefault="00B32F19" w:rsidP="00B32F19">
      <w:pPr>
        <w:rPr>
          <w:rFonts w:cstheme="minorHAnsi"/>
          <w:shd w:val="clear" w:color="auto" w:fill="FFFFFF"/>
          <w:lang w:val="ru-RU"/>
        </w:rPr>
      </w:pPr>
      <w:r w:rsidRPr="00C258C6">
        <w:rPr>
          <w:lang w:val="ru-RU"/>
        </w:rPr>
        <w:t>Деятельность JCA-MV осуществляется в соответствии с Рекомендацией МСЭ-T A.18; Группа была создана в соответствии с Резолюцией 105 ВАСЭ-24 по стандартизации метавселенной.</w:t>
      </w:r>
    </w:p>
    <w:p w14:paraId="1984A4D3" w14:textId="39E8210F" w:rsidR="00B32F19" w:rsidRPr="00C258C6" w:rsidRDefault="00B32F19" w:rsidP="00B32F19">
      <w:pPr>
        <w:pStyle w:val="Heading1"/>
        <w:rPr>
          <w:lang w:val="ru-RU"/>
        </w:rPr>
      </w:pPr>
      <w:r w:rsidRPr="00C258C6">
        <w:rPr>
          <w:lang w:val="ru-RU"/>
        </w:rPr>
        <w:t>2</w:t>
      </w:r>
      <w:r w:rsidRPr="00C258C6">
        <w:rPr>
          <w:lang w:val="ru-RU"/>
        </w:rPr>
        <w:tab/>
        <w:t>Задачи</w:t>
      </w:r>
    </w:p>
    <w:p w14:paraId="10B3EB60" w14:textId="77777777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Перед JCA-MV поставлены следующие задачи:</w:t>
      </w:r>
    </w:p>
    <w:p w14:paraId="6159889B" w14:textId="4FB8673B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2.1</w:t>
      </w:r>
      <w:r w:rsidRPr="00C258C6">
        <w:rPr>
          <w:lang w:val="ru-RU"/>
        </w:rPr>
        <w:tab/>
        <w:t>Обеспечивать надлежащую координацию работы МСЭ-Т в области стандартизации метавселенной, связанной с опорными технологиями, системами, приложениями, услугами, протоколами, безопасностью, доступностью и устойчивостью для метавселенной, между всеми соответствующими исследовательскими комиссиями МСЭ-Т.</w:t>
      </w:r>
    </w:p>
    <w:p w14:paraId="42DA8E21" w14:textId="422057ED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2.2</w:t>
      </w:r>
      <w:r w:rsidRPr="00C258C6">
        <w:rPr>
          <w:lang w:val="ru-RU"/>
        </w:rPr>
        <w:tab/>
        <w:t>Настоятельно рекомендовать соответствующим группам МСЭ-Т, Сектора радиосвязи МСЭ и Сектора развития электросвязи МСЭ вносить вклад в работу Группы и обмениваться информацией, касающейся стандартизации метавселенной.</w:t>
      </w:r>
    </w:p>
    <w:p w14:paraId="558B7070" w14:textId="00FB94AB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2.3</w:t>
      </w:r>
      <w:r w:rsidRPr="00C258C6">
        <w:rPr>
          <w:lang w:val="ru-RU"/>
        </w:rPr>
        <w:tab/>
        <w:t>Разрабатывать, вести и обновлять дорожную карту по стандартизации метавселенной с учетом текущих и опубликованных итоговых документов МСЭ, других соответствующих организаций по разработке стандартов (ОРС), консорциумов и форумов</w:t>
      </w:r>
      <w:r w:rsidR="00972BC5" w:rsidRPr="00C258C6">
        <w:rPr>
          <w:lang w:val="ru-RU"/>
        </w:rPr>
        <w:t>.</w:t>
      </w:r>
    </w:p>
    <w:p w14:paraId="61655A78" w14:textId="180764EB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2.4</w:t>
      </w:r>
      <w:r w:rsidRPr="00C258C6">
        <w:rPr>
          <w:lang w:val="ru-RU"/>
        </w:rPr>
        <w:tab/>
        <w:t>Рассмотреть возможность сотрудничества и взаимодополняемости при разработке международных стандартов для метавселенной с соответствующими организациями, включая ИСО, МЭК, ОТК1 ИСО/МЭК, Проект партнерства третьего поколения (3GPP), Европейский институт стандартизации электросвязи (ЕТСИ), Институт инженеров по электротехнике и радиоэлектронике (IEEE), Целевую группу по инженерным проблемам интернета (IETF), Форум по стандартам метавселенной (MSF) и сообщества разработчиков ПО с открытым исходным кодом, а также содействовать такому сотрудничеству и взаимодополняемости</w:t>
      </w:r>
      <w:r w:rsidR="00972BC5" w:rsidRPr="00C258C6">
        <w:rPr>
          <w:lang w:val="ru-RU"/>
        </w:rPr>
        <w:t>.</w:t>
      </w:r>
    </w:p>
    <w:p w14:paraId="084C8903" w14:textId="0A2EB743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2.5</w:t>
      </w:r>
      <w:r w:rsidRPr="00C258C6">
        <w:rPr>
          <w:lang w:val="ru-RU"/>
        </w:rPr>
        <w:tab/>
        <w:t>Представлять отчет Консультативной группе по стандартизации электросвязи (КГСЭ) во всех случаях обнаружения дублирования усилий или других вопросов, требующих координации, с тем чтобы оказывать поддержку функции КГСЭ, касающейся координации между исследовательскими комиссиями МСЭ-Т</w:t>
      </w:r>
      <w:r w:rsidR="00972BC5" w:rsidRPr="00C258C6">
        <w:rPr>
          <w:lang w:val="ru-RU"/>
        </w:rPr>
        <w:t>.</w:t>
      </w:r>
    </w:p>
    <w:p w14:paraId="7B30DC47" w14:textId="07EE5D6F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2.6</w:t>
      </w:r>
      <w:r w:rsidRPr="00C258C6">
        <w:rPr>
          <w:lang w:val="ru-RU"/>
        </w:rPr>
        <w:tab/>
        <w:t>Выполнять функции координационного центра в рамках МСЭ-Т, а также во взаимодействии с</w:t>
      </w:r>
      <w:r w:rsidR="00A04F1C" w:rsidRPr="00C258C6">
        <w:rPr>
          <w:lang w:val="ru-RU"/>
        </w:rPr>
        <w:t> </w:t>
      </w:r>
      <w:r w:rsidRPr="00C258C6">
        <w:rPr>
          <w:lang w:val="ru-RU"/>
        </w:rPr>
        <w:t>другими организациями по разработке стандартов, консорциумами и форумами, работающими над стандартами, связанными с метавселенной, в особенности для предотвращения дублирования усилий</w:t>
      </w:r>
      <w:r w:rsidR="00972BC5" w:rsidRPr="00C258C6">
        <w:rPr>
          <w:lang w:val="ru-RU"/>
        </w:rPr>
        <w:t>.</w:t>
      </w:r>
    </w:p>
    <w:p w14:paraId="1C7F85BC" w14:textId="394A655C" w:rsidR="00B32F19" w:rsidRPr="00C258C6" w:rsidRDefault="00B32F19" w:rsidP="00B32F19">
      <w:pPr>
        <w:rPr>
          <w:rFonts w:cstheme="minorHAnsi"/>
          <w:lang w:val="ru-RU"/>
        </w:rPr>
      </w:pPr>
      <w:r w:rsidRPr="00C258C6">
        <w:rPr>
          <w:lang w:val="ru-RU"/>
        </w:rPr>
        <w:t>2.7</w:t>
      </w:r>
      <w:r w:rsidRPr="00C258C6">
        <w:rPr>
          <w:lang w:val="ru-RU"/>
        </w:rPr>
        <w:tab/>
        <w:t>Вести список контактных лиц и представителей соответствующих исследовательских комиссий МСЭ-Т и других соответствующих структур МСЭ</w:t>
      </w:r>
      <w:r w:rsidR="00972BC5" w:rsidRPr="00C258C6">
        <w:rPr>
          <w:lang w:val="ru-RU"/>
        </w:rPr>
        <w:t>.</w:t>
      </w:r>
    </w:p>
    <w:p w14:paraId="633A2D2D" w14:textId="2B6D6922" w:rsidR="00B32F19" w:rsidRPr="00C258C6" w:rsidRDefault="00B32F19" w:rsidP="00B32F19">
      <w:pPr>
        <w:shd w:val="clear" w:color="auto" w:fill="FFFFFF"/>
        <w:rPr>
          <w:rFonts w:cstheme="minorHAnsi"/>
          <w:lang w:val="ru-RU"/>
        </w:rPr>
      </w:pPr>
      <w:r w:rsidRPr="00C258C6">
        <w:rPr>
          <w:lang w:val="ru-RU"/>
        </w:rPr>
        <w:t>2.8</w:t>
      </w:r>
      <w:r w:rsidR="00972BC5" w:rsidRPr="00C258C6">
        <w:rPr>
          <w:lang w:val="ru-RU"/>
        </w:rPr>
        <w:tab/>
      </w:r>
      <w:r w:rsidRPr="00C258C6">
        <w:rPr>
          <w:lang w:val="ru-RU"/>
        </w:rPr>
        <w:t>Вести список контактных лиц и представителей других соответствующих организаций по разработке стандартов, региональных/национальных организаций, консорциумов и форумов, участвующих в работе JCA-MV.</w:t>
      </w:r>
    </w:p>
    <w:p w14:paraId="490D2B95" w14:textId="75EB605A" w:rsidR="00B32F19" w:rsidRPr="00C258C6" w:rsidRDefault="00B32F19" w:rsidP="008167D3">
      <w:pPr>
        <w:pStyle w:val="Heading1"/>
        <w:rPr>
          <w:lang w:val="ru-RU"/>
        </w:rPr>
      </w:pPr>
      <w:r w:rsidRPr="00C258C6">
        <w:rPr>
          <w:lang w:val="ru-RU"/>
        </w:rPr>
        <w:lastRenderedPageBreak/>
        <w:t>3</w:t>
      </w:r>
      <w:r w:rsidR="008167D3" w:rsidRPr="00C258C6">
        <w:rPr>
          <w:lang w:val="ru-RU"/>
        </w:rPr>
        <w:tab/>
      </w:r>
      <w:r w:rsidRPr="00C258C6">
        <w:rPr>
          <w:lang w:val="ru-RU"/>
        </w:rPr>
        <w:t>Участие</w:t>
      </w:r>
    </w:p>
    <w:p w14:paraId="194DD5BD" w14:textId="25C7B73B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В работе JCA-MV могут принимать участие представители Членов МСЭ, включая представителей всех исследовательских комиссий МСЭ-Т и КГСЭ. В деятельности Группы также могут принять участие приглашенные эксперты, в том числе представители соответствующих организаций по разработке стандартов, академических организаций, форумов и консорциумов. В соответствии с Резолюцией</w:t>
      </w:r>
      <w:r w:rsidR="00A04F1C" w:rsidRPr="00C258C6">
        <w:rPr>
          <w:lang w:val="ru-RU"/>
        </w:rPr>
        <w:t> </w:t>
      </w:r>
      <w:r w:rsidRPr="00C258C6">
        <w:rPr>
          <w:lang w:val="ru-RU"/>
        </w:rPr>
        <w:t>105 ВАСЭ-24 о стандартизация метавселенной особое внимание уделяется участию малых и средних предприятий (МСП), а также вертикальных отраслей, участвующих в развитии метавселенной, для обеспечения широкого представительства в процессе стандартизации. Предложение назначить представителя для участия в группе может быть сделано и другим группам МСЭ, а также соответствующим внешним организациям.</w:t>
      </w:r>
    </w:p>
    <w:p w14:paraId="4F73F8CD" w14:textId="31AE07A2" w:rsidR="00B32F19" w:rsidRPr="00C258C6" w:rsidRDefault="00B32F19" w:rsidP="00A04F1C">
      <w:pPr>
        <w:pStyle w:val="Heading1"/>
        <w:spacing w:before="360"/>
        <w:rPr>
          <w:lang w:val="ru-RU"/>
        </w:rPr>
      </w:pPr>
      <w:r w:rsidRPr="00C258C6">
        <w:rPr>
          <w:lang w:val="ru-RU"/>
        </w:rPr>
        <w:t>4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Методы работы</w:t>
      </w:r>
    </w:p>
    <w:p w14:paraId="2F1CA42B" w14:textId="7A65AFFF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4.1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Участие в работе JCA-MV осуществляется в соответствии с Рекомендацией МСЭ-Т A.18; в</w:t>
      </w:r>
      <w:r w:rsidR="00A04F1C" w:rsidRPr="00C258C6">
        <w:rPr>
          <w:lang w:val="ru-RU"/>
        </w:rPr>
        <w:t> </w:t>
      </w:r>
      <w:r w:rsidRPr="00C258C6">
        <w:rPr>
          <w:lang w:val="ru-RU"/>
        </w:rPr>
        <w:t>состав Группы входят все председатели исследовательских комиссий МСЭ-Т, председатель КГСЭ, ряд лиц, назначенных председателями исследовательских комиссий, контактные лица по вопросам метавселенной в исследовательских комиссиях МСЭ-Т и приглашенные представители от соответствующих организаций по разработке стандартов, таких как ИСО, МЭК, а также соответствующих академических организаций, форумов и консорциумов.</w:t>
      </w:r>
    </w:p>
    <w:p w14:paraId="78D2DB56" w14:textId="546D46A1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4.2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JCA-MV осуществляет свою работу преимущественно посредством переписки, но при необходимости может также проводить собрания, приуроченные к собраниям КГСЭ и соответствующих исследовательских комиссий.</w:t>
      </w:r>
    </w:p>
    <w:p w14:paraId="4C356AA7" w14:textId="05B214C8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4.3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JCA-MV осуществляет свою работу преимущественно посредством электронных методов, включая переписку по электронной почте и собрания в режиме конференц-связи, и проводит очные собрания только в случаях, когда это считается необходимым для эффективного выполнения ее</w:t>
      </w:r>
      <w:r w:rsidR="00DA49B8">
        <w:rPr>
          <w:lang w:val="ru-RU"/>
        </w:rPr>
        <w:t> </w:t>
      </w:r>
      <w:r w:rsidRPr="00C258C6">
        <w:rPr>
          <w:lang w:val="ru-RU"/>
        </w:rPr>
        <w:t>задач.</w:t>
      </w:r>
    </w:p>
    <w:p w14:paraId="38495E9D" w14:textId="5AD94387" w:rsidR="00B32F19" w:rsidRPr="00C258C6" w:rsidRDefault="00B32F19" w:rsidP="00A04F1C">
      <w:pPr>
        <w:pStyle w:val="Heading1"/>
        <w:rPr>
          <w:lang w:val="ru-RU"/>
        </w:rPr>
      </w:pPr>
      <w:r w:rsidRPr="00C258C6">
        <w:rPr>
          <w:lang w:val="ru-RU"/>
        </w:rPr>
        <w:t>5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Административная поддержка</w:t>
      </w:r>
    </w:p>
    <w:p w14:paraId="71BF6D9F" w14:textId="1BD402DE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Бюро стандартизации электросвязи (БСЭ) МСЭ-Т предоставляет услуги секретариата и технические средства, необходимые для поддержки JCA-MV, в рамках имеющихся ресурсов.</w:t>
      </w:r>
    </w:p>
    <w:p w14:paraId="57DD5CA1" w14:textId="161D0628" w:rsidR="00B32F19" w:rsidRPr="00C258C6" w:rsidRDefault="00B32F19" w:rsidP="00A04F1C">
      <w:pPr>
        <w:pStyle w:val="Heading1"/>
        <w:spacing w:before="360"/>
        <w:rPr>
          <w:lang w:val="ru-RU"/>
        </w:rPr>
      </w:pPr>
      <w:r w:rsidRPr="00C258C6">
        <w:rPr>
          <w:lang w:val="ru-RU"/>
        </w:rPr>
        <w:t>6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Собрания</w:t>
      </w:r>
    </w:p>
    <w:p w14:paraId="62376DAB" w14:textId="2F7EB9B1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JCA-MV работает в электронном формате, организуя телеконференции и очные собрания три раза в год для рассмотрения своевременных обновлений и отчетов различных структур. Очные собрания обычно приурочены к собраниям исследовательских комиссий, участвующих в работе JCA-MV. Решение о проведении собраний принимает JCA-MV, объявления о собраниях направляются их участникам через отражатель электронной почты Группы и размещаются на веб-странице JCA-MV на</w:t>
      </w:r>
      <w:r w:rsidR="00DA49B8">
        <w:rPr>
          <w:lang w:val="ru-RU"/>
        </w:rPr>
        <w:t> </w:t>
      </w:r>
      <w:r w:rsidRPr="00C258C6">
        <w:rPr>
          <w:lang w:val="ru-RU"/>
        </w:rPr>
        <w:t>веб-сайте МСЭ-Т.</w:t>
      </w:r>
    </w:p>
    <w:p w14:paraId="03772984" w14:textId="003E193E" w:rsidR="00B32F19" w:rsidRPr="00C258C6" w:rsidRDefault="00B32F19" w:rsidP="00A04F1C">
      <w:pPr>
        <w:pStyle w:val="Heading1"/>
        <w:spacing w:before="360"/>
        <w:rPr>
          <w:lang w:val="ru-RU"/>
        </w:rPr>
      </w:pPr>
      <w:r w:rsidRPr="00C258C6">
        <w:rPr>
          <w:lang w:val="ru-RU"/>
        </w:rPr>
        <w:t>7</w:t>
      </w:r>
      <w:r w:rsidR="00A04F1C" w:rsidRPr="00C258C6">
        <w:rPr>
          <w:lang w:val="ru-RU"/>
        </w:rPr>
        <w:tab/>
      </w:r>
      <w:r w:rsidRPr="00C258C6">
        <w:rPr>
          <w:lang w:val="ru-RU"/>
        </w:rPr>
        <w:t>Основная группа и отчеты о ходе работы</w:t>
      </w:r>
    </w:p>
    <w:p w14:paraId="0D80721E" w14:textId="77777777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 xml:space="preserve">JCA-MV отчитывается о своей деятельности перед КГСЭ как своей основной группой на ее собраниях. Резюме направляется КГСЭ после каждого собрания JCA-MV. Отчеты о ходе работы и предложения направляются по мере необходимости соответствующим исследовательским комиссиям согласно Рекомендации МСЭ-Т A.18. </w:t>
      </w:r>
    </w:p>
    <w:p w14:paraId="13A68F1D" w14:textId="7806255D" w:rsidR="00B32F19" w:rsidRPr="00C258C6" w:rsidRDefault="00B32F19" w:rsidP="00A04F1C">
      <w:pPr>
        <w:pStyle w:val="Heading1"/>
        <w:spacing w:before="120"/>
        <w:rPr>
          <w:lang w:val="ru-RU"/>
        </w:rPr>
      </w:pPr>
      <w:r w:rsidRPr="00C258C6">
        <w:rPr>
          <w:lang w:val="ru-RU"/>
        </w:rPr>
        <w:t>8</w:t>
      </w:r>
      <w:r w:rsidR="00DA49B8">
        <w:rPr>
          <w:lang w:val="ru-RU"/>
        </w:rPr>
        <w:tab/>
      </w:r>
      <w:r w:rsidRPr="00C258C6">
        <w:rPr>
          <w:lang w:val="ru-RU"/>
        </w:rPr>
        <w:t>Продолжительность деятельности</w:t>
      </w:r>
    </w:p>
    <w:p w14:paraId="77CD176F" w14:textId="2BA69A3D" w:rsidR="00B32F19" w:rsidRPr="00C258C6" w:rsidRDefault="00B32F19" w:rsidP="00A04F1C">
      <w:pPr>
        <w:rPr>
          <w:rFonts w:cstheme="minorHAnsi"/>
          <w:lang w:val="ru-RU"/>
        </w:rPr>
      </w:pPr>
      <w:r w:rsidRPr="00C258C6">
        <w:rPr>
          <w:lang w:val="ru-RU"/>
        </w:rPr>
        <w:t>См. Рекомендацию МСЭ-T A.18</w:t>
      </w:r>
      <w:r w:rsidR="003525C6">
        <w:rPr>
          <w:lang w:val="ru-RU"/>
        </w:rPr>
        <w:t>.</w:t>
      </w:r>
    </w:p>
    <w:p w14:paraId="1208FD9B" w14:textId="77777777" w:rsidR="00B32F19" w:rsidRPr="00C258C6" w:rsidRDefault="00B32F19" w:rsidP="00B32F1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Gulim" w:cstheme="minorHAnsi"/>
          <w:lang w:val="ru-RU"/>
        </w:rPr>
      </w:pPr>
      <w:r w:rsidRPr="00C258C6">
        <w:rPr>
          <w:rFonts w:eastAsia="Gulim" w:cstheme="minorHAnsi"/>
          <w:lang w:val="ru-RU"/>
        </w:rPr>
        <w:br w:type="page"/>
      </w:r>
    </w:p>
    <w:p w14:paraId="7DF5D595" w14:textId="77777777" w:rsidR="00B32F19" w:rsidRPr="003218E1" w:rsidRDefault="00B32F19" w:rsidP="00A04F1C">
      <w:pPr>
        <w:pStyle w:val="AnnexNo"/>
        <w:rPr>
          <w:b/>
          <w:bCs/>
          <w:lang w:val="ru-RU"/>
        </w:rPr>
      </w:pPr>
      <w:r w:rsidRPr="003218E1">
        <w:rPr>
          <w:b/>
          <w:bCs/>
          <w:lang w:val="ru-RU"/>
        </w:rPr>
        <w:lastRenderedPageBreak/>
        <w:t>ПРИЛОЖЕНИЕ B</w:t>
      </w:r>
    </w:p>
    <w:p w14:paraId="5B0FB0C2" w14:textId="77777777" w:rsidR="00B32F19" w:rsidRPr="00C258C6" w:rsidRDefault="00B32F19" w:rsidP="00A04F1C">
      <w:pPr>
        <w:pStyle w:val="Annextitle0"/>
        <w:spacing w:after="120"/>
        <w:rPr>
          <w:lang w:val="ru-RU"/>
        </w:rPr>
      </w:pPr>
      <w:r w:rsidRPr="00C258C6">
        <w:rPr>
          <w:lang w:val="ru-RU"/>
        </w:rPr>
        <w:t>Проект повестки дня первого собрания JCA-MV</w:t>
      </w:r>
    </w:p>
    <w:p w14:paraId="03FCF798" w14:textId="77777777" w:rsidR="00B32F19" w:rsidRPr="00DA49B8" w:rsidRDefault="00B32F19" w:rsidP="00A04F1C">
      <w:pPr>
        <w:jc w:val="center"/>
        <w:rPr>
          <w:b/>
          <w:bCs/>
          <w:lang w:val="ru-RU"/>
        </w:rPr>
      </w:pPr>
      <w:r w:rsidRPr="00DA49B8">
        <w:rPr>
          <w:b/>
          <w:bCs/>
          <w:lang w:val="ru-RU"/>
        </w:rPr>
        <w:t>(Женева, 9 октября 2025 г., 11 час. 15 мин. – 13 час. 15 мин. CEST)</w:t>
      </w:r>
    </w:p>
    <w:p w14:paraId="6792E5AC" w14:textId="3E65C05E" w:rsidR="00B32F19" w:rsidRPr="00C258C6" w:rsidRDefault="00A04F1C" w:rsidP="00C258C6">
      <w:pPr>
        <w:pStyle w:val="enumlev1"/>
        <w:spacing w:before="480"/>
        <w:rPr>
          <w:b/>
          <w:lang w:val="ru-RU"/>
        </w:rPr>
      </w:pPr>
      <w:r w:rsidRPr="00C258C6">
        <w:rPr>
          <w:lang w:val="ru-RU"/>
        </w:rPr>
        <w:t>1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Открытие собрания</w:t>
      </w:r>
    </w:p>
    <w:p w14:paraId="0981DAFE" w14:textId="4CC674DD" w:rsidR="00B32F19" w:rsidRPr="00C258C6" w:rsidRDefault="00A04F1C" w:rsidP="00C258C6">
      <w:pPr>
        <w:pStyle w:val="enumlev1"/>
        <w:rPr>
          <w:rFonts w:eastAsia="Malgun Gothic"/>
          <w:b/>
          <w:lang w:val="ru-RU"/>
        </w:rPr>
      </w:pPr>
      <w:r w:rsidRPr="00C258C6">
        <w:rPr>
          <w:lang w:val="ru-RU"/>
        </w:rPr>
        <w:t>2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Утверждение повестки дня</w:t>
      </w:r>
    </w:p>
    <w:p w14:paraId="55BAFE24" w14:textId="23CD9786" w:rsidR="00B32F19" w:rsidRPr="00C258C6" w:rsidRDefault="00A04F1C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3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Рассмотрение методов работы JCA-MV, включая документацию для собрания (</w:t>
      </w:r>
      <w:hyperlink r:id="rId33" w:history="1">
        <w:r w:rsidR="00B32F19" w:rsidRPr="00C258C6">
          <w:rPr>
            <w:rStyle w:val="Hyperlink"/>
            <w:lang w:val="ru-RU"/>
          </w:rPr>
          <w:t>https://www.itu.int/ifa/t/sftp/jcamv/</w:t>
        </w:r>
      </w:hyperlink>
      <w:r w:rsidR="00B32F19" w:rsidRPr="00C258C6">
        <w:rPr>
          <w:lang w:val="ru-RU"/>
        </w:rPr>
        <w:t>) и подробную информацию о порядке дистанционного участия</w:t>
      </w:r>
      <w:hyperlink r:id="rId34" w:history="1"/>
    </w:p>
    <w:p w14:paraId="01B489F1" w14:textId="6834A0CF" w:rsidR="00B32F19" w:rsidRPr="00C258C6" w:rsidRDefault="00A04F1C" w:rsidP="00C258C6">
      <w:pPr>
        <w:pStyle w:val="enumlev1"/>
        <w:rPr>
          <w:rFonts w:eastAsiaTheme="minorEastAsia"/>
          <w:b/>
          <w:lang w:val="ru-RU"/>
        </w:rPr>
      </w:pPr>
      <w:r w:rsidRPr="00C258C6">
        <w:rPr>
          <w:lang w:val="ru-RU"/>
        </w:rPr>
        <w:t>4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Рассмотрение результатов собрания КГСЭ в отношении создания JCA-MV, в том числе по</w:t>
      </w:r>
      <w:r w:rsidR="009D24CD">
        <w:rPr>
          <w:lang w:val="ru-RU"/>
        </w:rPr>
        <w:t> </w:t>
      </w:r>
      <w:r w:rsidR="00B32F19" w:rsidRPr="00C258C6">
        <w:rPr>
          <w:lang w:val="ru-RU"/>
        </w:rPr>
        <w:t>определению "метавселенной"</w:t>
      </w:r>
    </w:p>
    <w:p w14:paraId="061C9462" w14:textId="4DDDC1E7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5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Рассмотрение круга ведения JCA-MV</w:t>
      </w:r>
    </w:p>
    <w:p w14:paraId="11751F11" w14:textId="62BC905A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6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Входящие заявления о взаимодействии</w:t>
      </w:r>
    </w:p>
    <w:p w14:paraId="553580C5" w14:textId="3177CEF5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7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Обзор деятельности по стандартизации, проводимой в исследовательских комиссиях МСЭ-Т, других ОРС и форумах</w:t>
      </w:r>
    </w:p>
    <w:p w14:paraId="0099D99A" w14:textId="22143B65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8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Рассмотрение входных документов для собрания JCA-MV</w:t>
      </w:r>
    </w:p>
    <w:p w14:paraId="293DA471" w14:textId="4D5C892C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9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Вопросы, требующие координации</w:t>
      </w:r>
    </w:p>
    <w:p w14:paraId="3CDA3F12" w14:textId="44A0B2FC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10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 xml:space="preserve">Назначение представителей по взаимодействию JCA-MV </w:t>
      </w:r>
    </w:p>
    <w:p w14:paraId="1BB2677A" w14:textId="5581B8BF" w:rsidR="00B32F19" w:rsidRPr="00C258C6" w:rsidRDefault="00C258C6" w:rsidP="00C258C6">
      <w:pPr>
        <w:pStyle w:val="enumlev1"/>
        <w:rPr>
          <w:rFonts w:eastAsia="Malgun Gothic"/>
          <w:b/>
          <w:lang w:val="ru-RU"/>
        </w:rPr>
      </w:pPr>
      <w:r w:rsidRPr="00C258C6">
        <w:rPr>
          <w:lang w:val="ru-RU"/>
        </w:rPr>
        <w:t>11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Утверждение исходящих заявлений о взаимодействии</w:t>
      </w:r>
    </w:p>
    <w:p w14:paraId="26386B85" w14:textId="60323111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12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Будущие собрания</w:t>
      </w:r>
    </w:p>
    <w:p w14:paraId="5D8189A2" w14:textId="22687441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13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Любые другие вопросы</w:t>
      </w:r>
    </w:p>
    <w:p w14:paraId="4D89EE28" w14:textId="18D83D54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14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Дальнейшие действия</w:t>
      </w:r>
    </w:p>
    <w:p w14:paraId="3F825A5C" w14:textId="510052FE" w:rsidR="00B32F19" w:rsidRPr="00C258C6" w:rsidRDefault="00C258C6" w:rsidP="00C258C6">
      <w:pPr>
        <w:pStyle w:val="enumlev1"/>
        <w:rPr>
          <w:b/>
          <w:lang w:val="ru-RU"/>
        </w:rPr>
      </w:pPr>
      <w:r w:rsidRPr="00C258C6">
        <w:rPr>
          <w:lang w:val="ru-RU"/>
        </w:rPr>
        <w:t>15</w:t>
      </w:r>
      <w:r w:rsidRPr="00C258C6">
        <w:rPr>
          <w:lang w:val="ru-RU"/>
        </w:rPr>
        <w:tab/>
      </w:r>
      <w:r w:rsidR="00B32F19" w:rsidRPr="00C258C6">
        <w:rPr>
          <w:lang w:val="ru-RU"/>
        </w:rPr>
        <w:t>Завершение работы собрания</w:t>
      </w:r>
    </w:p>
    <w:p w14:paraId="73168D51" w14:textId="2457F949" w:rsidR="005C280E" w:rsidRPr="00C258C6" w:rsidRDefault="0017737C" w:rsidP="00A04F1C">
      <w:pPr>
        <w:spacing w:before="720"/>
        <w:jc w:val="center"/>
        <w:rPr>
          <w:lang w:val="ru-RU"/>
        </w:rPr>
      </w:pPr>
      <w:r w:rsidRPr="00C258C6">
        <w:rPr>
          <w:lang w:val="ru-RU"/>
        </w:rPr>
        <w:t>______________</w:t>
      </w:r>
    </w:p>
    <w:sectPr w:rsidR="005C280E" w:rsidRPr="00C258C6" w:rsidSect="00A04F1C">
      <w:headerReference w:type="default" r:id="rId35"/>
      <w:footerReference w:type="first" r:id="rId36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6BCB" w14:textId="77777777" w:rsidR="003A4994" w:rsidRDefault="003A4994">
      <w:r>
        <w:separator/>
      </w:r>
    </w:p>
  </w:endnote>
  <w:endnote w:type="continuationSeparator" w:id="0">
    <w:p w14:paraId="419653C0" w14:textId="77777777" w:rsidR="003A4994" w:rsidRDefault="003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87F4" w14:textId="77777777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090F" w14:textId="77777777" w:rsidR="003A4994" w:rsidRDefault="003A4994">
      <w:r>
        <w:separator/>
      </w:r>
    </w:p>
  </w:footnote>
  <w:footnote w:type="continuationSeparator" w:id="0">
    <w:p w14:paraId="5289268A" w14:textId="77777777" w:rsidR="003A4994" w:rsidRDefault="003A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46BF" w14:textId="68328755" w:rsidR="00B54B88" w:rsidRPr="00E52405" w:rsidRDefault="00B54B88" w:rsidP="00A04F1C">
    <w:pPr>
      <w:pStyle w:val="Header"/>
      <w:spacing w:after="24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E52405">
      <w:rPr>
        <w:noProof/>
        <w:lang w:val="ru-RU"/>
      </w:rPr>
      <w:br/>
    </w:r>
    <w:r w:rsidR="00972BC5">
      <w:rPr>
        <w:lang w:val="ru-RU"/>
      </w:rPr>
      <w:t>Циркуляр</w:t>
    </w:r>
    <w:r w:rsidR="008167D3">
      <w:rPr>
        <w:lang w:val="ru-RU"/>
      </w:rPr>
      <w:t xml:space="preserve"> 60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B"/>
    <w:rsid w:val="00012C4F"/>
    <w:rsid w:val="00022027"/>
    <w:rsid w:val="00024565"/>
    <w:rsid w:val="00024910"/>
    <w:rsid w:val="0003235D"/>
    <w:rsid w:val="00082B7B"/>
    <w:rsid w:val="00095EA0"/>
    <w:rsid w:val="000A4F40"/>
    <w:rsid w:val="000C1DAA"/>
    <w:rsid w:val="000C2147"/>
    <w:rsid w:val="000C7D98"/>
    <w:rsid w:val="000F1507"/>
    <w:rsid w:val="00103310"/>
    <w:rsid w:val="00115B49"/>
    <w:rsid w:val="00155455"/>
    <w:rsid w:val="001626BA"/>
    <w:rsid w:val="001629DC"/>
    <w:rsid w:val="0017292C"/>
    <w:rsid w:val="0017737C"/>
    <w:rsid w:val="0019115E"/>
    <w:rsid w:val="001B4A74"/>
    <w:rsid w:val="001D261C"/>
    <w:rsid w:val="001E062D"/>
    <w:rsid w:val="001E3927"/>
    <w:rsid w:val="001F2544"/>
    <w:rsid w:val="00207341"/>
    <w:rsid w:val="00214555"/>
    <w:rsid w:val="002323B2"/>
    <w:rsid w:val="0025701E"/>
    <w:rsid w:val="0026232A"/>
    <w:rsid w:val="002736E9"/>
    <w:rsid w:val="0027451A"/>
    <w:rsid w:val="002B37F9"/>
    <w:rsid w:val="002D06B7"/>
    <w:rsid w:val="002D26FD"/>
    <w:rsid w:val="002E4C41"/>
    <w:rsid w:val="003218E1"/>
    <w:rsid w:val="0033434F"/>
    <w:rsid w:val="00340304"/>
    <w:rsid w:val="003525C6"/>
    <w:rsid w:val="0035548B"/>
    <w:rsid w:val="00375E77"/>
    <w:rsid w:val="003932DC"/>
    <w:rsid w:val="003A4994"/>
    <w:rsid w:val="003F5B77"/>
    <w:rsid w:val="00415128"/>
    <w:rsid w:val="004167E6"/>
    <w:rsid w:val="0041688E"/>
    <w:rsid w:val="00444B73"/>
    <w:rsid w:val="00455EFA"/>
    <w:rsid w:val="004650C7"/>
    <w:rsid w:val="00475A27"/>
    <w:rsid w:val="0049506E"/>
    <w:rsid w:val="00495F13"/>
    <w:rsid w:val="004A0D07"/>
    <w:rsid w:val="004B61A9"/>
    <w:rsid w:val="004C5268"/>
    <w:rsid w:val="004C792B"/>
    <w:rsid w:val="004D50B3"/>
    <w:rsid w:val="004D5A1F"/>
    <w:rsid w:val="004D5E5A"/>
    <w:rsid w:val="004E01AE"/>
    <w:rsid w:val="004F48F0"/>
    <w:rsid w:val="00500B8F"/>
    <w:rsid w:val="00514426"/>
    <w:rsid w:val="00562CAE"/>
    <w:rsid w:val="005B365B"/>
    <w:rsid w:val="005C280E"/>
    <w:rsid w:val="005D044D"/>
    <w:rsid w:val="005D271B"/>
    <w:rsid w:val="005E616E"/>
    <w:rsid w:val="005F761F"/>
    <w:rsid w:val="006139B2"/>
    <w:rsid w:val="00625BAF"/>
    <w:rsid w:val="00636D90"/>
    <w:rsid w:val="006629A2"/>
    <w:rsid w:val="00671514"/>
    <w:rsid w:val="006777D5"/>
    <w:rsid w:val="006A70CA"/>
    <w:rsid w:val="006C7794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97C49"/>
    <w:rsid w:val="007A445B"/>
    <w:rsid w:val="007D0BFA"/>
    <w:rsid w:val="00803BC4"/>
    <w:rsid w:val="008167D3"/>
    <w:rsid w:val="00826CB4"/>
    <w:rsid w:val="00831FDC"/>
    <w:rsid w:val="00832A5A"/>
    <w:rsid w:val="00847FBC"/>
    <w:rsid w:val="00863880"/>
    <w:rsid w:val="00867192"/>
    <w:rsid w:val="00871131"/>
    <w:rsid w:val="008863B5"/>
    <w:rsid w:val="008C5C0E"/>
    <w:rsid w:val="008C7044"/>
    <w:rsid w:val="008D10FF"/>
    <w:rsid w:val="008D1A97"/>
    <w:rsid w:val="008E0925"/>
    <w:rsid w:val="00902C68"/>
    <w:rsid w:val="009166E1"/>
    <w:rsid w:val="00930D31"/>
    <w:rsid w:val="009344BF"/>
    <w:rsid w:val="009469D2"/>
    <w:rsid w:val="009602C4"/>
    <w:rsid w:val="009718F3"/>
    <w:rsid w:val="00972BC5"/>
    <w:rsid w:val="009979B5"/>
    <w:rsid w:val="009A2C9B"/>
    <w:rsid w:val="009B6144"/>
    <w:rsid w:val="009D24CD"/>
    <w:rsid w:val="00A04F1C"/>
    <w:rsid w:val="00A05179"/>
    <w:rsid w:val="00A05945"/>
    <w:rsid w:val="00A21DD2"/>
    <w:rsid w:val="00A230DD"/>
    <w:rsid w:val="00A31E62"/>
    <w:rsid w:val="00A376D1"/>
    <w:rsid w:val="00A55C2F"/>
    <w:rsid w:val="00A563C7"/>
    <w:rsid w:val="00A57977"/>
    <w:rsid w:val="00A654CA"/>
    <w:rsid w:val="00A66C90"/>
    <w:rsid w:val="00A815B6"/>
    <w:rsid w:val="00A8170F"/>
    <w:rsid w:val="00A91EB5"/>
    <w:rsid w:val="00A96D95"/>
    <w:rsid w:val="00AC3BC9"/>
    <w:rsid w:val="00AC4AD7"/>
    <w:rsid w:val="00AD1666"/>
    <w:rsid w:val="00AD3D11"/>
    <w:rsid w:val="00AE0554"/>
    <w:rsid w:val="00AF19CE"/>
    <w:rsid w:val="00AF1E99"/>
    <w:rsid w:val="00AF2B53"/>
    <w:rsid w:val="00B32F19"/>
    <w:rsid w:val="00B34D84"/>
    <w:rsid w:val="00B43009"/>
    <w:rsid w:val="00B54B88"/>
    <w:rsid w:val="00BB1B45"/>
    <w:rsid w:val="00BC33B4"/>
    <w:rsid w:val="00C00125"/>
    <w:rsid w:val="00C22D6C"/>
    <w:rsid w:val="00C258C6"/>
    <w:rsid w:val="00C60E38"/>
    <w:rsid w:val="00C623F1"/>
    <w:rsid w:val="00C77654"/>
    <w:rsid w:val="00C85416"/>
    <w:rsid w:val="00CA04F3"/>
    <w:rsid w:val="00CA3FF4"/>
    <w:rsid w:val="00CA7B14"/>
    <w:rsid w:val="00D040F2"/>
    <w:rsid w:val="00D150B5"/>
    <w:rsid w:val="00D21E39"/>
    <w:rsid w:val="00D30A79"/>
    <w:rsid w:val="00D407BA"/>
    <w:rsid w:val="00D47122"/>
    <w:rsid w:val="00D83022"/>
    <w:rsid w:val="00D84228"/>
    <w:rsid w:val="00D911F5"/>
    <w:rsid w:val="00DA1127"/>
    <w:rsid w:val="00DA49B8"/>
    <w:rsid w:val="00DA6DC3"/>
    <w:rsid w:val="00DC6716"/>
    <w:rsid w:val="00DC69A2"/>
    <w:rsid w:val="00DD2CE8"/>
    <w:rsid w:val="00DD68CA"/>
    <w:rsid w:val="00DE0872"/>
    <w:rsid w:val="00DE5455"/>
    <w:rsid w:val="00DF012B"/>
    <w:rsid w:val="00DF109B"/>
    <w:rsid w:val="00DF17E3"/>
    <w:rsid w:val="00E07386"/>
    <w:rsid w:val="00E14A1A"/>
    <w:rsid w:val="00E17F1A"/>
    <w:rsid w:val="00E45C46"/>
    <w:rsid w:val="00E52405"/>
    <w:rsid w:val="00E555B3"/>
    <w:rsid w:val="00E57D52"/>
    <w:rsid w:val="00E645B4"/>
    <w:rsid w:val="00E64886"/>
    <w:rsid w:val="00E76F5B"/>
    <w:rsid w:val="00E80205"/>
    <w:rsid w:val="00E8208C"/>
    <w:rsid w:val="00E9131F"/>
    <w:rsid w:val="00EC5E44"/>
    <w:rsid w:val="00EC6375"/>
    <w:rsid w:val="00EF273F"/>
    <w:rsid w:val="00F1219B"/>
    <w:rsid w:val="00F15118"/>
    <w:rsid w:val="00F205F5"/>
    <w:rsid w:val="00F547E0"/>
    <w:rsid w:val="00F678F5"/>
    <w:rsid w:val="00F830DA"/>
    <w:rsid w:val="00F83892"/>
    <w:rsid w:val="00F8473D"/>
    <w:rsid w:val="00F8789D"/>
    <w:rsid w:val="00F93AEE"/>
    <w:rsid w:val="00FA6B5D"/>
    <w:rsid w:val="00FB762D"/>
    <w:rsid w:val="00FC019B"/>
    <w:rsid w:val="00FC3DE5"/>
    <w:rsid w:val="00FC4161"/>
    <w:rsid w:val="00FC6DC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6B96"/>
  <w15:docId w15:val="{F4B99FB6-3350-45EB-BEAD-C9D4DEE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B5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4F1C"/>
    <w:pPr>
      <w:keepNext/>
      <w:spacing w:before="240"/>
      <w:outlineLvl w:val="0"/>
    </w:pPr>
    <w:rPr>
      <w:rFonts w:ascii="Calibri" w:hAnsi="Calibri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1">
    <w:name w:val="enumlev1"/>
    <w:basedOn w:val="Normal"/>
    <w:rsid w:val="00AF1E9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AF1E99"/>
    <w:pPr>
      <w:ind w:left="1191" w:hanging="397"/>
    </w:pPr>
  </w:style>
  <w:style w:type="paragraph" w:customStyle="1" w:styleId="Tabletext0">
    <w:name w:val="Table_text"/>
    <w:basedOn w:val="Normal"/>
    <w:rsid w:val="00AF1E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table" w:styleId="TableGrid">
    <w:name w:val="Table Grid"/>
    <w:basedOn w:val="TableNormal"/>
    <w:rsid w:val="008D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7737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table" w:customStyle="1" w:styleId="TableGrid1">
    <w:name w:val="Table Grid1"/>
    <w:basedOn w:val="TableNormal"/>
    <w:next w:val="TableGrid"/>
    <w:rsid w:val="00C85416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4F1C"/>
    <w:rPr>
      <w:rFonts w:ascii="Calibri" w:hAnsi="Calibri" w:cs="Arial"/>
      <w:b/>
      <w:bCs/>
      <w:color w:val="00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32F1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5-2028/21/Pages/default.aspx" TargetMode="External"/><Relationship Id="rId18" Type="http://schemas.openxmlformats.org/officeDocument/2006/relationships/hyperlink" Target="http://itu.int/en/ITU-T/jca/mv" TargetMode="External"/><Relationship Id="rId26" Type="http://schemas.openxmlformats.org/officeDocument/2006/relationships/hyperlink" Target="mailto:tsbjcamv@itu.int" TargetMode="External"/><Relationship Id="rId21" Type="http://schemas.openxmlformats.org/officeDocument/2006/relationships/hyperlink" Target="mailto:tsbjcamv@itu.int" TargetMode="External"/><Relationship Id="rId34" Type="http://schemas.openxmlformats.org/officeDocument/2006/relationships/hyperlink" Target="https://www.itu.int/ifa/t/sftp/jcamv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tu.int/en/ITU-T/jca/mv" TargetMode="External"/><Relationship Id="rId17" Type="http://schemas.openxmlformats.org/officeDocument/2006/relationships/hyperlink" Target="http://itu.int/en/ITU-T/jca/mv" TargetMode="External"/><Relationship Id="rId25" Type="http://schemas.openxmlformats.org/officeDocument/2006/relationships/hyperlink" Target="http://itu.int/en/ITU-T/jca/mv" TargetMode="External"/><Relationship Id="rId33" Type="http://schemas.openxmlformats.org/officeDocument/2006/relationships/hyperlink" Target="https://www.itu.int/ifa/t/sftp/jcamv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sbjcamv@itu.int" TargetMode="External"/><Relationship Id="rId20" Type="http://schemas.openxmlformats.org/officeDocument/2006/relationships/hyperlink" Target="http://itu.int/en/ITU-T/jca/mv" TargetMode="External"/><Relationship Id="rId29" Type="http://schemas.openxmlformats.org/officeDocument/2006/relationships/hyperlink" Target="http://itu.int/en/ITU-T/jca/qkd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25-2028/21/Pages/default.aspx" TargetMode="External"/><Relationship Id="rId24" Type="http://schemas.openxmlformats.org/officeDocument/2006/relationships/hyperlink" Target="http://itu.int/en/ITU-T/jca/qkdn" TargetMode="Externa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sbjcamv@itu.int" TargetMode="External"/><Relationship Id="rId23" Type="http://schemas.openxmlformats.org/officeDocument/2006/relationships/hyperlink" Target="mailto:tsbjcamv@itu.int" TargetMode="External"/><Relationship Id="rId28" Type="http://schemas.openxmlformats.org/officeDocument/2006/relationships/hyperlink" Target="http://itu.int/en/ITU-T/jca/mv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en/ITU-T/jca/mv" TargetMode="External"/><Relationship Id="rId19" Type="http://schemas.openxmlformats.org/officeDocument/2006/relationships/hyperlink" Target="http://itu.int/en/ITU-T/jca/mv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tu.int/en/ITU-T/jca/mv" TargetMode="External"/><Relationship Id="rId14" Type="http://schemas.openxmlformats.org/officeDocument/2006/relationships/hyperlink" Target="http://itu.int/en/ITU-T/jca/mv" TargetMode="External"/><Relationship Id="rId22" Type="http://schemas.openxmlformats.org/officeDocument/2006/relationships/hyperlink" Target="http://itu.int/en/ITU-T/jca/mv" TargetMode="External"/><Relationship Id="rId27" Type="http://schemas.openxmlformats.org/officeDocument/2006/relationships/hyperlink" Target="mailto:tsbjcamv@itu.int" TargetMode="External"/><Relationship Id="rId30" Type="http://schemas.openxmlformats.org/officeDocument/2006/relationships/hyperlink" Target="http://itu.int/en/ITU-T/jca/mv" TargetMode="External"/><Relationship Id="rId35" Type="http://schemas.openxmlformats.org/officeDocument/2006/relationships/header" Target="header1.xml"/><Relationship Id="rId8" Type="http://schemas.openxmlformats.org/officeDocument/2006/relationships/hyperlink" Target="mailto:tsbjcamv@itu.in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18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12088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OK</dc:creator>
  <cp:lastModifiedBy>Braud, Olivia</cp:lastModifiedBy>
  <cp:revision>6</cp:revision>
  <cp:lastPrinted>2025-07-18T14:25:00Z</cp:lastPrinted>
  <dcterms:created xsi:type="dcterms:W3CDTF">2025-07-08T08:12:00Z</dcterms:created>
  <dcterms:modified xsi:type="dcterms:W3CDTF">2025-07-18T14:25:00Z</dcterms:modified>
</cp:coreProperties>
</file>