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405"/>
        <w:tblW w:w="0" w:type="auto"/>
        <w:tblCellMar>
          <w:left w:w="0" w:type="dxa"/>
          <w:right w:w="0" w:type="dxa"/>
        </w:tblCellMar>
        <w:tblLook w:val="0000" w:firstRow="0" w:lastRow="0" w:firstColumn="0" w:lastColumn="0" w:noHBand="0" w:noVBand="0"/>
      </w:tblPr>
      <w:tblGrid>
        <w:gridCol w:w="1279"/>
        <w:gridCol w:w="3477"/>
        <w:gridCol w:w="4973"/>
      </w:tblGrid>
      <w:tr w:rsidR="00EF6A23" w:rsidRPr="00170D27" w14:paraId="4BFCD1D6" w14:textId="77777777" w:rsidTr="00455FC4">
        <w:trPr>
          <w:cantSplit/>
        </w:trPr>
        <w:tc>
          <w:tcPr>
            <w:tcW w:w="0" w:type="auto"/>
            <w:vAlign w:val="center"/>
          </w:tcPr>
          <w:p w14:paraId="6F318B7C" w14:textId="77777777" w:rsidR="00EF6A23" w:rsidRPr="00170D27" w:rsidRDefault="00EF6A23" w:rsidP="00455FC4">
            <w:pPr>
              <w:tabs>
                <w:tab w:val="right" w:pos="8732"/>
              </w:tabs>
              <w:spacing w:before="0"/>
              <w:rPr>
                <w:b/>
                <w:bCs/>
                <w:iCs/>
                <w:color w:val="FFFFFF"/>
                <w:sz w:val="30"/>
                <w:szCs w:val="30"/>
                <w:lang w:val="fr-CH"/>
              </w:rPr>
            </w:pPr>
            <w:r w:rsidRPr="00F1238A">
              <w:rPr>
                <w:noProof/>
                <w:lang w:val="en-US" w:eastAsia="zh-CN"/>
              </w:rPr>
              <w:drawing>
                <wp:inline distT="0" distB="0" distL="0" distR="0" wp14:anchorId="637C418F" wp14:editId="30EBFF6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5AC1124D" w14:textId="77777777" w:rsidR="00EF6A23" w:rsidRPr="00170D27" w:rsidRDefault="00EF6A23" w:rsidP="00455FC4">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3BE7F05C" w14:textId="77777777" w:rsidR="00EF6A23" w:rsidRPr="00170D27" w:rsidRDefault="00EF6A23" w:rsidP="00455FC4">
            <w:pPr>
              <w:spacing w:before="0"/>
              <w:rPr>
                <w:color w:val="FFFFFF"/>
                <w:sz w:val="26"/>
                <w:szCs w:val="26"/>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r>
      <w:tr w:rsidR="00036F4F" w:rsidRPr="00455FC4" w14:paraId="36ACC163" w14:textId="77777777" w:rsidTr="00455FC4">
        <w:trPr>
          <w:cantSplit/>
          <w:trHeight w:val="615"/>
        </w:trPr>
        <w:tc>
          <w:tcPr>
            <w:tcW w:w="0" w:type="auto"/>
          </w:tcPr>
          <w:p w14:paraId="3D0AE578" w14:textId="77777777" w:rsidR="00036F4F" w:rsidRPr="00455FC4" w:rsidRDefault="00036F4F" w:rsidP="00455FC4">
            <w:pPr>
              <w:tabs>
                <w:tab w:val="left" w:pos="4111"/>
              </w:tabs>
              <w:spacing w:before="10"/>
              <w:ind w:left="57"/>
              <w:rPr>
                <w:rFonts w:cstheme="minorHAnsi"/>
                <w:sz w:val="22"/>
                <w:szCs w:val="22"/>
              </w:rPr>
            </w:pPr>
          </w:p>
        </w:tc>
        <w:tc>
          <w:tcPr>
            <w:tcW w:w="3460" w:type="dxa"/>
          </w:tcPr>
          <w:p w14:paraId="6612078E" w14:textId="77777777" w:rsidR="00036F4F" w:rsidRPr="00455FC4" w:rsidRDefault="00036F4F" w:rsidP="00455FC4">
            <w:pPr>
              <w:tabs>
                <w:tab w:val="left" w:pos="4111"/>
              </w:tabs>
              <w:spacing w:before="10"/>
              <w:ind w:left="57"/>
              <w:rPr>
                <w:rFonts w:cstheme="minorHAnsi"/>
                <w:b/>
                <w:sz w:val="22"/>
                <w:szCs w:val="22"/>
              </w:rPr>
            </w:pPr>
          </w:p>
        </w:tc>
        <w:tc>
          <w:tcPr>
            <w:tcW w:w="4990" w:type="dxa"/>
          </w:tcPr>
          <w:p w14:paraId="5CB8C00E" w14:textId="28E29D66" w:rsidR="00036F4F" w:rsidRPr="00455FC4" w:rsidRDefault="00036F4F" w:rsidP="00455FC4">
            <w:pPr>
              <w:tabs>
                <w:tab w:val="clear" w:pos="794"/>
                <w:tab w:val="clear" w:pos="1191"/>
                <w:tab w:val="clear" w:pos="1588"/>
                <w:tab w:val="clear" w:pos="1985"/>
                <w:tab w:val="left" w:pos="284"/>
              </w:tabs>
              <w:spacing w:after="120"/>
              <w:ind w:left="284" w:hanging="227"/>
              <w:rPr>
                <w:rFonts w:cstheme="minorHAnsi"/>
                <w:sz w:val="22"/>
                <w:szCs w:val="22"/>
              </w:rPr>
            </w:pPr>
            <w:r w:rsidRPr="00455FC4">
              <w:rPr>
                <w:rFonts w:cstheme="minorHAnsi"/>
                <w:sz w:val="22"/>
                <w:szCs w:val="22"/>
              </w:rPr>
              <w:t>Genève, le</w:t>
            </w:r>
            <w:r w:rsidR="00CD1CEC" w:rsidRPr="00455FC4">
              <w:rPr>
                <w:rFonts w:cstheme="minorHAnsi"/>
                <w:sz w:val="22"/>
                <w:szCs w:val="22"/>
              </w:rPr>
              <w:t xml:space="preserve"> 3 juillet 2025</w:t>
            </w:r>
          </w:p>
        </w:tc>
      </w:tr>
      <w:tr w:rsidR="00445B68" w:rsidRPr="00455FC4" w14:paraId="268D451D" w14:textId="77777777" w:rsidTr="00455FC4">
        <w:trPr>
          <w:cantSplit/>
          <w:trHeight w:val="340"/>
        </w:trPr>
        <w:tc>
          <w:tcPr>
            <w:tcW w:w="0" w:type="auto"/>
          </w:tcPr>
          <w:p w14:paraId="066ED6DC" w14:textId="6466D637" w:rsidR="00445B68" w:rsidRPr="00455FC4" w:rsidRDefault="00445B68" w:rsidP="00455FC4">
            <w:pPr>
              <w:tabs>
                <w:tab w:val="left" w:pos="4111"/>
              </w:tabs>
              <w:spacing w:before="10"/>
              <w:rPr>
                <w:rFonts w:cstheme="minorHAnsi"/>
                <w:sz w:val="22"/>
                <w:szCs w:val="22"/>
              </w:rPr>
            </w:pPr>
            <w:proofErr w:type="gramStart"/>
            <w:r w:rsidRPr="00455FC4">
              <w:rPr>
                <w:rFonts w:cstheme="minorHAnsi"/>
                <w:sz w:val="22"/>
                <w:szCs w:val="22"/>
              </w:rPr>
              <w:t>Réf.:</w:t>
            </w:r>
            <w:proofErr w:type="gramEnd"/>
          </w:p>
        </w:tc>
        <w:tc>
          <w:tcPr>
            <w:tcW w:w="3460" w:type="dxa"/>
          </w:tcPr>
          <w:p w14:paraId="6535595C" w14:textId="49D58767" w:rsidR="00445B68" w:rsidRPr="00455FC4" w:rsidRDefault="00445B68" w:rsidP="00455FC4">
            <w:pPr>
              <w:tabs>
                <w:tab w:val="left" w:pos="4111"/>
              </w:tabs>
              <w:spacing w:before="10"/>
              <w:ind w:left="57"/>
              <w:rPr>
                <w:rFonts w:cstheme="minorHAnsi"/>
                <w:b/>
                <w:sz w:val="22"/>
                <w:szCs w:val="22"/>
              </w:rPr>
            </w:pPr>
            <w:r w:rsidRPr="00455FC4">
              <w:rPr>
                <w:rFonts w:cstheme="minorHAnsi"/>
                <w:b/>
                <w:sz w:val="22"/>
                <w:szCs w:val="22"/>
              </w:rPr>
              <w:t>Circulaire TSB</w:t>
            </w:r>
            <w:r w:rsidR="00897125" w:rsidRPr="00455FC4">
              <w:rPr>
                <w:rFonts w:cstheme="minorHAnsi"/>
                <w:b/>
                <w:sz w:val="22"/>
                <w:szCs w:val="22"/>
              </w:rPr>
              <w:t xml:space="preserve"> 60</w:t>
            </w:r>
          </w:p>
          <w:p w14:paraId="4AB21B67" w14:textId="455837F0" w:rsidR="00445B68" w:rsidRPr="00455FC4" w:rsidRDefault="00897125" w:rsidP="00455FC4">
            <w:pPr>
              <w:tabs>
                <w:tab w:val="left" w:pos="4111"/>
              </w:tabs>
              <w:spacing w:before="10"/>
              <w:ind w:left="57"/>
              <w:rPr>
                <w:rFonts w:cstheme="minorHAnsi"/>
                <w:b/>
                <w:bCs/>
                <w:sz w:val="22"/>
                <w:szCs w:val="22"/>
              </w:rPr>
            </w:pPr>
            <w:r w:rsidRPr="00455FC4">
              <w:rPr>
                <w:rFonts w:cstheme="minorHAnsi"/>
                <w:b/>
                <w:bCs/>
                <w:sz w:val="22"/>
                <w:szCs w:val="22"/>
              </w:rPr>
              <w:t>CB</w:t>
            </w:r>
          </w:p>
        </w:tc>
        <w:tc>
          <w:tcPr>
            <w:tcW w:w="4990" w:type="dxa"/>
            <w:vMerge w:val="restart"/>
          </w:tcPr>
          <w:p w14:paraId="2DD2175C" w14:textId="27F9F387" w:rsidR="00445B68" w:rsidRPr="00455FC4" w:rsidRDefault="00897125" w:rsidP="00455FC4">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455FC4">
              <w:rPr>
                <w:rFonts w:cstheme="minorHAnsi"/>
                <w:sz w:val="22"/>
                <w:szCs w:val="22"/>
              </w:rPr>
              <w:t>–</w:t>
            </w:r>
            <w:r w:rsidR="00445B68" w:rsidRPr="00455FC4">
              <w:rPr>
                <w:rFonts w:cstheme="minorHAnsi"/>
                <w:sz w:val="22"/>
                <w:szCs w:val="22"/>
              </w:rPr>
              <w:tab/>
              <w:t xml:space="preserve">Aux administrations des </w:t>
            </w:r>
            <w:r w:rsidRPr="00455FC4">
              <w:rPr>
                <w:rFonts w:cstheme="minorHAnsi"/>
                <w:sz w:val="22"/>
                <w:szCs w:val="22"/>
              </w:rPr>
              <w:t>États</w:t>
            </w:r>
            <w:r w:rsidR="00445B68" w:rsidRPr="00455FC4">
              <w:rPr>
                <w:rFonts w:cstheme="minorHAnsi"/>
                <w:sz w:val="22"/>
                <w:szCs w:val="22"/>
              </w:rPr>
              <w:t xml:space="preserve"> Membres de</w:t>
            </w:r>
            <w:r w:rsidR="00CD1CEC" w:rsidRPr="00455FC4">
              <w:rPr>
                <w:rFonts w:cstheme="minorHAnsi"/>
                <w:sz w:val="22"/>
                <w:szCs w:val="22"/>
              </w:rPr>
              <w:t> </w:t>
            </w:r>
            <w:r w:rsidR="00445B68" w:rsidRPr="00455FC4">
              <w:rPr>
                <w:rFonts w:cstheme="minorHAnsi"/>
                <w:sz w:val="22"/>
                <w:szCs w:val="22"/>
              </w:rPr>
              <w:t>l'Union</w:t>
            </w:r>
          </w:p>
          <w:p w14:paraId="6FD6EF33" w14:textId="45FF9C96" w:rsidR="00445B68" w:rsidRPr="00455FC4" w:rsidRDefault="00897125" w:rsidP="00455FC4">
            <w:pPr>
              <w:tabs>
                <w:tab w:val="clear" w:pos="794"/>
                <w:tab w:val="left" w:pos="226"/>
                <w:tab w:val="left" w:pos="4111"/>
              </w:tabs>
              <w:spacing w:before="0"/>
              <w:rPr>
                <w:rFonts w:cstheme="minorHAnsi"/>
                <w:sz w:val="22"/>
                <w:szCs w:val="22"/>
              </w:rPr>
            </w:pPr>
            <w:r w:rsidRPr="00455FC4">
              <w:rPr>
                <w:rFonts w:cstheme="minorHAnsi"/>
                <w:sz w:val="22"/>
                <w:szCs w:val="22"/>
              </w:rPr>
              <w:t>–</w:t>
            </w:r>
            <w:r w:rsidR="00445B68" w:rsidRPr="00455FC4">
              <w:rPr>
                <w:rFonts w:cstheme="minorHAnsi"/>
                <w:sz w:val="22"/>
                <w:szCs w:val="22"/>
              </w:rPr>
              <w:tab/>
              <w:t>Aux Membres du Secteur UIT-</w:t>
            </w:r>
            <w:proofErr w:type="gramStart"/>
            <w:r w:rsidR="00445B68" w:rsidRPr="00455FC4">
              <w:rPr>
                <w:rFonts w:cstheme="minorHAnsi"/>
                <w:sz w:val="22"/>
                <w:szCs w:val="22"/>
              </w:rPr>
              <w:t>T;</w:t>
            </w:r>
            <w:proofErr w:type="gramEnd"/>
          </w:p>
          <w:p w14:paraId="0458F4EC" w14:textId="2069EADC" w:rsidR="00897125" w:rsidRPr="00455FC4" w:rsidRDefault="00897125" w:rsidP="00455FC4">
            <w:pPr>
              <w:tabs>
                <w:tab w:val="clear" w:pos="794"/>
                <w:tab w:val="left" w:pos="226"/>
                <w:tab w:val="left" w:pos="4111"/>
              </w:tabs>
              <w:spacing w:before="0"/>
              <w:ind w:left="226" w:hanging="226"/>
              <w:rPr>
                <w:rFonts w:cstheme="minorHAnsi"/>
                <w:sz w:val="22"/>
                <w:szCs w:val="22"/>
              </w:rPr>
            </w:pPr>
            <w:r w:rsidRPr="00455FC4">
              <w:rPr>
                <w:rFonts w:cstheme="minorHAnsi"/>
                <w:sz w:val="22"/>
                <w:szCs w:val="22"/>
              </w:rPr>
              <w:t>–</w:t>
            </w:r>
            <w:r w:rsidRPr="00455FC4">
              <w:rPr>
                <w:rFonts w:cstheme="minorHAnsi"/>
                <w:sz w:val="22"/>
                <w:szCs w:val="22"/>
              </w:rPr>
              <w:tab/>
              <w:t>À l'État de Palestine (Rés</w:t>
            </w:r>
            <w:r w:rsidR="00CE49FC" w:rsidRPr="00455FC4">
              <w:rPr>
                <w:rFonts w:cstheme="minorHAnsi"/>
                <w:sz w:val="22"/>
                <w:szCs w:val="22"/>
              </w:rPr>
              <w:t>olution</w:t>
            </w:r>
            <w:r w:rsidRPr="00455FC4">
              <w:rPr>
                <w:rFonts w:cstheme="minorHAnsi"/>
                <w:sz w:val="22"/>
                <w:szCs w:val="22"/>
              </w:rPr>
              <w:t xml:space="preserve"> 99 (Rév.</w:t>
            </w:r>
            <w:r w:rsidR="00CE49FC" w:rsidRPr="00455FC4">
              <w:rPr>
                <w:rFonts w:cstheme="minorHAnsi"/>
                <w:sz w:val="22"/>
                <w:szCs w:val="22"/>
              </w:rPr>
              <w:t> </w:t>
            </w:r>
            <w:r w:rsidRPr="00455FC4">
              <w:rPr>
                <w:rFonts w:cstheme="minorHAnsi"/>
                <w:sz w:val="22"/>
                <w:szCs w:val="22"/>
              </w:rPr>
              <w:t>Dubaï,</w:t>
            </w:r>
            <w:r w:rsidR="00CE49FC" w:rsidRPr="00455FC4">
              <w:rPr>
                <w:rFonts w:cstheme="minorHAnsi"/>
                <w:sz w:val="22"/>
                <w:szCs w:val="22"/>
              </w:rPr>
              <w:t> </w:t>
            </w:r>
            <w:r w:rsidRPr="00455FC4">
              <w:rPr>
                <w:rFonts w:cstheme="minorHAnsi"/>
                <w:sz w:val="22"/>
                <w:szCs w:val="22"/>
              </w:rPr>
              <w:t>2018)</w:t>
            </w:r>
            <w:proofErr w:type="gramStart"/>
            <w:r w:rsidRPr="00455FC4">
              <w:rPr>
                <w:rFonts w:cstheme="minorHAnsi"/>
                <w:sz w:val="22"/>
                <w:szCs w:val="22"/>
              </w:rPr>
              <w:t>);</w:t>
            </w:r>
            <w:proofErr w:type="gramEnd"/>
          </w:p>
          <w:p w14:paraId="23A35C02" w14:textId="25444579" w:rsidR="00445B68" w:rsidRPr="00455FC4" w:rsidRDefault="00897125" w:rsidP="00455FC4">
            <w:pPr>
              <w:tabs>
                <w:tab w:val="clear" w:pos="794"/>
                <w:tab w:val="left" w:pos="226"/>
                <w:tab w:val="left" w:pos="4111"/>
              </w:tabs>
              <w:spacing w:before="0"/>
              <w:rPr>
                <w:rFonts w:cstheme="minorHAnsi"/>
                <w:sz w:val="22"/>
                <w:szCs w:val="22"/>
              </w:rPr>
            </w:pPr>
            <w:r w:rsidRPr="00455FC4">
              <w:rPr>
                <w:rFonts w:cstheme="minorHAnsi"/>
                <w:sz w:val="22"/>
                <w:szCs w:val="22"/>
              </w:rPr>
              <w:t>–</w:t>
            </w:r>
            <w:r w:rsidR="00445B68" w:rsidRPr="00455FC4">
              <w:rPr>
                <w:rFonts w:cstheme="minorHAnsi"/>
                <w:sz w:val="22"/>
                <w:szCs w:val="22"/>
              </w:rPr>
              <w:tab/>
              <w:t>Aux Associés de l'UIT-</w:t>
            </w:r>
            <w:proofErr w:type="gramStart"/>
            <w:r w:rsidR="00445B68" w:rsidRPr="00455FC4">
              <w:rPr>
                <w:rFonts w:cstheme="minorHAnsi"/>
                <w:sz w:val="22"/>
                <w:szCs w:val="22"/>
              </w:rPr>
              <w:t>T;</w:t>
            </w:r>
            <w:proofErr w:type="gramEnd"/>
          </w:p>
          <w:p w14:paraId="4D0D8288" w14:textId="3B003EA9" w:rsidR="00445B68" w:rsidRPr="00455FC4" w:rsidRDefault="00897125" w:rsidP="00455FC4">
            <w:pPr>
              <w:tabs>
                <w:tab w:val="clear" w:pos="794"/>
                <w:tab w:val="left" w:pos="226"/>
                <w:tab w:val="left" w:pos="4111"/>
              </w:tabs>
              <w:spacing w:before="0"/>
              <w:ind w:left="226" w:hanging="226"/>
              <w:rPr>
                <w:rFonts w:cstheme="minorHAnsi"/>
                <w:sz w:val="22"/>
                <w:szCs w:val="22"/>
              </w:rPr>
            </w:pPr>
            <w:r w:rsidRPr="00455FC4">
              <w:rPr>
                <w:rFonts w:cstheme="minorHAnsi"/>
                <w:sz w:val="22"/>
                <w:szCs w:val="22"/>
              </w:rPr>
              <w:t>–</w:t>
            </w:r>
            <w:r w:rsidR="00445B68" w:rsidRPr="00455FC4">
              <w:rPr>
                <w:rFonts w:cstheme="minorHAnsi"/>
                <w:sz w:val="22"/>
                <w:szCs w:val="22"/>
              </w:rPr>
              <w:tab/>
              <w:t>Aux établissements universitaires participant aux travaux de l'UIT-T</w:t>
            </w:r>
          </w:p>
          <w:p w14:paraId="3CA332FB" w14:textId="7CA3FDAE" w:rsidR="00897125" w:rsidRPr="00455FC4" w:rsidRDefault="00897125" w:rsidP="00455FC4">
            <w:pPr>
              <w:tabs>
                <w:tab w:val="clear" w:pos="794"/>
                <w:tab w:val="left" w:pos="226"/>
                <w:tab w:val="left" w:pos="4111"/>
              </w:tabs>
              <w:spacing w:before="40" w:after="40"/>
              <w:ind w:left="226" w:hanging="226"/>
              <w:rPr>
                <w:rFonts w:cstheme="minorHAnsi"/>
                <w:b/>
                <w:bCs/>
                <w:sz w:val="22"/>
                <w:szCs w:val="22"/>
              </w:rPr>
            </w:pPr>
            <w:proofErr w:type="gramStart"/>
            <w:r w:rsidRPr="00455FC4">
              <w:rPr>
                <w:rFonts w:cstheme="minorHAnsi"/>
                <w:b/>
                <w:bCs/>
                <w:sz w:val="22"/>
                <w:szCs w:val="22"/>
              </w:rPr>
              <w:t>Copie:</w:t>
            </w:r>
            <w:proofErr w:type="gramEnd"/>
          </w:p>
          <w:p w14:paraId="1A557207" w14:textId="55FA4210" w:rsidR="00445B68" w:rsidRPr="00455FC4" w:rsidRDefault="00897125" w:rsidP="00455FC4">
            <w:pPr>
              <w:tabs>
                <w:tab w:val="clear" w:pos="794"/>
                <w:tab w:val="left" w:pos="226"/>
                <w:tab w:val="left" w:pos="4111"/>
              </w:tabs>
              <w:spacing w:before="0"/>
              <w:ind w:left="226" w:hanging="226"/>
              <w:rPr>
                <w:rFonts w:cstheme="minorHAnsi"/>
                <w:sz w:val="22"/>
                <w:szCs w:val="22"/>
              </w:rPr>
            </w:pPr>
            <w:r w:rsidRPr="00455FC4">
              <w:rPr>
                <w:rFonts w:cstheme="minorHAnsi"/>
                <w:sz w:val="22"/>
                <w:szCs w:val="22"/>
              </w:rPr>
              <w:t>–</w:t>
            </w:r>
            <w:r w:rsidR="00445B68" w:rsidRPr="00455FC4">
              <w:rPr>
                <w:rFonts w:cstheme="minorHAnsi"/>
                <w:sz w:val="22"/>
                <w:szCs w:val="22"/>
              </w:rPr>
              <w:tab/>
              <w:t>Aux Président et Vice-Présidents de</w:t>
            </w:r>
            <w:r w:rsidRPr="00455FC4">
              <w:rPr>
                <w:rFonts w:cstheme="minorHAnsi"/>
                <w:sz w:val="22"/>
                <w:szCs w:val="22"/>
              </w:rPr>
              <w:t>s</w:t>
            </w:r>
            <w:r w:rsidR="00445B68" w:rsidRPr="00455FC4">
              <w:rPr>
                <w:rFonts w:cstheme="minorHAnsi"/>
                <w:sz w:val="22"/>
                <w:szCs w:val="22"/>
              </w:rPr>
              <w:t xml:space="preserve"> commission</w:t>
            </w:r>
            <w:r w:rsidRPr="00455FC4">
              <w:rPr>
                <w:rFonts w:cstheme="minorHAnsi"/>
                <w:sz w:val="22"/>
                <w:szCs w:val="22"/>
              </w:rPr>
              <w:t>s</w:t>
            </w:r>
            <w:r w:rsidR="00445B68" w:rsidRPr="00455FC4">
              <w:rPr>
                <w:rFonts w:cstheme="minorHAnsi"/>
                <w:sz w:val="22"/>
                <w:szCs w:val="22"/>
              </w:rPr>
              <w:t xml:space="preserve"> d'étude</w:t>
            </w:r>
            <w:r w:rsidRPr="00455FC4">
              <w:rPr>
                <w:rFonts w:cstheme="minorHAnsi"/>
                <w:sz w:val="22"/>
                <w:szCs w:val="22"/>
              </w:rPr>
              <w:t>s de l'UIT-</w:t>
            </w:r>
            <w:proofErr w:type="gramStart"/>
            <w:r w:rsidRPr="00455FC4">
              <w:rPr>
                <w:rFonts w:cstheme="minorHAnsi"/>
                <w:sz w:val="22"/>
                <w:szCs w:val="22"/>
              </w:rPr>
              <w:t>T</w:t>
            </w:r>
            <w:r w:rsidR="00445B68" w:rsidRPr="00455FC4">
              <w:rPr>
                <w:rFonts w:cstheme="minorHAnsi"/>
                <w:sz w:val="22"/>
                <w:szCs w:val="22"/>
              </w:rPr>
              <w:t>;</w:t>
            </w:r>
            <w:proofErr w:type="gramEnd"/>
          </w:p>
          <w:p w14:paraId="5B04291E" w14:textId="22DAB455" w:rsidR="00445B68" w:rsidRPr="00455FC4" w:rsidRDefault="00897125" w:rsidP="00455FC4">
            <w:pPr>
              <w:tabs>
                <w:tab w:val="clear" w:pos="794"/>
                <w:tab w:val="left" w:pos="226"/>
                <w:tab w:val="left" w:pos="4111"/>
              </w:tabs>
              <w:spacing w:before="0"/>
              <w:ind w:left="226" w:hanging="226"/>
              <w:rPr>
                <w:rFonts w:cstheme="minorHAnsi"/>
                <w:sz w:val="22"/>
                <w:szCs w:val="22"/>
              </w:rPr>
            </w:pPr>
            <w:r w:rsidRPr="00455FC4">
              <w:rPr>
                <w:rFonts w:cstheme="minorHAnsi"/>
                <w:sz w:val="22"/>
                <w:szCs w:val="22"/>
              </w:rPr>
              <w:t>–</w:t>
            </w:r>
            <w:r w:rsidR="00445B68" w:rsidRPr="00455FC4">
              <w:rPr>
                <w:rFonts w:cstheme="minorHAnsi"/>
                <w:sz w:val="22"/>
                <w:szCs w:val="22"/>
              </w:rPr>
              <w:tab/>
            </w:r>
            <w:r w:rsidR="0023667A" w:rsidRPr="00455FC4">
              <w:rPr>
                <w:rFonts w:cstheme="minorHAnsi"/>
                <w:sz w:val="22"/>
                <w:szCs w:val="22"/>
              </w:rPr>
              <w:t>Au</w:t>
            </w:r>
            <w:r w:rsidR="00445B68" w:rsidRPr="00455FC4">
              <w:rPr>
                <w:rFonts w:cstheme="minorHAnsi"/>
                <w:sz w:val="22"/>
                <w:szCs w:val="22"/>
                <w:lang w:val="fr-CH"/>
              </w:rPr>
              <w:t xml:space="preserve"> Directeur </w:t>
            </w:r>
            <w:r w:rsidR="00445B68" w:rsidRPr="00455FC4">
              <w:rPr>
                <w:rFonts w:cstheme="minorHAnsi"/>
                <w:sz w:val="22"/>
                <w:szCs w:val="22"/>
              </w:rPr>
              <w:t xml:space="preserve">du Bureau de développement des </w:t>
            </w:r>
            <w:proofErr w:type="gramStart"/>
            <w:r w:rsidR="00445B68" w:rsidRPr="00455FC4">
              <w:rPr>
                <w:rFonts w:cstheme="minorHAnsi"/>
                <w:sz w:val="22"/>
                <w:szCs w:val="22"/>
              </w:rPr>
              <w:t>télécommunications;</w:t>
            </w:r>
            <w:proofErr w:type="gramEnd"/>
          </w:p>
          <w:p w14:paraId="305240AC" w14:textId="77777777" w:rsidR="00445B68" w:rsidRPr="00455FC4" w:rsidRDefault="00897125" w:rsidP="00455FC4">
            <w:pPr>
              <w:tabs>
                <w:tab w:val="left" w:pos="226"/>
                <w:tab w:val="left" w:pos="4111"/>
              </w:tabs>
              <w:spacing w:before="0"/>
              <w:ind w:left="226" w:hanging="226"/>
              <w:rPr>
                <w:rFonts w:cstheme="minorHAnsi"/>
                <w:sz w:val="22"/>
                <w:szCs w:val="22"/>
              </w:rPr>
            </w:pPr>
            <w:r w:rsidRPr="00455FC4">
              <w:rPr>
                <w:rFonts w:cstheme="minorHAnsi"/>
                <w:sz w:val="22"/>
                <w:szCs w:val="22"/>
              </w:rPr>
              <w:t>–</w:t>
            </w:r>
            <w:r w:rsidR="00445B68" w:rsidRPr="00455FC4">
              <w:rPr>
                <w:rFonts w:cstheme="minorHAnsi"/>
                <w:sz w:val="22"/>
                <w:szCs w:val="22"/>
              </w:rPr>
              <w:tab/>
              <w:t>Au Directeur du Bureau des</w:t>
            </w:r>
            <w:r w:rsidRPr="00455FC4">
              <w:rPr>
                <w:rFonts w:cstheme="minorHAnsi"/>
                <w:sz w:val="22"/>
                <w:szCs w:val="22"/>
              </w:rPr>
              <w:t xml:space="preserve"> </w:t>
            </w:r>
            <w:proofErr w:type="gramStart"/>
            <w:r w:rsidR="00445B68" w:rsidRPr="00455FC4">
              <w:rPr>
                <w:rFonts w:cstheme="minorHAnsi"/>
                <w:sz w:val="22"/>
                <w:szCs w:val="22"/>
              </w:rPr>
              <w:t>radiocommunications</w:t>
            </w:r>
            <w:r w:rsidRPr="00455FC4">
              <w:rPr>
                <w:rFonts w:cstheme="minorHAnsi"/>
                <w:sz w:val="22"/>
                <w:szCs w:val="22"/>
              </w:rPr>
              <w:t>;</w:t>
            </w:r>
            <w:proofErr w:type="gramEnd"/>
          </w:p>
          <w:p w14:paraId="49AA550A" w14:textId="1432CA4F" w:rsidR="00897125" w:rsidRPr="00455FC4" w:rsidRDefault="00897125" w:rsidP="00455FC4">
            <w:pPr>
              <w:tabs>
                <w:tab w:val="left" w:pos="226"/>
                <w:tab w:val="left" w:pos="4111"/>
              </w:tabs>
              <w:spacing w:before="0"/>
              <w:ind w:left="226" w:hanging="226"/>
              <w:rPr>
                <w:rFonts w:cstheme="minorHAnsi"/>
                <w:sz w:val="22"/>
                <w:szCs w:val="22"/>
              </w:rPr>
            </w:pPr>
            <w:r w:rsidRPr="00455FC4">
              <w:rPr>
                <w:rFonts w:cstheme="minorHAnsi"/>
                <w:sz w:val="22"/>
                <w:szCs w:val="22"/>
              </w:rPr>
              <w:t>–</w:t>
            </w:r>
            <w:r w:rsidRPr="00455FC4">
              <w:rPr>
                <w:rFonts w:cstheme="minorHAnsi"/>
                <w:sz w:val="22"/>
                <w:szCs w:val="22"/>
              </w:rPr>
              <w:tab/>
              <w:t>Aux Directeurs des bureaux régionaux de l'UIT</w:t>
            </w:r>
          </w:p>
        </w:tc>
      </w:tr>
      <w:tr w:rsidR="00445B68" w:rsidRPr="00455FC4" w14:paraId="7CFF30E1" w14:textId="77777777" w:rsidTr="00455FC4">
        <w:trPr>
          <w:cantSplit/>
        </w:trPr>
        <w:tc>
          <w:tcPr>
            <w:tcW w:w="0" w:type="auto"/>
          </w:tcPr>
          <w:p w14:paraId="14A13344" w14:textId="77777777" w:rsidR="00445B68" w:rsidRPr="00455FC4" w:rsidRDefault="00445B68" w:rsidP="00455FC4">
            <w:pPr>
              <w:tabs>
                <w:tab w:val="left" w:pos="4111"/>
              </w:tabs>
              <w:spacing w:before="10"/>
              <w:rPr>
                <w:rFonts w:cstheme="minorHAnsi"/>
                <w:sz w:val="22"/>
                <w:szCs w:val="22"/>
              </w:rPr>
            </w:pPr>
            <w:proofErr w:type="gramStart"/>
            <w:r w:rsidRPr="00455FC4">
              <w:rPr>
                <w:rFonts w:cstheme="minorHAnsi"/>
                <w:sz w:val="22"/>
                <w:szCs w:val="22"/>
              </w:rPr>
              <w:t>Tél.:</w:t>
            </w:r>
            <w:proofErr w:type="gramEnd"/>
          </w:p>
        </w:tc>
        <w:tc>
          <w:tcPr>
            <w:tcW w:w="3460" w:type="dxa"/>
          </w:tcPr>
          <w:p w14:paraId="0738875B" w14:textId="2E925539" w:rsidR="00445B68" w:rsidRPr="00455FC4" w:rsidRDefault="00445B68" w:rsidP="00455FC4">
            <w:pPr>
              <w:tabs>
                <w:tab w:val="left" w:pos="4111"/>
              </w:tabs>
              <w:spacing w:before="0"/>
              <w:ind w:left="57"/>
              <w:rPr>
                <w:rFonts w:cstheme="minorHAnsi"/>
                <w:sz w:val="22"/>
                <w:szCs w:val="22"/>
              </w:rPr>
            </w:pPr>
            <w:r w:rsidRPr="00455FC4">
              <w:rPr>
                <w:rFonts w:cstheme="minorHAnsi"/>
                <w:sz w:val="22"/>
                <w:szCs w:val="22"/>
              </w:rPr>
              <w:t>+41 22 730</w:t>
            </w:r>
            <w:r w:rsidR="00897125" w:rsidRPr="00455FC4">
              <w:rPr>
                <w:rFonts w:cstheme="minorHAnsi"/>
                <w:sz w:val="22"/>
                <w:szCs w:val="22"/>
              </w:rPr>
              <w:t xml:space="preserve"> 6301</w:t>
            </w:r>
          </w:p>
        </w:tc>
        <w:tc>
          <w:tcPr>
            <w:tcW w:w="4990" w:type="dxa"/>
            <w:vMerge/>
          </w:tcPr>
          <w:p w14:paraId="1EAD64C2" w14:textId="77777777" w:rsidR="00445B68" w:rsidRPr="00455FC4" w:rsidRDefault="00445B68" w:rsidP="00455FC4">
            <w:pPr>
              <w:tabs>
                <w:tab w:val="left" w:pos="226"/>
                <w:tab w:val="left" w:pos="4111"/>
              </w:tabs>
              <w:spacing w:before="0"/>
              <w:ind w:left="226" w:hanging="226"/>
              <w:rPr>
                <w:rFonts w:cstheme="minorHAnsi"/>
                <w:b/>
                <w:sz w:val="22"/>
                <w:szCs w:val="22"/>
              </w:rPr>
            </w:pPr>
          </w:p>
        </w:tc>
      </w:tr>
      <w:tr w:rsidR="00445B68" w:rsidRPr="00455FC4" w14:paraId="54CB19D0" w14:textId="77777777" w:rsidTr="00455FC4">
        <w:trPr>
          <w:cantSplit/>
        </w:trPr>
        <w:tc>
          <w:tcPr>
            <w:tcW w:w="0" w:type="auto"/>
          </w:tcPr>
          <w:p w14:paraId="65030FBD" w14:textId="77777777" w:rsidR="00445B68" w:rsidRPr="00455FC4" w:rsidRDefault="00445B68" w:rsidP="00455FC4">
            <w:pPr>
              <w:tabs>
                <w:tab w:val="left" w:pos="4111"/>
              </w:tabs>
              <w:spacing w:before="10"/>
              <w:rPr>
                <w:rFonts w:cstheme="minorHAnsi"/>
                <w:sz w:val="22"/>
                <w:szCs w:val="22"/>
              </w:rPr>
            </w:pPr>
            <w:proofErr w:type="gramStart"/>
            <w:r w:rsidRPr="00455FC4">
              <w:rPr>
                <w:rFonts w:cstheme="minorHAnsi"/>
                <w:sz w:val="22"/>
                <w:szCs w:val="22"/>
              </w:rPr>
              <w:t>Télécopie:</w:t>
            </w:r>
            <w:proofErr w:type="gramEnd"/>
          </w:p>
        </w:tc>
        <w:tc>
          <w:tcPr>
            <w:tcW w:w="3460" w:type="dxa"/>
          </w:tcPr>
          <w:p w14:paraId="417FA3FF" w14:textId="77777777" w:rsidR="00445B68" w:rsidRPr="00455FC4" w:rsidRDefault="00445B68" w:rsidP="00455FC4">
            <w:pPr>
              <w:tabs>
                <w:tab w:val="left" w:pos="4111"/>
              </w:tabs>
              <w:spacing w:before="0"/>
              <w:ind w:left="57"/>
              <w:rPr>
                <w:rFonts w:cstheme="minorHAnsi"/>
                <w:sz w:val="22"/>
                <w:szCs w:val="22"/>
              </w:rPr>
            </w:pPr>
            <w:r w:rsidRPr="00455FC4">
              <w:rPr>
                <w:rFonts w:cstheme="minorHAnsi"/>
                <w:sz w:val="22"/>
                <w:szCs w:val="22"/>
              </w:rPr>
              <w:t>+41 22 730 5853</w:t>
            </w:r>
          </w:p>
        </w:tc>
        <w:tc>
          <w:tcPr>
            <w:tcW w:w="4990" w:type="dxa"/>
            <w:vMerge/>
          </w:tcPr>
          <w:p w14:paraId="58C33B69" w14:textId="77777777" w:rsidR="00445B68" w:rsidRPr="00455FC4" w:rsidRDefault="00445B68" w:rsidP="00455FC4">
            <w:pPr>
              <w:tabs>
                <w:tab w:val="left" w:pos="226"/>
                <w:tab w:val="left" w:pos="4111"/>
              </w:tabs>
              <w:spacing w:before="0"/>
              <w:ind w:left="226" w:hanging="226"/>
              <w:rPr>
                <w:rFonts w:cstheme="minorHAnsi"/>
                <w:b/>
                <w:sz w:val="22"/>
                <w:szCs w:val="22"/>
              </w:rPr>
            </w:pPr>
          </w:p>
        </w:tc>
      </w:tr>
      <w:tr w:rsidR="00445B68" w:rsidRPr="00455FC4" w14:paraId="793EA503" w14:textId="77777777" w:rsidTr="00455FC4">
        <w:trPr>
          <w:cantSplit/>
          <w:trHeight w:val="2862"/>
        </w:trPr>
        <w:tc>
          <w:tcPr>
            <w:tcW w:w="0" w:type="auto"/>
          </w:tcPr>
          <w:p w14:paraId="0EAA2545" w14:textId="77777777" w:rsidR="00445B68" w:rsidRPr="00455FC4" w:rsidRDefault="00445B68" w:rsidP="00455FC4">
            <w:pPr>
              <w:tabs>
                <w:tab w:val="left" w:pos="4111"/>
              </w:tabs>
              <w:spacing w:before="10"/>
              <w:rPr>
                <w:rFonts w:cstheme="minorHAnsi"/>
                <w:sz w:val="22"/>
                <w:szCs w:val="22"/>
              </w:rPr>
            </w:pPr>
            <w:proofErr w:type="gramStart"/>
            <w:r w:rsidRPr="00455FC4">
              <w:rPr>
                <w:rFonts w:cstheme="minorHAnsi"/>
                <w:sz w:val="22"/>
                <w:szCs w:val="22"/>
              </w:rPr>
              <w:t>Courriel:</w:t>
            </w:r>
            <w:proofErr w:type="gramEnd"/>
          </w:p>
        </w:tc>
        <w:tc>
          <w:tcPr>
            <w:tcW w:w="3460" w:type="dxa"/>
          </w:tcPr>
          <w:p w14:paraId="30648057" w14:textId="2D55027D" w:rsidR="00445B68" w:rsidRPr="00455FC4" w:rsidRDefault="00897125" w:rsidP="00455FC4">
            <w:pPr>
              <w:tabs>
                <w:tab w:val="left" w:pos="4111"/>
              </w:tabs>
              <w:spacing w:before="0"/>
              <w:ind w:left="57"/>
              <w:rPr>
                <w:rFonts w:cstheme="minorHAnsi"/>
                <w:sz w:val="22"/>
                <w:szCs w:val="22"/>
              </w:rPr>
            </w:pPr>
            <w:hyperlink r:id="rId9" w:history="1">
              <w:r w:rsidRPr="00455FC4">
                <w:rPr>
                  <w:rStyle w:val="Hyperlink"/>
                  <w:rFonts w:cstheme="minorHAnsi"/>
                  <w:sz w:val="22"/>
                  <w:szCs w:val="22"/>
                </w:rPr>
                <w:t>tsbjcamv@itu.int</w:t>
              </w:r>
            </w:hyperlink>
          </w:p>
        </w:tc>
        <w:tc>
          <w:tcPr>
            <w:tcW w:w="4990" w:type="dxa"/>
            <w:vMerge/>
          </w:tcPr>
          <w:p w14:paraId="1A9C4CE5" w14:textId="77777777" w:rsidR="00445B68" w:rsidRPr="00455FC4" w:rsidRDefault="00445B68" w:rsidP="00455FC4">
            <w:pPr>
              <w:tabs>
                <w:tab w:val="clear" w:pos="794"/>
                <w:tab w:val="left" w:pos="226"/>
                <w:tab w:val="left" w:pos="4111"/>
              </w:tabs>
              <w:spacing w:before="0"/>
              <w:ind w:left="226" w:hanging="226"/>
              <w:rPr>
                <w:rFonts w:cstheme="minorHAnsi"/>
                <w:sz w:val="22"/>
                <w:szCs w:val="22"/>
              </w:rPr>
            </w:pPr>
          </w:p>
        </w:tc>
      </w:tr>
      <w:tr w:rsidR="00517A03" w:rsidRPr="00455FC4" w14:paraId="7698EBFE" w14:textId="77777777" w:rsidTr="00455FC4">
        <w:trPr>
          <w:cantSplit/>
          <w:trHeight w:val="397"/>
        </w:trPr>
        <w:tc>
          <w:tcPr>
            <w:tcW w:w="0" w:type="auto"/>
          </w:tcPr>
          <w:p w14:paraId="426DF2A7" w14:textId="77777777" w:rsidR="00517A03" w:rsidRPr="00455FC4" w:rsidRDefault="00517A03" w:rsidP="00455FC4">
            <w:pPr>
              <w:tabs>
                <w:tab w:val="left" w:pos="4111"/>
              </w:tabs>
              <w:spacing w:before="10"/>
              <w:rPr>
                <w:rFonts w:cstheme="minorHAnsi"/>
                <w:b/>
                <w:bCs/>
                <w:sz w:val="22"/>
                <w:szCs w:val="22"/>
              </w:rPr>
            </w:pPr>
            <w:proofErr w:type="gramStart"/>
            <w:r w:rsidRPr="00455FC4">
              <w:rPr>
                <w:rFonts w:cstheme="minorHAnsi"/>
                <w:b/>
                <w:bCs/>
                <w:sz w:val="22"/>
                <w:szCs w:val="22"/>
              </w:rPr>
              <w:t>Objet:</w:t>
            </w:r>
            <w:proofErr w:type="gramEnd"/>
          </w:p>
        </w:tc>
        <w:tc>
          <w:tcPr>
            <w:tcW w:w="0" w:type="auto"/>
            <w:gridSpan w:val="2"/>
          </w:tcPr>
          <w:p w14:paraId="0F02B9A7" w14:textId="4FD40409" w:rsidR="00517A03" w:rsidRPr="00455FC4" w:rsidRDefault="00897125" w:rsidP="00455FC4">
            <w:pPr>
              <w:tabs>
                <w:tab w:val="left" w:pos="4111"/>
              </w:tabs>
              <w:spacing w:before="0"/>
              <w:ind w:left="57"/>
              <w:rPr>
                <w:rFonts w:cstheme="minorHAnsi"/>
                <w:b/>
                <w:bCs/>
                <w:sz w:val="22"/>
                <w:szCs w:val="22"/>
              </w:rPr>
            </w:pPr>
            <w:r w:rsidRPr="00455FC4">
              <w:rPr>
                <w:rFonts w:cstheme="minorHAnsi"/>
                <w:b/>
                <w:bCs/>
                <w:sz w:val="22"/>
                <w:szCs w:val="22"/>
              </w:rPr>
              <w:t>Création de l'Activité conjointe de coordination sur les réseaux de distribution de clés quantiques (JCA-MV) et première réunion de cette Activité conjointe de coordination (Genève, 9 octobre 2025)</w:t>
            </w:r>
          </w:p>
        </w:tc>
      </w:tr>
    </w:tbl>
    <w:p w14:paraId="63A2758B" w14:textId="77777777" w:rsidR="00517A03" w:rsidRPr="00455FC4" w:rsidRDefault="00517A03" w:rsidP="00455FC4">
      <w:pPr>
        <w:pStyle w:val="Normalaftertitle"/>
        <w:spacing w:before="120"/>
        <w:rPr>
          <w:rFonts w:cstheme="minorHAnsi"/>
          <w:sz w:val="22"/>
          <w:szCs w:val="22"/>
        </w:rPr>
      </w:pPr>
      <w:bookmarkStart w:id="1" w:name="StartTyping_F"/>
      <w:bookmarkEnd w:id="1"/>
      <w:r w:rsidRPr="00455FC4">
        <w:rPr>
          <w:rFonts w:cstheme="minorHAnsi"/>
          <w:sz w:val="22"/>
          <w:szCs w:val="22"/>
        </w:rPr>
        <w:t>Madame, Monsieur,</w:t>
      </w:r>
    </w:p>
    <w:p w14:paraId="75F837C8" w14:textId="7FEC1A39" w:rsidR="00897125" w:rsidRPr="00455FC4" w:rsidRDefault="00897125" w:rsidP="00897125">
      <w:pPr>
        <w:rPr>
          <w:rFonts w:cstheme="minorHAnsi"/>
          <w:bCs/>
          <w:sz w:val="22"/>
          <w:szCs w:val="22"/>
        </w:rPr>
      </w:pPr>
      <w:r w:rsidRPr="00455FC4">
        <w:rPr>
          <w:rFonts w:cstheme="minorHAnsi"/>
          <w:bCs/>
          <w:sz w:val="22"/>
          <w:szCs w:val="22"/>
        </w:rPr>
        <w:t>1</w:t>
      </w:r>
      <w:r w:rsidRPr="00455FC4">
        <w:rPr>
          <w:rFonts w:cstheme="minorHAnsi"/>
          <w:bCs/>
          <w:sz w:val="22"/>
          <w:szCs w:val="22"/>
        </w:rPr>
        <w:tab/>
      </w:r>
      <w:r w:rsidR="00CE49FC" w:rsidRPr="00455FC4">
        <w:rPr>
          <w:rFonts w:cstheme="minorHAnsi"/>
          <w:bCs/>
          <w:sz w:val="22"/>
          <w:szCs w:val="22"/>
        </w:rPr>
        <w:t>À</w:t>
      </w:r>
      <w:r w:rsidRPr="00455FC4">
        <w:rPr>
          <w:rFonts w:cstheme="minorHAnsi"/>
          <w:bCs/>
          <w:sz w:val="22"/>
          <w:szCs w:val="22"/>
        </w:rPr>
        <w:t xml:space="preserve"> la suite de l'accord donné par le Groupe consultatif de la normalisation des télécommunications (GCNT) de l'Union internationale des télécommunications (UIT) à sa réunion tenue du 26 au 30 mai 2025, j'ai l'honneur de vous annoncer la création de l'</w:t>
      </w:r>
      <w:hyperlink r:id="rId10" w:history="1">
        <w:r w:rsidRPr="00455FC4">
          <w:rPr>
            <w:rStyle w:val="Hyperlink"/>
            <w:rFonts w:cstheme="minorHAnsi"/>
            <w:bCs/>
            <w:sz w:val="22"/>
            <w:szCs w:val="22"/>
          </w:rPr>
          <w:t>Activité conjointe de coordination sur la normalisation du métavers (JCA-MV)</w:t>
        </w:r>
      </w:hyperlink>
      <w:r w:rsidRPr="00455FC4">
        <w:rPr>
          <w:rFonts w:cstheme="minorHAnsi"/>
          <w:bCs/>
          <w:sz w:val="22"/>
          <w:szCs w:val="22"/>
        </w:rPr>
        <w:t>.</w:t>
      </w:r>
    </w:p>
    <w:p w14:paraId="4E80DB82" w14:textId="57853642" w:rsidR="00897125" w:rsidRPr="00455FC4" w:rsidRDefault="00897125" w:rsidP="00897125">
      <w:pPr>
        <w:rPr>
          <w:rFonts w:cstheme="minorHAnsi"/>
          <w:bCs/>
          <w:sz w:val="22"/>
          <w:szCs w:val="22"/>
        </w:rPr>
      </w:pPr>
      <w:r w:rsidRPr="00455FC4">
        <w:rPr>
          <w:rFonts w:cstheme="minorHAnsi"/>
          <w:bCs/>
          <w:sz w:val="22"/>
          <w:szCs w:val="22"/>
        </w:rPr>
        <w:t>2</w:t>
      </w:r>
      <w:r w:rsidRPr="00455FC4">
        <w:rPr>
          <w:rFonts w:cstheme="minorHAnsi"/>
          <w:bCs/>
          <w:sz w:val="22"/>
          <w:szCs w:val="22"/>
        </w:rPr>
        <w:tab/>
        <w:t>La JCA-MV a pour mission de coordonner les travaux de normalisation du métavers du Secteur de la normalisation des télécommunications de l'UIT (UIT-T) au sein de l'UIT-T et d'encourager la collaboration entre toutes les commissions d'études concernées. Elle sert également de point de contact central pour les échanges avec les organisations de normalisation, consortiums et forums extérieurs travaillant sur les normes relatives au métavers, de manière à rendre plus efficace la communication avec ces organismes, dans les deux sens. Le mandat de la JCA-DCC est défini dans l'</w:t>
      </w:r>
      <w:r w:rsidRPr="00455FC4">
        <w:rPr>
          <w:rFonts w:cstheme="minorHAnsi"/>
          <w:b/>
          <w:sz w:val="22"/>
          <w:szCs w:val="22"/>
        </w:rPr>
        <w:t>Annexe A</w:t>
      </w:r>
      <w:r w:rsidRPr="00455FC4">
        <w:rPr>
          <w:rFonts w:cstheme="minorHAnsi"/>
          <w:bCs/>
          <w:sz w:val="22"/>
          <w:szCs w:val="22"/>
        </w:rPr>
        <w:t>.</w:t>
      </w:r>
    </w:p>
    <w:p w14:paraId="4071DAC6" w14:textId="30114EA5" w:rsidR="00897125" w:rsidRPr="00455FC4" w:rsidRDefault="00897125" w:rsidP="00897125">
      <w:pPr>
        <w:rPr>
          <w:rFonts w:cstheme="minorHAnsi"/>
          <w:bCs/>
          <w:sz w:val="22"/>
          <w:szCs w:val="22"/>
        </w:rPr>
      </w:pPr>
      <w:r w:rsidRPr="00455FC4">
        <w:rPr>
          <w:rFonts w:cstheme="minorHAnsi"/>
          <w:bCs/>
          <w:sz w:val="22"/>
          <w:szCs w:val="22"/>
        </w:rPr>
        <w:t>3</w:t>
      </w:r>
      <w:r w:rsidRPr="00455FC4">
        <w:rPr>
          <w:rFonts w:cstheme="minorHAnsi"/>
          <w:bCs/>
          <w:sz w:val="22"/>
          <w:szCs w:val="22"/>
        </w:rPr>
        <w:tab/>
        <w:t>Le GCNT a nommé M. Muath AlRumayh (Commission des communications, de l'espace et des technologies (CST) du Royaume d'Arabie saoudite, et M. Shin-Gak Kang de l'Institut de recherche en électronique et en télécommunications (ETRI) de la République de Corée, à la coprésidence de la JCA-MV.</w:t>
      </w:r>
    </w:p>
    <w:p w14:paraId="6AE2C1E2" w14:textId="3778D56F" w:rsidR="00897125" w:rsidRPr="00455FC4" w:rsidRDefault="00897125" w:rsidP="00897125">
      <w:pPr>
        <w:rPr>
          <w:rFonts w:cstheme="minorHAnsi"/>
          <w:bCs/>
          <w:sz w:val="22"/>
          <w:szCs w:val="22"/>
        </w:rPr>
      </w:pPr>
      <w:r w:rsidRPr="00455FC4">
        <w:rPr>
          <w:rFonts w:cstheme="minorHAnsi"/>
          <w:bCs/>
          <w:sz w:val="22"/>
          <w:szCs w:val="22"/>
        </w:rPr>
        <w:t>4</w:t>
      </w:r>
      <w:r w:rsidRPr="00455FC4">
        <w:rPr>
          <w:rFonts w:cstheme="minorHAnsi"/>
          <w:bCs/>
          <w:sz w:val="22"/>
          <w:szCs w:val="22"/>
        </w:rPr>
        <w:tab/>
        <w:t xml:space="preserve">La JCA-MV est ouverte aux </w:t>
      </w:r>
      <w:r w:rsidR="00801BBC" w:rsidRPr="00455FC4">
        <w:rPr>
          <w:rFonts w:cstheme="minorHAnsi"/>
          <w:bCs/>
          <w:sz w:val="22"/>
          <w:szCs w:val="22"/>
        </w:rPr>
        <w:t>m</w:t>
      </w:r>
      <w:r w:rsidRPr="00455FC4">
        <w:rPr>
          <w:rFonts w:cstheme="minorHAnsi"/>
          <w:bCs/>
          <w:sz w:val="22"/>
          <w:szCs w:val="22"/>
        </w:rPr>
        <w:t>embres de l'UIT-T. Les experts invités ainsi que les représentants désignés d'autres organisations intergouvernementales, organisations de normalisation et forums concernés peuvent également prendre part aux travaux de la JCA.</w:t>
      </w:r>
    </w:p>
    <w:p w14:paraId="1834E0C8" w14:textId="55822672" w:rsidR="00897125" w:rsidRPr="00455FC4" w:rsidRDefault="00897125" w:rsidP="00897125">
      <w:pPr>
        <w:rPr>
          <w:rFonts w:cstheme="minorHAnsi"/>
          <w:bCs/>
          <w:sz w:val="22"/>
          <w:szCs w:val="22"/>
        </w:rPr>
      </w:pPr>
      <w:r w:rsidRPr="00455FC4">
        <w:rPr>
          <w:rFonts w:cstheme="minorHAnsi"/>
          <w:bCs/>
          <w:sz w:val="22"/>
          <w:szCs w:val="22"/>
        </w:rPr>
        <w:t>5</w:t>
      </w:r>
      <w:r w:rsidRPr="00455FC4">
        <w:rPr>
          <w:rFonts w:cstheme="minorHAnsi"/>
          <w:bCs/>
          <w:sz w:val="22"/>
          <w:szCs w:val="22"/>
        </w:rPr>
        <w:tab/>
        <w:t xml:space="preserve">La première réunion de la JCA-MV se tiendra à Genève le </w:t>
      </w:r>
      <w:r w:rsidRPr="00455FC4">
        <w:rPr>
          <w:rFonts w:cstheme="minorHAnsi"/>
          <w:b/>
          <w:sz w:val="22"/>
          <w:szCs w:val="22"/>
        </w:rPr>
        <w:t>9 octobre 2025</w:t>
      </w:r>
      <w:r w:rsidRPr="00455FC4">
        <w:rPr>
          <w:rFonts w:cstheme="minorHAnsi"/>
          <w:bCs/>
          <w:sz w:val="22"/>
          <w:szCs w:val="22"/>
        </w:rPr>
        <w:t xml:space="preserve">, de </w:t>
      </w:r>
      <w:r w:rsidRPr="00455FC4">
        <w:rPr>
          <w:rFonts w:cstheme="minorHAnsi"/>
          <w:b/>
          <w:sz w:val="22"/>
          <w:szCs w:val="22"/>
        </w:rPr>
        <w:t>11 h 15</w:t>
      </w:r>
      <w:r w:rsidRPr="00455FC4">
        <w:rPr>
          <w:rFonts w:cstheme="minorHAnsi"/>
          <w:bCs/>
          <w:sz w:val="22"/>
          <w:szCs w:val="22"/>
        </w:rPr>
        <w:t xml:space="preserve"> </w:t>
      </w:r>
      <w:r w:rsidRPr="00455FC4">
        <w:rPr>
          <w:rFonts w:cstheme="minorHAnsi"/>
          <w:b/>
          <w:sz w:val="22"/>
          <w:szCs w:val="22"/>
        </w:rPr>
        <w:t>à</w:t>
      </w:r>
      <w:r w:rsidR="00801BBC" w:rsidRPr="00455FC4">
        <w:rPr>
          <w:rFonts w:cstheme="minorHAnsi"/>
          <w:b/>
          <w:sz w:val="22"/>
          <w:szCs w:val="22"/>
        </w:rPr>
        <w:t> </w:t>
      </w:r>
      <w:r w:rsidRPr="00455FC4">
        <w:rPr>
          <w:rFonts w:cstheme="minorHAnsi"/>
          <w:b/>
          <w:sz w:val="22"/>
          <w:szCs w:val="22"/>
        </w:rPr>
        <w:t>13</w:t>
      </w:r>
      <w:r w:rsidR="00801BBC" w:rsidRPr="00455FC4">
        <w:rPr>
          <w:rFonts w:cstheme="minorHAnsi"/>
          <w:b/>
          <w:sz w:val="22"/>
          <w:szCs w:val="22"/>
        </w:rPr>
        <w:t> </w:t>
      </w:r>
      <w:r w:rsidRPr="00455FC4">
        <w:rPr>
          <w:rFonts w:cstheme="minorHAnsi"/>
          <w:b/>
          <w:sz w:val="22"/>
          <w:szCs w:val="22"/>
        </w:rPr>
        <w:t>h</w:t>
      </w:r>
      <w:r w:rsidR="00801BBC" w:rsidRPr="00455FC4">
        <w:rPr>
          <w:rFonts w:cstheme="minorHAnsi"/>
          <w:b/>
          <w:sz w:val="22"/>
          <w:szCs w:val="22"/>
        </w:rPr>
        <w:t> </w:t>
      </w:r>
      <w:r w:rsidRPr="00455FC4">
        <w:rPr>
          <w:rFonts w:cstheme="minorHAnsi"/>
          <w:b/>
          <w:sz w:val="22"/>
          <w:szCs w:val="22"/>
        </w:rPr>
        <w:t>15</w:t>
      </w:r>
      <w:r w:rsidRPr="00455FC4">
        <w:rPr>
          <w:rFonts w:cstheme="minorHAnsi"/>
          <w:bCs/>
          <w:sz w:val="22"/>
          <w:szCs w:val="22"/>
        </w:rPr>
        <w:t xml:space="preserve"> (heure de Genève) (en parallèle à la réunion de la </w:t>
      </w:r>
      <w:hyperlink r:id="rId11" w:anchor="/fr" w:history="1">
        <w:r w:rsidRPr="00455FC4">
          <w:rPr>
            <w:rStyle w:val="Hyperlink"/>
            <w:rFonts w:cstheme="minorHAnsi"/>
            <w:bCs/>
            <w:sz w:val="22"/>
            <w:szCs w:val="22"/>
          </w:rPr>
          <w:t>Commission d'études 21 de l'UIT-T</w:t>
        </w:r>
      </w:hyperlink>
      <w:r w:rsidRPr="00455FC4">
        <w:rPr>
          <w:rFonts w:cstheme="minorHAnsi"/>
          <w:bCs/>
          <w:sz w:val="22"/>
          <w:szCs w:val="22"/>
        </w:rPr>
        <w:t xml:space="preserve">, qui aura lieu du 6 au 17 octobre 2025). L'inscription est obligatoire, au moyen du formulaire d'inscription en ligne disponible sur la </w:t>
      </w:r>
      <w:hyperlink r:id="rId12" w:history="1">
        <w:r w:rsidRPr="00455FC4">
          <w:rPr>
            <w:rStyle w:val="Hyperlink"/>
            <w:rFonts w:cstheme="minorHAnsi"/>
            <w:bCs/>
            <w:sz w:val="22"/>
            <w:szCs w:val="22"/>
          </w:rPr>
          <w:t>page d'accueil de la JCA-MV</w:t>
        </w:r>
      </w:hyperlink>
      <w:r w:rsidRPr="00455FC4">
        <w:rPr>
          <w:rFonts w:cstheme="minorHAnsi"/>
          <w:bCs/>
          <w:sz w:val="22"/>
          <w:szCs w:val="22"/>
        </w:rPr>
        <w:t>.</w:t>
      </w:r>
    </w:p>
    <w:p w14:paraId="3FA01EDD" w14:textId="067FC537" w:rsidR="00897125" w:rsidRPr="00455FC4" w:rsidRDefault="00897125" w:rsidP="00897125">
      <w:pPr>
        <w:rPr>
          <w:rFonts w:cstheme="minorHAnsi"/>
          <w:bCs/>
          <w:sz w:val="22"/>
          <w:szCs w:val="22"/>
        </w:rPr>
      </w:pPr>
      <w:r w:rsidRPr="00455FC4">
        <w:rPr>
          <w:rFonts w:cstheme="minorHAnsi"/>
          <w:bCs/>
          <w:sz w:val="22"/>
          <w:szCs w:val="22"/>
        </w:rPr>
        <w:t xml:space="preserve">Veuillez noter que l'inscription est également obligatoire pour la participation à distance. Pour toute demande d'assistance, veuillez contacter le </w:t>
      </w:r>
      <w:r w:rsidR="00416865" w:rsidRPr="00455FC4">
        <w:rPr>
          <w:rFonts w:cstheme="minorHAnsi"/>
          <w:bCs/>
          <w:sz w:val="22"/>
          <w:szCs w:val="22"/>
        </w:rPr>
        <w:t>s</w:t>
      </w:r>
      <w:r w:rsidRPr="00455FC4">
        <w:rPr>
          <w:rFonts w:cstheme="minorHAnsi"/>
          <w:bCs/>
          <w:sz w:val="22"/>
          <w:szCs w:val="22"/>
        </w:rPr>
        <w:t>ecrétariat par courriel (</w:t>
      </w:r>
      <w:hyperlink r:id="rId13" w:history="1">
        <w:r w:rsidRPr="00455FC4">
          <w:rPr>
            <w:rStyle w:val="Hyperlink"/>
            <w:rFonts w:cstheme="minorHAnsi"/>
            <w:bCs/>
            <w:sz w:val="22"/>
            <w:szCs w:val="22"/>
          </w:rPr>
          <w:t>tsbjcamv@itu.int</w:t>
        </w:r>
      </w:hyperlink>
      <w:r w:rsidRPr="00455FC4">
        <w:rPr>
          <w:rFonts w:cstheme="minorHAnsi"/>
          <w:bCs/>
          <w:sz w:val="22"/>
          <w:szCs w:val="22"/>
        </w:rPr>
        <w:t>).</w:t>
      </w:r>
    </w:p>
    <w:p w14:paraId="7CCCE5B0" w14:textId="77777777" w:rsidR="00897125" w:rsidRPr="00455FC4" w:rsidRDefault="00897125" w:rsidP="00897125">
      <w:pPr>
        <w:rPr>
          <w:rFonts w:cstheme="minorHAnsi"/>
          <w:bCs/>
          <w:sz w:val="22"/>
          <w:szCs w:val="22"/>
        </w:rPr>
      </w:pPr>
      <w:r w:rsidRPr="00455FC4">
        <w:rPr>
          <w:rFonts w:cstheme="minorHAnsi"/>
          <w:bCs/>
          <w:sz w:val="22"/>
          <w:szCs w:val="22"/>
        </w:rPr>
        <w:t>6</w:t>
      </w:r>
      <w:r w:rsidRPr="00455FC4">
        <w:rPr>
          <w:rFonts w:cstheme="minorHAnsi"/>
          <w:bCs/>
          <w:sz w:val="22"/>
          <w:szCs w:val="22"/>
        </w:rPr>
        <w:tab/>
        <w:t>La réunion aura lieu en anglais seulement.</w:t>
      </w:r>
    </w:p>
    <w:p w14:paraId="5B94963C" w14:textId="71E851DF" w:rsidR="00897125" w:rsidRPr="00455FC4" w:rsidRDefault="00897125" w:rsidP="00897125">
      <w:pPr>
        <w:rPr>
          <w:rFonts w:cstheme="minorHAnsi"/>
          <w:bCs/>
          <w:sz w:val="22"/>
          <w:szCs w:val="22"/>
        </w:rPr>
      </w:pPr>
      <w:r w:rsidRPr="00455FC4">
        <w:rPr>
          <w:rFonts w:cstheme="minorHAnsi"/>
          <w:bCs/>
          <w:sz w:val="22"/>
          <w:szCs w:val="22"/>
        </w:rPr>
        <w:t>7</w:t>
      </w:r>
      <w:r w:rsidRPr="00455FC4">
        <w:rPr>
          <w:rFonts w:cstheme="minorHAnsi"/>
          <w:bCs/>
          <w:sz w:val="22"/>
          <w:szCs w:val="22"/>
        </w:rPr>
        <w:tab/>
        <w:t xml:space="preserve">Une page web a été créée pour la JCA-MV, et peut être consultée à l'adresse </w:t>
      </w:r>
      <w:proofErr w:type="gramStart"/>
      <w:r w:rsidRPr="00455FC4">
        <w:rPr>
          <w:rFonts w:cstheme="minorHAnsi"/>
          <w:bCs/>
          <w:sz w:val="22"/>
          <w:szCs w:val="22"/>
        </w:rPr>
        <w:t>suivante:</w:t>
      </w:r>
      <w:proofErr w:type="gramEnd"/>
      <w:r w:rsidRPr="00455FC4">
        <w:rPr>
          <w:rFonts w:cstheme="minorHAnsi"/>
          <w:bCs/>
          <w:sz w:val="22"/>
          <w:szCs w:val="22"/>
        </w:rPr>
        <w:t xml:space="preserve"> </w:t>
      </w:r>
      <w:hyperlink r:id="rId14" w:history="1">
        <w:r w:rsidRPr="00455FC4">
          <w:rPr>
            <w:rStyle w:val="Hyperlink"/>
            <w:rFonts w:cstheme="minorHAnsi"/>
            <w:bCs/>
            <w:sz w:val="22"/>
            <w:szCs w:val="22"/>
          </w:rPr>
          <w:t>http://itu.int/en/ITU-T/jca/mv</w:t>
        </w:r>
      </w:hyperlink>
      <w:r w:rsidRPr="00455FC4">
        <w:rPr>
          <w:rFonts w:cstheme="minorHAnsi"/>
          <w:bCs/>
          <w:sz w:val="22"/>
          <w:szCs w:val="22"/>
        </w:rPr>
        <w:t xml:space="preserve">. Des informations relatives à la première réunion de la JCA-MV, notamment </w:t>
      </w:r>
      <w:r w:rsidRPr="00455FC4">
        <w:rPr>
          <w:rFonts w:cstheme="minorHAnsi"/>
          <w:bCs/>
          <w:sz w:val="22"/>
          <w:szCs w:val="22"/>
        </w:rPr>
        <w:lastRenderedPageBreak/>
        <w:t xml:space="preserve">l'inscription, le projet d'ordre du jour et les documents de la réunion, seront publiées sur la </w:t>
      </w:r>
      <w:hyperlink r:id="rId15" w:history="1">
        <w:r w:rsidRPr="00455FC4">
          <w:rPr>
            <w:rStyle w:val="Hyperlink"/>
            <w:rFonts w:cstheme="minorHAnsi"/>
            <w:bCs/>
            <w:sz w:val="22"/>
            <w:szCs w:val="22"/>
          </w:rPr>
          <w:t>page d'accueil de la JCA-MV</w:t>
        </w:r>
      </w:hyperlink>
      <w:r w:rsidRPr="00455FC4">
        <w:rPr>
          <w:rFonts w:cstheme="minorHAnsi"/>
          <w:bCs/>
          <w:sz w:val="22"/>
          <w:szCs w:val="22"/>
        </w:rPr>
        <w:t>. En outre, un projet d'ordre du jour de la réunion, établi par</w:t>
      </w:r>
      <w:r w:rsidR="00801BBC" w:rsidRPr="00455FC4">
        <w:rPr>
          <w:rFonts w:cstheme="minorHAnsi"/>
          <w:bCs/>
          <w:sz w:val="22"/>
          <w:szCs w:val="22"/>
        </w:rPr>
        <w:t xml:space="preserve"> </w:t>
      </w:r>
      <w:r w:rsidRPr="00455FC4">
        <w:rPr>
          <w:rFonts w:cstheme="minorHAnsi"/>
          <w:bCs/>
          <w:sz w:val="22"/>
          <w:szCs w:val="22"/>
        </w:rPr>
        <w:t>M.</w:t>
      </w:r>
      <w:r w:rsidR="00801BBC" w:rsidRPr="00455FC4">
        <w:rPr>
          <w:rFonts w:cstheme="minorHAnsi"/>
          <w:bCs/>
          <w:sz w:val="22"/>
          <w:szCs w:val="22"/>
        </w:rPr>
        <w:t> </w:t>
      </w:r>
      <w:r w:rsidRPr="00455FC4">
        <w:rPr>
          <w:rFonts w:cstheme="minorHAnsi"/>
          <w:bCs/>
          <w:sz w:val="22"/>
          <w:szCs w:val="22"/>
        </w:rPr>
        <w:t>Muath AlRumayh et M. Shin-Gak Kang, Coprésidents de la JCA-MV, figure dans l'</w:t>
      </w:r>
      <w:r w:rsidRPr="00455FC4">
        <w:rPr>
          <w:rFonts w:cstheme="minorHAnsi"/>
          <w:b/>
          <w:sz w:val="22"/>
          <w:szCs w:val="22"/>
        </w:rPr>
        <w:t>Annexe B</w:t>
      </w:r>
      <w:r w:rsidRPr="00455FC4">
        <w:rPr>
          <w:rFonts w:cstheme="minorHAnsi"/>
          <w:bCs/>
          <w:sz w:val="22"/>
          <w:szCs w:val="22"/>
        </w:rPr>
        <w:t xml:space="preserve"> ci</w:t>
      </w:r>
      <w:r w:rsidR="00801BBC" w:rsidRPr="00455FC4">
        <w:rPr>
          <w:rFonts w:cstheme="minorHAnsi"/>
          <w:bCs/>
          <w:sz w:val="22"/>
          <w:szCs w:val="22"/>
        </w:rPr>
        <w:noBreakHyphen/>
      </w:r>
      <w:r w:rsidRPr="00455FC4">
        <w:rPr>
          <w:rFonts w:cstheme="minorHAnsi"/>
          <w:bCs/>
          <w:sz w:val="22"/>
          <w:szCs w:val="22"/>
        </w:rPr>
        <w:t>après.</w:t>
      </w:r>
    </w:p>
    <w:p w14:paraId="6E545B07" w14:textId="246E66A7" w:rsidR="00897125" w:rsidRPr="00455FC4" w:rsidRDefault="00897125" w:rsidP="00897125">
      <w:pPr>
        <w:rPr>
          <w:rFonts w:cstheme="minorHAnsi"/>
          <w:bCs/>
          <w:sz w:val="22"/>
          <w:szCs w:val="22"/>
        </w:rPr>
      </w:pPr>
      <w:r w:rsidRPr="00455FC4">
        <w:rPr>
          <w:rFonts w:cstheme="minorHAnsi"/>
          <w:bCs/>
          <w:sz w:val="22"/>
          <w:szCs w:val="22"/>
        </w:rPr>
        <w:t>8</w:t>
      </w:r>
      <w:r w:rsidRPr="00455FC4">
        <w:rPr>
          <w:rFonts w:cstheme="minorHAnsi"/>
          <w:bCs/>
          <w:sz w:val="22"/>
          <w:szCs w:val="22"/>
        </w:rPr>
        <w:tab/>
        <w:t xml:space="preserve">Les participants sont encouragés à soumettre leurs contributions à la JCA-MV par courrier électronique à l'adresse </w:t>
      </w:r>
      <w:hyperlink r:id="rId16" w:history="1">
        <w:r w:rsidRPr="00455FC4">
          <w:rPr>
            <w:rStyle w:val="Hyperlink"/>
            <w:rFonts w:cstheme="minorHAnsi"/>
            <w:bCs/>
            <w:sz w:val="22"/>
            <w:szCs w:val="22"/>
          </w:rPr>
          <w:t>tsbjcamv@itu.int</w:t>
        </w:r>
      </w:hyperlink>
      <w:r w:rsidRPr="00455FC4">
        <w:rPr>
          <w:rFonts w:cstheme="minorHAnsi"/>
          <w:bCs/>
          <w:sz w:val="22"/>
          <w:szCs w:val="22"/>
        </w:rPr>
        <w:t xml:space="preserve">, en utilisant le modèle de document disponible sur la </w:t>
      </w:r>
      <w:hyperlink r:id="rId17" w:history="1">
        <w:r w:rsidRPr="00455FC4">
          <w:rPr>
            <w:rStyle w:val="Hyperlink"/>
            <w:rFonts w:cstheme="minorHAnsi"/>
            <w:bCs/>
            <w:sz w:val="22"/>
            <w:szCs w:val="22"/>
          </w:rPr>
          <w:t>page d'accueil de la JCA-MV</w:t>
        </w:r>
      </w:hyperlink>
      <w:r w:rsidRPr="00455FC4">
        <w:rPr>
          <w:rFonts w:cstheme="minorHAnsi"/>
          <w:bCs/>
          <w:sz w:val="22"/>
          <w:szCs w:val="22"/>
        </w:rPr>
        <w:t xml:space="preserve">. Pour ménager le temps nécessaire à la préparation de la réunion, les participants sont priés de soumettre leurs contributions avant le </w:t>
      </w:r>
      <w:r w:rsidRPr="00455FC4">
        <w:rPr>
          <w:rFonts w:cstheme="minorHAnsi"/>
          <w:b/>
          <w:sz w:val="22"/>
          <w:szCs w:val="22"/>
        </w:rPr>
        <w:t>30 septembre 2025</w:t>
      </w:r>
      <w:r w:rsidRPr="00455FC4">
        <w:rPr>
          <w:rFonts w:cstheme="minorHAnsi"/>
          <w:bCs/>
          <w:sz w:val="22"/>
          <w:szCs w:val="22"/>
        </w:rPr>
        <w:t xml:space="preserve"> au plus tard.</w:t>
      </w:r>
    </w:p>
    <w:p w14:paraId="6A844284" w14:textId="35351694" w:rsidR="00036F4F" w:rsidRPr="00455FC4" w:rsidRDefault="00897125" w:rsidP="00801BBC">
      <w:pPr>
        <w:pStyle w:val="headingb"/>
        <w:spacing w:after="120"/>
        <w:rPr>
          <w:rFonts w:cstheme="minorHAnsi"/>
          <w:sz w:val="22"/>
          <w:szCs w:val="22"/>
        </w:rPr>
      </w:pPr>
      <w:r w:rsidRPr="00455FC4">
        <w:rPr>
          <w:rFonts w:cstheme="minorHAnsi"/>
          <w:sz w:val="22"/>
          <w:szCs w:val="22"/>
        </w:rPr>
        <w:t xml:space="preserve">Principales </w:t>
      </w:r>
      <w:proofErr w:type="gramStart"/>
      <w:r w:rsidRPr="00455FC4">
        <w:rPr>
          <w:rFonts w:cstheme="minorHAnsi"/>
          <w:sz w:val="22"/>
          <w:szCs w:val="22"/>
        </w:rPr>
        <w:t>échéances:</w:t>
      </w:r>
      <w:proofErr w:type="gramEnd"/>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377"/>
      </w:tblGrid>
      <w:tr w:rsidR="00897125" w:rsidRPr="00455FC4" w14:paraId="42C347EF" w14:textId="77777777" w:rsidTr="00897125">
        <w:tc>
          <w:tcPr>
            <w:tcW w:w="2138" w:type="dxa"/>
          </w:tcPr>
          <w:p w14:paraId="4C4E298F" w14:textId="77777777" w:rsidR="00897125" w:rsidRPr="00455FC4" w:rsidRDefault="00897125" w:rsidP="00897125">
            <w:pPr>
              <w:pStyle w:val="Tabletext0"/>
              <w:rPr>
                <w:rFonts w:asciiTheme="minorHAnsi" w:hAnsiTheme="minorHAnsi" w:cstheme="minorHAnsi"/>
                <w:sz w:val="22"/>
                <w:szCs w:val="22"/>
              </w:rPr>
            </w:pPr>
            <w:r w:rsidRPr="00455FC4">
              <w:rPr>
                <w:rFonts w:asciiTheme="minorHAnsi" w:hAnsiTheme="minorHAnsi" w:cstheme="minorHAnsi"/>
                <w:color w:val="000000"/>
                <w:sz w:val="22"/>
                <w:szCs w:val="22"/>
                <w:lang w:val="fr-FR"/>
              </w:rPr>
              <w:t>30 septembre 2025</w:t>
            </w:r>
          </w:p>
        </w:tc>
        <w:tc>
          <w:tcPr>
            <w:tcW w:w="7377" w:type="dxa"/>
            <w:tcBorders>
              <w:right w:val="single" w:sz="4" w:space="0" w:color="auto"/>
            </w:tcBorders>
          </w:tcPr>
          <w:p w14:paraId="6D9D333B" w14:textId="62D96488" w:rsidR="00897125" w:rsidRPr="00455FC4" w:rsidRDefault="00801BBC" w:rsidP="00897125">
            <w:pPr>
              <w:pStyle w:val="Tabletext0"/>
              <w:ind w:left="284" w:hanging="284"/>
              <w:rPr>
                <w:rFonts w:asciiTheme="minorHAnsi" w:hAnsiTheme="minorHAnsi" w:cstheme="minorHAnsi"/>
                <w:sz w:val="22"/>
                <w:szCs w:val="22"/>
                <w:lang w:val="fr-FR"/>
              </w:rPr>
            </w:pPr>
            <w:r w:rsidRPr="00455FC4">
              <w:rPr>
                <w:rFonts w:asciiTheme="minorHAnsi" w:hAnsiTheme="minorHAnsi" w:cstheme="minorHAnsi"/>
                <w:color w:val="000000"/>
                <w:sz w:val="22"/>
                <w:szCs w:val="22"/>
                <w:lang w:val="fr-FR"/>
              </w:rPr>
              <w:t>–</w:t>
            </w:r>
            <w:r w:rsidRPr="00455FC4">
              <w:rPr>
                <w:rFonts w:asciiTheme="minorHAnsi" w:hAnsiTheme="minorHAnsi" w:cstheme="minorHAnsi"/>
                <w:color w:val="000000"/>
                <w:sz w:val="22"/>
                <w:szCs w:val="22"/>
                <w:lang w:val="fr-FR"/>
              </w:rPr>
              <w:tab/>
            </w:r>
            <w:r w:rsidR="00897125" w:rsidRPr="00455FC4">
              <w:rPr>
                <w:rFonts w:asciiTheme="minorHAnsi" w:hAnsiTheme="minorHAnsi" w:cstheme="minorHAnsi"/>
                <w:color w:val="000000"/>
                <w:sz w:val="22"/>
                <w:szCs w:val="22"/>
                <w:lang w:val="fr-FR"/>
              </w:rPr>
              <w:t xml:space="preserve">Soumission des contributions à la JCA-MV par courrier électronique à l'adresse </w:t>
            </w:r>
            <w:hyperlink r:id="rId18" w:history="1">
              <w:r w:rsidR="00897125" w:rsidRPr="00455FC4">
                <w:rPr>
                  <w:rStyle w:val="Hyperlink"/>
                  <w:rFonts w:asciiTheme="minorHAnsi" w:hAnsiTheme="minorHAnsi" w:cstheme="minorHAnsi"/>
                  <w:sz w:val="22"/>
                  <w:szCs w:val="22"/>
                  <w:lang w:val="fr-FR"/>
                </w:rPr>
                <w:t>tsbjcamv@itu.int</w:t>
              </w:r>
            </w:hyperlink>
            <w:r w:rsidRPr="00455FC4">
              <w:rPr>
                <w:rFonts w:asciiTheme="minorHAnsi" w:hAnsiTheme="minorHAnsi" w:cstheme="minorHAnsi"/>
                <w:color w:val="000000"/>
                <w:sz w:val="22"/>
                <w:szCs w:val="22"/>
                <w:lang w:val="fr-FR"/>
              </w:rPr>
              <w:t>.</w:t>
            </w:r>
            <w:hyperlink r:id="rId19" w:history="1"/>
          </w:p>
        </w:tc>
      </w:tr>
      <w:tr w:rsidR="00897125" w:rsidRPr="00455FC4" w14:paraId="02F37F59" w14:textId="77777777" w:rsidTr="00897125">
        <w:tc>
          <w:tcPr>
            <w:tcW w:w="2138" w:type="dxa"/>
          </w:tcPr>
          <w:p w14:paraId="58AB6C12" w14:textId="77777777" w:rsidR="00897125" w:rsidRPr="00455FC4" w:rsidRDefault="00897125" w:rsidP="00897125">
            <w:pPr>
              <w:pStyle w:val="Tabletext0"/>
              <w:rPr>
                <w:rFonts w:asciiTheme="minorHAnsi" w:hAnsiTheme="minorHAnsi" w:cstheme="minorHAnsi"/>
                <w:sz w:val="22"/>
                <w:szCs w:val="22"/>
              </w:rPr>
            </w:pPr>
            <w:r w:rsidRPr="00455FC4">
              <w:rPr>
                <w:rFonts w:asciiTheme="minorHAnsi" w:hAnsiTheme="minorHAnsi" w:cstheme="minorHAnsi"/>
                <w:color w:val="000000"/>
                <w:sz w:val="22"/>
                <w:szCs w:val="22"/>
                <w:lang w:val="fr-FR"/>
              </w:rPr>
              <w:t>7 octobre 2025</w:t>
            </w:r>
          </w:p>
        </w:tc>
        <w:tc>
          <w:tcPr>
            <w:tcW w:w="7377" w:type="dxa"/>
            <w:tcBorders>
              <w:right w:val="single" w:sz="4" w:space="0" w:color="auto"/>
            </w:tcBorders>
          </w:tcPr>
          <w:p w14:paraId="435DDCFC" w14:textId="6C3B48AE" w:rsidR="00897125" w:rsidRPr="00455FC4" w:rsidRDefault="00801BBC" w:rsidP="00897125">
            <w:pPr>
              <w:pStyle w:val="Tabletext0"/>
              <w:ind w:left="284" w:hanging="284"/>
              <w:rPr>
                <w:rFonts w:asciiTheme="minorHAnsi" w:hAnsiTheme="minorHAnsi" w:cstheme="minorHAnsi"/>
                <w:sz w:val="22"/>
                <w:szCs w:val="22"/>
                <w:lang w:val="fr-FR"/>
              </w:rPr>
            </w:pPr>
            <w:r w:rsidRPr="00455FC4">
              <w:rPr>
                <w:rFonts w:asciiTheme="minorHAnsi" w:hAnsiTheme="minorHAnsi" w:cstheme="minorHAnsi"/>
                <w:color w:val="000000"/>
                <w:sz w:val="22"/>
                <w:szCs w:val="22"/>
                <w:lang w:val="fr-FR"/>
              </w:rPr>
              <w:t>–</w:t>
            </w:r>
            <w:r w:rsidRPr="00455FC4">
              <w:rPr>
                <w:rFonts w:asciiTheme="minorHAnsi" w:hAnsiTheme="minorHAnsi" w:cstheme="minorHAnsi"/>
                <w:color w:val="000000"/>
                <w:sz w:val="22"/>
                <w:szCs w:val="22"/>
                <w:lang w:val="fr-FR"/>
              </w:rPr>
              <w:tab/>
            </w:r>
            <w:r w:rsidR="00897125" w:rsidRPr="00455FC4">
              <w:rPr>
                <w:rFonts w:asciiTheme="minorHAnsi" w:hAnsiTheme="minorHAnsi" w:cstheme="minorHAnsi"/>
                <w:color w:val="000000"/>
                <w:sz w:val="22"/>
                <w:szCs w:val="22"/>
                <w:lang w:val="fr-FR"/>
              </w:rPr>
              <w:t xml:space="preserve">Inscription préalable (au moyen du formulaire d'inscription en ligne disponible sur la </w:t>
            </w:r>
            <w:hyperlink r:id="rId20" w:history="1">
              <w:r w:rsidR="00897125" w:rsidRPr="00455FC4">
                <w:rPr>
                  <w:rStyle w:val="Hyperlink"/>
                  <w:rFonts w:asciiTheme="minorHAnsi" w:hAnsiTheme="minorHAnsi" w:cstheme="minorHAnsi"/>
                  <w:sz w:val="22"/>
                  <w:szCs w:val="22"/>
                  <w:lang w:val="fr-FR"/>
                </w:rPr>
                <w:t>page d'accueil de la JCA-MV</w:t>
              </w:r>
            </w:hyperlink>
            <w:r w:rsidR="00897125" w:rsidRPr="00455FC4">
              <w:rPr>
                <w:rFonts w:asciiTheme="minorHAnsi" w:hAnsiTheme="minorHAnsi" w:cstheme="minorHAnsi"/>
                <w:color w:val="000000"/>
                <w:sz w:val="22"/>
                <w:szCs w:val="22"/>
                <w:lang w:val="fr-FR"/>
              </w:rPr>
              <w:t>)</w:t>
            </w:r>
            <w:r w:rsidRPr="00455FC4">
              <w:rPr>
                <w:rFonts w:asciiTheme="minorHAnsi" w:hAnsiTheme="minorHAnsi" w:cstheme="minorHAnsi"/>
                <w:color w:val="000000"/>
                <w:sz w:val="22"/>
                <w:szCs w:val="22"/>
                <w:lang w:val="fr-FR"/>
              </w:rPr>
              <w:t>.</w:t>
            </w:r>
            <w:hyperlink r:id="rId21">
              <w:hyperlink r:id="rId22" w:history="1"/>
            </w:hyperlink>
          </w:p>
        </w:tc>
      </w:tr>
    </w:tbl>
    <w:p w14:paraId="6EF8A6CE" w14:textId="56FA1EE8" w:rsidR="00036F4F" w:rsidRPr="00455FC4" w:rsidRDefault="00897125" w:rsidP="00897125">
      <w:pPr>
        <w:spacing w:after="120"/>
        <w:rPr>
          <w:rFonts w:cstheme="minorHAnsi"/>
          <w:bCs/>
          <w:sz w:val="22"/>
          <w:szCs w:val="22"/>
        </w:rPr>
      </w:pPr>
      <w:r w:rsidRPr="00455FC4">
        <w:rPr>
          <w:rFonts w:cstheme="minorHAnsi"/>
          <w:bCs/>
          <w:sz w:val="22"/>
          <w:szCs w:val="22"/>
        </w:rPr>
        <w:t>Je vous souhaite une réunion constructive et agréable.</w:t>
      </w:r>
    </w:p>
    <w:p w14:paraId="5EF0191E" w14:textId="238EF22E" w:rsidR="00147AB0" w:rsidRPr="00147AB0" w:rsidRDefault="00147AB0" w:rsidP="00147AB0">
      <w:pPr>
        <w:spacing w:after="120"/>
        <w:rPr>
          <w:rFonts w:cstheme="minorHAnsi"/>
          <w:sz w:val="22"/>
          <w:szCs w:val="22"/>
        </w:rPr>
      </w:pPr>
      <w:r>
        <w:rPr>
          <w:rFonts w:cstheme="minorHAnsi"/>
          <w:noProof/>
          <w:sz w:val="22"/>
          <w:szCs w:val="22"/>
          <w:lang w:val="fr-CH"/>
        </w:rPr>
        <w:drawing>
          <wp:anchor distT="0" distB="0" distL="114300" distR="114300" simplePos="0" relativeHeight="251658240" behindDoc="1" locked="0" layoutInCell="1" allowOverlap="1" wp14:anchorId="07DB7998" wp14:editId="3DED89D4">
            <wp:simplePos x="0" y="0"/>
            <wp:positionH relativeFrom="margin">
              <wp:align>left</wp:align>
            </wp:positionH>
            <wp:positionV relativeFrom="paragraph">
              <wp:posOffset>260350</wp:posOffset>
            </wp:positionV>
            <wp:extent cx="692150" cy="330200"/>
            <wp:effectExtent l="0" t="0" r="0" b="0"/>
            <wp:wrapNone/>
            <wp:docPr id="162816147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61472" name="Picture 1"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692150" cy="330200"/>
                    </a:xfrm>
                    <a:prstGeom prst="rect">
                      <a:avLst/>
                    </a:prstGeom>
                  </pic:spPr>
                </pic:pic>
              </a:graphicData>
            </a:graphic>
          </wp:anchor>
        </w:drawing>
      </w:r>
      <w:r w:rsidR="00897125" w:rsidRPr="00455FC4">
        <w:rPr>
          <w:rFonts w:cstheme="minorHAnsi"/>
          <w:sz w:val="22"/>
          <w:szCs w:val="22"/>
        </w:rPr>
        <w:t>Veuillez agréer, Madame, Monsieur, l'assurance de ma haute considération.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48"/>
      </w:tblGrid>
      <w:tr w:rsidR="00897125" w:rsidRPr="00455FC4" w14:paraId="5AC304A7" w14:textId="77777777" w:rsidTr="00897125">
        <w:trPr>
          <w:cantSplit/>
          <w:trHeight w:val="2326"/>
        </w:trPr>
        <w:tc>
          <w:tcPr>
            <w:tcW w:w="7371" w:type="dxa"/>
            <w:tcBorders>
              <w:right w:val="single" w:sz="4" w:space="0" w:color="auto"/>
            </w:tcBorders>
          </w:tcPr>
          <w:p w14:paraId="2010741D" w14:textId="34AB1D47" w:rsidR="00897125" w:rsidRPr="00455FC4" w:rsidRDefault="00897125" w:rsidP="00455FC4">
            <w:pPr>
              <w:keepNext/>
              <w:keepLines/>
              <w:spacing w:before="720"/>
              <w:ind w:left="-105" w:right="-288"/>
              <w:rPr>
                <w:rFonts w:cstheme="minorHAnsi"/>
                <w:sz w:val="22"/>
                <w:szCs w:val="22"/>
                <w:lang w:val="fr-CH"/>
              </w:rPr>
            </w:pPr>
            <w:r w:rsidRPr="00455FC4">
              <w:rPr>
                <w:rFonts w:cstheme="minorHAnsi"/>
                <w:sz w:val="22"/>
                <w:szCs w:val="22"/>
                <w:lang w:val="fr-CH"/>
              </w:rPr>
              <w:t>Seizo Onoe</w:t>
            </w:r>
            <w:r w:rsidRPr="00455FC4">
              <w:rPr>
                <w:rFonts w:cstheme="minorHAnsi"/>
                <w:sz w:val="22"/>
                <w:szCs w:val="22"/>
                <w:lang w:val="fr-CH"/>
              </w:rPr>
              <w:br/>
              <w:t>Directeur du Bureau de la normalisation</w:t>
            </w:r>
            <w:r w:rsidRPr="00455FC4">
              <w:rPr>
                <w:rFonts w:cstheme="minorHAnsi"/>
                <w:sz w:val="22"/>
                <w:szCs w:val="22"/>
                <w:lang w:val="fr-CH"/>
              </w:rPr>
              <w:br/>
              <w:t>des télécommunications</w:t>
            </w:r>
          </w:p>
        </w:tc>
        <w:tc>
          <w:tcPr>
            <w:tcW w:w="2348" w:type="dxa"/>
            <w:tcBorders>
              <w:top w:val="single" w:sz="4" w:space="0" w:color="auto"/>
              <w:left w:val="single" w:sz="4" w:space="0" w:color="auto"/>
              <w:bottom w:val="single" w:sz="4" w:space="0" w:color="auto"/>
              <w:right w:val="single" w:sz="4" w:space="0" w:color="auto"/>
            </w:tcBorders>
            <w:textDirection w:val="btLr"/>
          </w:tcPr>
          <w:p w14:paraId="574C373D" w14:textId="77777777" w:rsidR="00897125" w:rsidRPr="00455FC4" w:rsidRDefault="00897125" w:rsidP="00897125">
            <w:pPr>
              <w:ind w:left="113" w:right="113"/>
              <w:jc w:val="center"/>
              <w:rPr>
                <w:rFonts w:cstheme="minorHAnsi"/>
                <w:sz w:val="22"/>
                <w:szCs w:val="22"/>
              </w:rPr>
            </w:pPr>
            <w:r w:rsidRPr="00455FC4">
              <w:rPr>
                <w:rFonts w:cstheme="minorHAnsi"/>
                <w:noProof/>
                <w:sz w:val="22"/>
                <w:szCs w:val="22"/>
              </w:rPr>
              <w:drawing>
                <wp:inline distT="0" distB="0" distL="0" distR="0" wp14:anchorId="0340E075" wp14:editId="6AEF948F">
                  <wp:extent cx="988201" cy="988201"/>
                  <wp:effectExtent l="0" t="0" r="2540" b="2540"/>
                  <wp:docPr id="7522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392"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88201" cy="988201"/>
                          </a:xfrm>
                          <a:prstGeom prst="rect">
                            <a:avLst/>
                          </a:prstGeom>
                          <a:noFill/>
                          <a:ln>
                            <a:noFill/>
                          </a:ln>
                        </pic:spPr>
                      </pic:pic>
                    </a:graphicData>
                  </a:graphic>
                </wp:inline>
              </w:drawing>
            </w:r>
          </w:p>
          <w:p w14:paraId="32434BE3" w14:textId="000E28B2" w:rsidR="00897125" w:rsidRPr="00455FC4" w:rsidRDefault="00897125" w:rsidP="00897125">
            <w:pPr>
              <w:ind w:left="113" w:right="113"/>
              <w:jc w:val="center"/>
              <w:rPr>
                <w:rFonts w:cstheme="minorHAnsi"/>
                <w:sz w:val="22"/>
                <w:szCs w:val="22"/>
              </w:rPr>
            </w:pPr>
            <w:r w:rsidRPr="00455FC4">
              <w:rPr>
                <w:rFonts w:cstheme="minorHAnsi"/>
                <w:sz w:val="22"/>
                <w:szCs w:val="22"/>
              </w:rPr>
              <w:t>Plus d'informations</w:t>
            </w:r>
          </w:p>
        </w:tc>
      </w:tr>
    </w:tbl>
    <w:p w14:paraId="6458E867" w14:textId="4B990AE7" w:rsidR="00897125" w:rsidRPr="00455FC4" w:rsidRDefault="00897125" w:rsidP="00455FC4">
      <w:pPr>
        <w:spacing w:before="400"/>
        <w:rPr>
          <w:rFonts w:cstheme="minorHAnsi"/>
          <w:sz w:val="22"/>
          <w:szCs w:val="22"/>
        </w:rPr>
      </w:pPr>
      <w:proofErr w:type="gramStart"/>
      <w:r w:rsidRPr="00455FC4">
        <w:rPr>
          <w:rFonts w:cstheme="minorHAnsi"/>
          <w:b/>
          <w:bCs/>
          <w:sz w:val="22"/>
          <w:szCs w:val="22"/>
        </w:rPr>
        <w:t>Annexes</w:t>
      </w:r>
      <w:r w:rsidRPr="00455FC4">
        <w:rPr>
          <w:rFonts w:cstheme="minorHAnsi"/>
          <w:sz w:val="22"/>
          <w:szCs w:val="22"/>
        </w:rPr>
        <w:t>:</w:t>
      </w:r>
      <w:proofErr w:type="gramEnd"/>
      <w:r w:rsidRPr="00455FC4">
        <w:rPr>
          <w:rFonts w:cstheme="minorHAnsi"/>
          <w:sz w:val="22"/>
          <w:szCs w:val="22"/>
        </w:rPr>
        <w:t xml:space="preserve"> 2</w:t>
      </w:r>
    </w:p>
    <w:p w14:paraId="529A424A" w14:textId="3990F328" w:rsidR="00897125" w:rsidRDefault="00897125" w:rsidP="00897125">
      <w:r>
        <w:br w:type="page"/>
      </w:r>
    </w:p>
    <w:p w14:paraId="76CADD93" w14:textId="017DA05B" w:rsidR="00897125" w:rsidRPr="00455FC4" w:rsidRDefault="00897125" w:rsidP="00455FC4">
      <w:pPr>
        <w:pStyle w:val="AnnexTitle"/>
        <w:spacing w:before="360" w:after="240"/>
        <w:rPr>
          <w:sz w:val="28"/>
          <w:szCs w:val="22"/>
        </w:rPr>
      </w:pPr>
      <w:r w:rsidRPr="00455FC4">
        <w:rPr>
          <w:sz w:val="28"/>
          <w:szCs w:val="22"/>
        </w:rPr>
        <w:lastRenderedPageBreak/>
        <w:t>ANNEXE A</w:t>
      </w:r>
    </w:p>
    <w:p w14:paraId="1566D282" w14:textId="6EBD8C45" w:rsidR="00897125" w:rsidRPr="00455FC4" w:rsidRDefault="00897125" w:rsidP="00897125">
      <w:pPr>
        <w:pStyle w:val="AnnexTitle"/>
        <w:rPr>
          <w:sz w:val="28"/>
          <w:szCs w:val="22"/>
        </w:rPr>
      </w:pPr>
      <w:r w:rsidRPr="00455FC4">
        <w:rPr>
          <w:sz w:val="28"/>
          <w:szCs w:val="22"/>
        </w:rPr>
        <w:t>Mandat de l'Activité conjointe de coordination</w:t>
      </w:r>
      <w:r w:rsidRPr="00455FC4">
        <w:rPr>
          <w:sz w:val="28"/>
          <w:szCs w:val="22"/>
        </w:rPr>
        <w:br/>
        <w:t>sur la normalisation du métavers (JCA-MV)</w:t>
      </w:r>
    </w:p>
    <w:p w14:paraId="24A6763B" w14:textId="2BBDD70C" w:rsidR="00897125" w:rsidRPr="00455FC4" w:rsidRDefault="00897125" w:rsidP="008B6FC4">
      <w:pPr>
        <w:pStyle w:val="Heading1"/>
        <w:spacing w:before="360"/>
        <w:rPr>
          <w:sz w:val="22"/>
          <w:szCs w:val="18"/>
        </w:rPr>
      </w:pPr>
      <w:r w:rsidRPr="00455FC4">
        <w:rPr>
          <w:sz w:val="22"/>
          <w:szCs w:val="18"/>
        </w:rPr>
        <w:t>1</w:t>
      </w:r>
      <w:r w:rsidRPr="00455FC4">
        <w:rPr>
          <w:sz w:val="22"/>
          <w:szCs w:val="18"/>
        </w:rPr>
        <w:tab/>
        <w:t>Domaine d'application</w:t>
      </w:r>
    </w:p>
    <w:p w14:paraId="21128755" w14:textId="0C1E094F" w:rsidR="00897125" w:rsidRPr="00455FC4" w:rsidRDefault="00897125" w:rsidP="00897125">
      <w:pPr>
        <w:rPr>
          <w:sz w:val="22"/>
          <w:szCs w:val="18"/>
        </w:rPr>
      </w:pPr>
      <w:r w:rsidRPr="00455FC4">
        <w:rPr>
          <w:sz w:val="22"/>
          <w:szCs w:val="18"/>
        </w:rPr>
        <w:t>La JCA-MV a pour mission de coordonner les travaux de normalisation de l'UIT-T sur le métavers et d'encourager la collaboration entre toutes les commissions d'études concernées de l'UIT-T, tout en offrant un point de contact visible et en coordonnant la communication avec les organisations de normalisation, consortiums et forums extérieurs travaillant sur des normes relatives au métavers, afin de permettre des échanges efficaces avec ces organismes.</w:t>
      </w:r>
    </w:p>
    <w:p w14:paraId="1B3FE06D" w14:textId="7757C309" w:rsidR="00897125" w:rsidRPr="00455FC4" w:rsidRDefault="00897125" w:rsidP="00897125">
      <w:pPr>
        <w:rPr>
          <w:sz w:val="22"/>
          <w:szCs w:val="18"/>
        </w:rPr>
      </w:pPr>
      <w:r w:rsidRPr="00455FC4">
        <w:rPr>
          <w:sz w:val="22"/>
          <w:szCs w:val="18"/>
        </w:rPr>
        <w:t>La JCA-MV mène ses travaux conformément à la Recommandation UIT-T A.18 et a été créée conformément à la Résolution 105 de l'AMNT-24, intitulée "Normalisation du métavers".</w:t>
      </w:r>
    </w:p>
    <w:p w14:paraId="7C918279" w14:textId="0C8BAEB6" w:rsidR="00897125" w:rsidRPr="00455FC4" w:rsidRDefault="00897125" w:rsidP="008B6FC4">
      <w:pPr>
        <w:pStyle w:val="Heading1"/>
        <w:spacing w:before="360"/>
        <w:rPr>
          <w:sz w:val="22"/>
          <w:szCs w:val="18"/>
        </w:rPr>
      </w:pPr>
      <w:r w:rsidRPr="00455FC4">
        <w:rPr>
          <w:sz w:val="22"/>
          <w:szCs w:val="18"/>
        </w:rPr>
        <w:t>2</w:t>
      </w:r>
      <w:r w:rsidRPr="00455FC4">
        <w:rPr>
          <w:sz w:val="22"/>
          <w:szCs w:val="18"/>
        </w:rPr>
        <w:tab/>
        <w:t>Objectifs</w:t>
      </w:r>
    </w:p>
    <w:p w14:paraId="754743BB" w14:textId="77777777" w:rsidR="00897125" w:rsidRPr="00455FC4" w:rsidRDefault="00897125" w:rsidP="00897125">
      <w:pPr>
        <w:rPr>
          <w:sz w:val="22"/>
          <w:szCs w:val="18"/>
        </w:rPr>
      </w:pPr>
      <w:r w:rsidRPr="00455FC4">
        <w:rPr>
          <w:sz w:val="22"/>
          <w:szCs w:val="18"/>
        </w:rPr>
        <w:t>Les objectifs de la JCA-MV sont les suivants:</w:t>
      </w:r>
    </w:p>
    <w:p w14:paraId="49FE4CCD" w14:textId="14231E32" w:rsidR="00897125" w:rsidRPr="00455FC4" w:rsidRDefault="00897125" w:rsidP="00897125">
      <w:pPr>
        <w:rPr>
          <w:sz w:val="22"/>
          <w:szCs w:val="18"/>
        </w:rPr>
      </w:pPr>
      <w:r w:rsidRPr="00455FC4">
        <w:rPr>
          <w:sz w:val="22"/>
          <w:szCs w:val="18"/>
        </w:rPr>
        <w:t>2.1</w:t>
      </w:r>
      <w:r w:rsidRPr="00455FC4">
        <w:rPr>
          <w:sz w:val="22"/>
          <w:szCs w:val="18"/>
        </w:rPr>
        <w:tab/>
        <w:t>Faire en sorte que les travaux de normalisation de l'UIT-T relatifs aux technologies de base, aux systèmes, aux applications, aux services, aux protocoles, à la sécurité, à l'accessibilité et à la durabilité du métavers soient menés de manière coordonnée entre les différentes commissions d'études de l'UIT-T.</w:t>
      </w:r>
    </w:p>
    <w:p w14:paraId="3BD535A8" w14:textId="3F047FC4" w:rsidR="00897125" w:rsidRPr="00455FC4" w:rsidRDefault="00897125" w:rsidP="00897125">
      <w:pPr>
        <w:rPr>
          <w:sz w:val="22"/>
          <w:szCs w:val="18"/>
        </w:rPr>
      </w:pPr>
      <w:r w:rsidRPr="00455FC4">
        <w:rPr>
          <w:sz w:val="22"/>
          <w:szCs w:val="18"/>
        </w:rPr>
        <w:t>2.2</w:t>
      </w:r>
      <w:r w:rsidRPr="00455FC4">
        <w:rPr>
          <w:sz w:val="22"/>
          <w:szCs w:val="18"/>
        </w:rPr>
        <w:tab/>
        <w:t>Encourager les groupes concernés de l'UIT-T, du Secteur des radiocommunications et du Secteur du développement des télécommunications de l'UIT à contribuer aux travaux de la JCA et à échanger des informations sur la normalisation du métavers.</w:t>
      </w:r>
    </w:p>
    <w:p w14:paraId="7D78380F" w14:textId="7DFA5F15" w:rsidR="00897125" w:rsidRPr="00455FC4" w:rsidRDefault="00897125" w:rsidP="00897125">
      <w:pPr>
        <w:rPr>
          <w:sz w:val="22"/>
          <w:szCs w:val="18"/>
        </w:rPr>
      </w:pPr>
      <w:r w:rsidRPr="00455FC4">
        <w:rPr>
          <w:sz w:val="22"/>
          <w:szCs w:val="18"/>
        </w:rPr>
        <w:t>2.3</w:t>
      </w:r>
      <w:r w:rsidRPr="00455FC4">
        <w:rPr>
          <w:sz w:val="22"/>
          <w:szCs w:val="18"/>
        </w:rPr>
        <w:tab/>
        <w:t>Élaborer et tenir à jour une feuille de route de la normalisation du métavers compte tenu des produits de normalisation en cours d'élaboration ou déjà publiés par l'UIT, d'autres organisations de normalisation, des consortiums et des forums concernés.</w:t>
      </w:r>
    </w:p>
    <w:p w14:paraId="080B82FA" w14:textId="598410D1" w:rsidR="00897125" w:rsidRPr="00455FC4" w:rsidRDefault="00897125" w:rsidP="00897125">
      <w:pPr>
        <w:rPr>
          <w:sz w:val="22"/>
          <w:szCs w:val="18"/>
        </w:rPr>
      </w:pPr>
      <w:r w:rsidRPr="00455FC4">
        <w:rPr>
          <w:sz w:val="22"/>
          <w:szCs w:val="18"/>
        </w:rPr>
        <w:t>2.4</w:t>
      </w:r>
      <w:r w:rsidRPr="00455FC4">
        <w:rPr>
          <w:sz w:val="22"/>
          <w:szCs w:val="18"/>
        </w:rPr>
        <w:tab/>
        <w:t>Examiner et promouvoir la coopération et la complémentarité dans l'élaboration de normes internationales relatives au métavers avec les organisations concernées, notamment l'ISO, la CEI, le JTC 1 de l'ISO/CEI, le Projet de partenariat de 3ème génération (3GPP), l'Institut européen des normes de télécommunication (ETSI), l'Institut des ingénieurs en électricité et en électronique (IEEE), le Groupe de travail sur l'ingénierie Internet (IETF), le Metaverse Standards Forum (MSF) et les communautés à code source ouvert.</w:t>
      </w:r>
    </w:p>
    <w:p w14:paraId="3CAC571C" w14:textId="59BEC134" w:rsidR="00897125" w:rsidRPr="00455FC4" w:rsidRDefault="00897125" w:rsidP="00897125">
      <w:pPr>
        <w:rPr>
          <w:sz w:val="22"/>
          <w:szCs w:val="18"/>
        </w:rPr>
      </w:pPr>
      <w:r w:rsidRPr="00455FC4">
        <w:rPr>
          <w:sz w:val="22"/>
          <w:szCs w:val="18"/>
        </w:rPr>
        <w:t>2.5</w:t>
      </w:r>
      <w:r w:rsidRPr="00455FC4">
        <w:rPr>
          <w:sz w:val="22"/>
          <w:szCs w:val="18"/>
        </w:rPr>
        <w:tab/>
        <w:t>Faire rapport au Groupe consultatif de la normalisation des télécommunications (GCNT) chaque fois que des chevauchements d'activités ou d'autres problèmes nécessitant une coordination sont recensés, afin d'appuyer la fonction de coordination du GCNT entre les commissions d'études de l'UIT-T</w:t>
      </w:r>
      <w:r w:rsidR="008B6FC4" w:rsidRPr="00455FC4">
        <w:rPr>
          <w:sz w:val="22"/>
          <w:szCs w:val="18"/>
        </w:rPr>
        <w:t>.</w:t>
      </w:r>
    </w:p>
    <w:p w14:paraId="3A96A00B" w14:textId="3E438B7D" w:rsidR="00897125" w:rsidRPr="00455FC4" w:rsidRDefault="00897125" w:rsidP="00897125">
      <w:pPr>
        <w:rPr>
          <w:sz w:val="22"/>
          <w:szCs w:val="18"/>
        </w:rPr>
      </w:pPr>
      <w:r w:rsidRPr="00455FC4">
        <w:rPr>
          <w:sz w:val="22"/>
          <w:szCs w:val="18"/>
        </w:rPr>
        <w:t>2.6</w:t>
      </w:r>
      <w:r w:rsidRPr="00455FC4">
        <w:rPr>
          <w:sz w:val="22"/>
          <w:szCs w:val="18"/>
        </w:rPr>
        <w:tab/>
        <w:t>Faire fonction de point de contact au sein de l'UIT-T et avec d'autres organisations de normalisation, consortiums et forums travaillant sur les normes relatives au métavers, en</w:t>
      </w:r>
      <w:r w:rsidR="00416865" w:rsidRPr="00455FC4">
        <w:rPr>
          <w:sz w:val="22"/>
          <w:szCs w:val="18"/>
        </w:rPr>
        <w:t> </w:t>
      </w:r>
      <w:r w:rsidRPr="00455FC4">
        <w:rPr>
          <w:sz w:val="22"/>
          <w:szCs w:val="18"/>
        </w:rPr>
        <w:t>particulier pour éviter tout chevauchement d'activité.</w:t>
      </w:r>
    </w:p>
    <w:p w14:paraId="3F869BCA" w14:textId="21723509" w:rsidR="00897125" w:rsidRPr="00455FC4" w:rsidRDefault="00897125" w:rsidP="00897125">
      <w:pPr>
        <w:rPr>
          <w:sz w:val="22"/>
          <w:szCs w:val="18"/>
        </w:rPr>
      </w:pPr>
      <w:r w:rsidRPr="00455FC4">
        <w:rPr>
          <w:sz w:val="22"/>
          <w:szCs w:val="18"/>
        </w:rPr>
        <w:t>2.7</w:t>
      </w:r>
      <w:r w:rsidRPr="00455FC4">
        <w:rPr>
          <w:sz w:val="22"/>
          <w:szCs w:val="18"/>
        </w:rPr>
        <w:tab/>
        <w:t>Tenir à jour une liste de contacts et de représentants des commissions d'études concernées de l'UIT-T et d'autres groupes connexes de l'UIT</w:t>
      </w:r>
      <w:r w:rsidR="008B6FC4" w:rsidRPr="00455FC4">
        <w:rPr>
          <w:sz w:val="22"/>
          <w:szCs w:val="18"/>
        </w:rPr>
        <w:t>.</w:t>
      </w:r>
    </w:p>
    <w:p w14:paraId="2A136D66" w14:textId="379BEEF2" w:rsidR="00897125" w:rsidRPr="00455FC4" w:rsidRDefault="00897125" w:rsidP="00897125">
      <w:pPr>
        <w:rPr>
          <w:sz w:val="22"/>
          <w:szCs w:val="18"/>
        </w:rPr>
      </w:pPr>
      <w:r w:rsidRPr="00455FC4">
        <w:rPr>
          <w:sz w:val="22"/>
          <w:szCs w:val="18"/>
        </w:rPr>
        <w:t>2.8</w:t>
      </w:r>
      <w:r w:rsidRPr="00455FC4">
        <w:rPr>
          <w:sz w:val="22"/>
          <w:szCs w:val="18"/>
        </w:rPr>
        <w:tab/>
        <w:t>Tenir à jour une liste de contacts et de représentants d'autres organisations de normalisation, organisations régionales/nationales, consortiums et forums qui participent aux travaux de la JCA-MV.</w:t>
      </w:r>
    </w:p>
    <w:p w14:paraId="53F69FD4" w14:textId="6CE29273" w:rsidR="00897125" w:rsidRPr="00455FC4" w:rsidRDefault="00897125" w:rsidP="008B6FC4">
      <w:pPr>
        <w:pStyle w:val="Heading1"/>
        <w:spacing w:before="360"/>
        <w:rPr>
          <w:sz w:val="22"/>
          <w:szCs w:val="18"/>
        </w:rPr>
      </w:pPr>
      <w:r w:rsidRPr="00455FC4">
        <w:rPr>
          <w:sz w:val="22"/>
          <w:szCs w:val="18"/>
        </w:rPr>
        <w:t>3</w:t>
      </w:r>
      <w:r w:rsidR="008B6FC4" w:rsidRPr="00455FC4">
        <w:rPr>
          <w:sz w:val="22"/>
          <w:szCs w:val="18"/>
        </w:rPr>
        <w:tab/>
      </w:r>
      <w:r w:rsidRPr="00455FC4">
        <w:rPr>
          <w:sz w:val="22"/>
          <w:szCs w:val="18"/>
        </w:rPr>
        <w:t>Participation</w:t>
      </w:r>
    </w:p>
    <w:p w14:paraId="375E787C" w14:textId="1C406252" w:rsidR="00897125" w:rsidRPr="00455FC4" w:rsidRDefault="00897125" w:rsidP="00897125">
      <w:pPr>
        <w:rPr>
          <w:sz w:val="22"/>
          <w:szCs w:val="18"/>
        </w:rPr>
      </w:pPr>
      <w:r w:rsidRPr="00455FC4">
        <w:rPr>
          <w:sz w:val="22"/>
          <w:szCs w:val="18"/>
        </w:rPr>
        <w:t>La participation à la JCA-MV est ouverte aux représentants des membres de l'UIT, y compris des représentants de toutes les CE de l'UIT-T et du GCNT. Les experts invités, y compris des représentants d'organisations de normalisation, d'établissements universitaires, de forums et de consortiums concernés, sont également les bienvenus. Conformément à la Résolution 105 de</w:t>
      </w:r>
      <w:r w:rsidR="00416865" w:rsidRPr="00455FC4">
        <w:rPr>
          <w:sz w:val="22"/>
          <w:szCs w:val="18"/>
        </w:rPr>
        <w:t> </w:t>
      </w:r>
      <w:r w:rsidRPr="00455FC4">
        <w:rPr>
          <w:sz w:val="22"/>
          <w:szCs w:val="18"/>
        </w:rPr>
        <w:t xml:space="preserve">l'AMNT-24 </w:t>
      </w:r>
      <w:r w:rsidR="008B6FC4" w:rsidRPr="00455FC4">
        <w:rPr>
          <w:sz w:val="22"/>
          <w:szCs w:val="18"/>
        </w:rPr>
        <w:t>"</w:t>
      </w:r>
      <w:r w:rsidRPr="00455FC4">
        <w:rPr>
          <w:sz w:val="22"/>
          <w:szCs w:val="18"/>
        </w:rPr>
        <w:t xml:space="preserve">Normalisation du </w:t>
      </w:r>
      <w:r w:rsidRPr="00455FC4">
        <w:rPr>
          <w:sz w:val="22"/>
          <w:szCs w:val="18"/>
        </w:rPr>
        <w:lastRenderedPageBreak/>
        <w:t>métavers</w:t>
      </w:r>
      <w:r w:rsidR="008B6FC4" w:rsidRPr="00455FC4">
        <w:rPr>
          <w:sz w:val="22"/>
          <w:szCs w:val="18"/>
        </w:rPr>
        <w:t>"</w:t>
      </w:r>
      <w:r w:rsidRPr="00455FC4">
        <w:rPr>
          <w:sz w:val="22"/>
          <w:szCs w:val="18"/>
        </w:rPr>
        <w:t>, la participation aux travaux des petites et moyennes entreprises (PME) et des secteurs verticaux participant au développement du métavers est particulièrement encouragée, afin de garantir une large représentation dans le processus de normalisation. D'autres groupes de l'UIT et des organismes extérieurs concernés, notamment des organisations de normalisation, pourront être invités à nommer un représentant au sein du groupe.</w:t>
      </w:r>
    </w:p>
    <w:p w14:paraId="5DA3FBCD" w14:textId="19CDE86D" w:rsidR="00897125" w:rsidRPr="00455FC4" w:rsidRDefault="00897125" w:rsidP="008B6FC4">
      <w:pPr>
        <w:pStyle w:val="Heading1"/>
        <w:spacing w:before="360"/>
        <w:rPr>
          <w:sz w:val="22"/>
          <w:szCs w:val="18"/>
        </w:rPr>
      </w:pPr>
      <w:r w:rsidRPr="00455FC4">
        <w:rPr>
          <w:sz w:val="22"/>
          <w:szCs w:val="18"/>
        </w:rPr>
        <w:t>4</w:t>
      </w:r>
      <w:r w:rsidR="008B6FC4" w:rsidRPr="00455FC4">
        <w:rPr>
          <w:sz w:val="22"/>
          <w:szCs w:val="18"/>
        </w:rPr>
        <w:tab/>
      </w:r>
      <w:r w:rsidRPr="00455FC4">
        <w:rPr>
          <w:sz w:val="22"/>
          <w:szCs w:val="18"/>
        </w:rPr>
        <w:t>Méthodes de travail</w:t>
      </w:r>
    </w:p>
    <w:p w14:paraId="76FFDA1C" w14:textId="3A03E266" w:rsidR="00897125" w:rsidRPr="00455FC4" w:rsidRDefault="00897125" w:rsidP="00897125">
      <w:pPr>
        <w:rPr>
          <w:sz w:val="22"/>
          <w:szCs w:val="18"/>
        </w:rPr>
      </w:pPr>
      <w:r w:rsidRPr="00455FC4">
        <w:rPr>
          <w:sz w:val="22"/>
          <w:szCs w:val="18"/>
        </w:rPr>
        <w:t>4.1</w:t>
      </w:r>
      <w:r w:rsidR="008B6FC4" w:rsidRPr="00455FC4">
        <w:rPr>
          <w:sz w:val="22"/>
          <w:szCs w:val="18"/>
        </w:rPr>
        <w:tab/>
      </w:r>
      <w:r w:rsidRPr="00455FC4">
        <w:rPr>
          <w:sz w:val="22"/>
          <w:szCs w:val="18"/>
        </w:rPr>
        <w:t xml:space="preserve">Conformément à la Recommandation UIT-T A.18, la JCA-MV sera constituée de tous les présidents des commissions d'études de l'UIT-T, du </w:t>
      </w:r>
      <w:r w:rsidR="00416865" w:rsidRPr="00455FC4">
        <w:rPr>
          <w:sz w:val="22"/>
          <w:szCs w:val="18"/>
        </w:rPr>
        <w:t>p</w:t>
      </w:r>
      <w:r w:rsidRPr="00455FC4">
        <w:rPr>
          <w:sz w:val="22"/>
          <w:szCs w:val="18"/>
        </w:rPr>
        <w:t xml:space="preserve">résident du GCNT, d'un certain nombre de personnes désignées par les </w:t>
      </w:r>
      <w:r w:rsidR="00416865" w:rsidRPr="00455FC4">
        <w:rPr>
          <w:sz w:val="22"/>
          <w:szCs w:val="18"/>
        </w:rPr>
        <w:t>p</w:t>
      </w:r>
      <w:r w:rsidRPr="00455FC4">
        <w:rPr>
          <w:sz w:val="22"/>
          <w:szCs w:val="18"/>
        </w:rPr>
        <w:t>résidents des commissions d'études, de personnes de contact pour le métavers au sein des commissions d'études de l'UIT-T et de représentants invités d'organisations de normalisation concernées telles que l'ISO, la CEI, ainsi que d'établissements universitaires, de forums et de consortiums concernés.</w:t>
      </w:r>
    </w:p>
    <w:p w14:paraId="505F60ED" w14:textId="669F77D6" w:rsidR="00897125" w:rsidRPr="00455FC4" w:rsidRDefault="00897125" w:rsidP="00897125">
      <w:pPr>
        <w:rPr>
          <w:sz w:val="22"/>
          <w:szCs w:val="18"/>
        </w:rPr>
      </w:pPr>
      <w:r w:rsidRPr="00455FC4">
        <w:rPr>
          <w:sz w:val="22"/>
          <w:szCs w:val="18"/>
        </w:rPr>
        <w:t>4.2</w:t>
      </w:r>
      <w:r w:rsidR="008B6FC4" w:rsidRPr="00455FC4">
        <w:rPr>
          <w:sz w:val="22"/>
          <w:szCs w:val="18"/>
        </w:rPr>
        <w:tab/>
      </w:r>
      <w:r w:rsidRPr="00455FC4">
        <w:rPr>
          <w:sz w:val="22"/>
          <w:szCs w:val="18"/>
        </w:rPr>
        <w:t>La JCA-MV travaillera essentiellement par correspondance, mais peut également se réunir parallèlement à des réunions du GCNT et des commissions d'études si nécessaire.</w:t>
      </w:r>
    </w:p>
    <w:p w14:paraId="76164E91" w14:textId="421142D0" w:rsidR="00897125" w:rsidRPr="00455FC4" w:rsidRDefault="00897125" w:rsidP="00897125">
      <w:pPr>
        <w:rPr>
          <w:sz w:val="22"/>
          <w:szCs w:val="18"/>
        </w:rPr>
      </w:pPr>
      <w:r w:rsidRPr="00455FC4">
        <w:rPr>
          <w:sz w:val="22"/>
          <w:szCs w:val="18"/>
        </w:rPr>
        <w:t>4.3</w:t>
      </w:r>
      <w:r w:rsidR="008B6FC4" w:rsidRPr="00455FC4">
        <w:rPr>
          <w:sz w:val="22"/>
          <w:szCs w:val="18"/>
        </w:rPr>
        <w:tab/>
      </w:r>
      <w:r w:rsidRPr="00455FC4">
        <w:rPr>
          <w:sz w:val="22"/>
          <w:szCs w:val="18"/>
        </w:rPr>
        <w:t>La JCA-MV accomplit ses travaux essentiellement par voie électronique, notamment par courrier électronique et par téléconférence, et ne tient des réunions présentielles que lorsque cela est jugé nécessaire pour mener à bien ses travaux.</w:t>
      </w:r>
    </w:p>
    <w:p w14:paraId="50D11526" w14:textId="26232466" w:rsidR="00897125" w:rsidRPr="00455FC4" w:rsidRDefault="00897125" w:rsidP="008B6FC4">
      <w:pPr>
        <w:pStyle w:val="Heading1"/>
        <w:spacing w:before="360"/>
        <w:rPr>
          <w:sz w:val="22"/>
          <w:szCs w:val="18"/>
        </w:rPr>
      </w:pPr>
      <w:r w:rsidRPr="00455FC4">
        <w:rPr>
          <w:sz w:val="22"/>
          <w:szCs w:val="18"/>
        </w:rPr>
        <w:t>5</w:t>
      </w:r>
      <w:r w:rsidR="008B6FC4" w:rsidRPr="00455FC4">
        <w:rPr>
          <w:sz w:val="22"/>
          <w:szCs w:val="18"/>
        </w:rPr>
        <w:tab/>
      </w:r>
      <w:r w:rsidRPr="00455FC4">
        <w:rPr>
          <w:sz w:val="22"/>
          <w:szCs w:val="18"/>
        </w:rPr>
        <w:t>Appui administratif</w:t>
      </w:r>
    </w:p>
    <w:p w14:paraId="0025320B" w14:textId="2B3D04A6" w:rsidR="00897125" w:rsidRPr="00455FC4" w:rsidRDefault="00897125" w:rsidP="00897125">
      <w:pPr>
        <w:rPr>
          <w:sz w:val="22"/>
          <w:szCs w:val="18"/>
        </w:rPr>
      </w:pPr>
      <w:r w:rsidRPr="00455FC4">
        <w:rPr>
          <w:sz w:val="22"/>
          <w:szCs w:val="18"/>
        </w:rPr>
        <w:t>Le Bureau de la normalisation des télécommunications (TSB) de l'UIT-T fournit à la JCA-MV les services de secrétariat et les installations dont elle a besoin pour ses activités, dans les limites des ressources disponibles.</w:t>
      </w:r>
    </w:p>
    <w:p w14:paraId="2DFD7E4E" w14:textId="57D4630E" w:rsidR="00897125" w:rsidRPr="00455FC4" w:rsidRDefault="00897125" w:rsidP="008B6FC4">
      <w:pPr>
        <w:pStyle w:val="Heading1"/>
        <w:spacing w:before="360"/>
        <w:rPr>
          <w:sz w:val="22"/>
          <w:szCs w:val="18"/>
        </w:rPr>
      </w:pPr>
      <w:r w:rsidRPr="00455FC4">
        <w:rPr>
          <w:sz w:val="22"/>
          <w:szCs w:val="18"/>
        </w:rPr>
        <w:t>6</w:t>
      </w:r>
      <w:r w:rsidR="008B6FC4" w:rsidRPr="00455FC4">
        <w:rPr>
          <w:sz w:val="22"/>
          <w:szCs w:val="18"/>
        </w:rPr>
        <w:tab/>
      </w:r>
      <w:r w:rsidRPr="00455FC4">
        <w:rPr>
          <w:sz w:val="22"/>
          <w:szCs w:val="18"/>
        </w:rPr>
        <w:t>Réunions</w:t>
      </w:r>
    </w:p>
    <w:p w14:paraId="70E3338D" w14:textId="3E90A9E7" w:rsidR="00897125" w:rsidRPr="00455FC4" w:rsidRDefault="00897125" w:rsidP="00897125">
      <w:pPr>
        <w:rPr>
          <w:sz w:val="22"/>
          <w:szCs w:val="18"/>
        </w:rPr>
      </w:pPr>
      <w:r w:rsidRPr="00455FC4">
        <w:rPr>
          <w:sz w:val="22"/>
          <w:szCs w:val="18"/>
        </w:rPr>
        <w:t>La JCA-MV travaille par voie électronique, en tenant des téléconférences et organisant des réunions physiques trois fois par an, afin d'examiner les mises à jour et les rapports présentés par les différentes parties. Les réunions en présentiel ont normalement lieu en parallèle avec les réunions des commissions d'études participant aux travaux de la JCA-MV. La tenue des réunions sera déterminée par la JCA-MV et sera annoncée aux participants au moyen de son système de diffusion de messages électroniques et publiée sur la page web de l'UIT-T consacrée à la JCA-MV.</w:t>
      </w:r>
    </w:p>
    <w:p w14:paraId="573D9FCF" w14:textId="1456B668" w:rsidR="00897125" w:rsidRPr="00455FC4" w:rsidRDefault="00897125" w:rsidP="008B6FC4">
      <w:pPr>
        <w:pStyle w:val="Heading1"/>
        <w:spacing w:before="360"/>
        <w:rPr>
          <w:sz w:val="22"/>
          <w:szCs w:val="18"/>
        </w:rPr>
      </w:pPr>
      <w:r w:rsidRPr="00455FC4">
        <w:rPr>
          <w:sz w:val="22"/>
          <w:szCs w:val="18"/>
        </w:rPr>
        <w:t>7</w:t>
      </w:r>
      <w:r w:rsidR="008B6FC4" w:rsidRPr="00455FC4">
        <w:rPr>
          <w:sz w:val="22"/>
          <w:szCs w:val="18"/>
        </w:rPr>
        <w:tab/>
      </w:r>
      <w:r w:rsidRPr="00455FC4">
        <w:rPr>
          <w:sz w:val="22"/>
          <w:szCs w:val="18"/>
        </w:rPr>
        <w:t>Rattachement et rapports d'activité</w:t>
      </w:r>
    </w:p>
    <w:p w14:paraId="72289E24" w14:textId="7FBF40C7" w:rsidR="00897125" w:rsidRPr="00455FC4" w:rsidRDefault="00897125" w:rsidP="00897125">
      <w:pPr>
        <w:rPr>
          <w:sz w:val="22"/>
          <w:szCs w:val="18"/>
        </w:rPr>
      </w:pPr>
      <w:r w:rsidRPr="00455FC4">
        <w:rPr>
          <w:sz w:val="22"/>
          <w:szCs w:val="18"/>
        </w:rPr>
        <w:t>La JCA-MV rend compte de ses activités aux réunions du GCNT. Un résumé analytique sera envoyé au CGNT après chaque réunion de la JCA-MV. Des rapports d'activité et des propositions seront envoyés aux commissions d'études concernées en fonction des besoins, conformément à la Recommandation UIT-T A.18.</w:t>
      </w:r>
    </w:p>
    <w:p w14:paraId="1B47B208" w14:textId="433508C4" w:rsidR="00897125" w:rsidRPr="00455FC4" w:rsidRDefault="00897125" w:rsidP="008B6FC4">
      <w:pPr>
        <w:pStyle w:val="Heading1"/>
        <w:spacing w:before="360"/>
        <w:rPr>
          <w:sz w:val="22"/>
          <w:szCs w:val="18"/>
        </w:rPr>
      </w:pPr>
      <w:r w:rsidRPr="00455FC4">
        <w:rPr>
          <w:sz w:val="22"/>
          <w:szCs w:val="18"/>
        </w:rPr>
        <w:t>8</w:t>
      </w:r>
      <w:r w:rsidR="008B6FC4" w:rsidRPr="00455FC4">
        <w:rPr>
          <w:sz w:val="22"/>
          <w:szCs w:val="18"/>
        </w:rPr>
        <w:tab/>
      </w:r>
      <w:r w:rsidRPr="00455FC4">
        <w:rPr>
          <w:sz w:val="22"/>
          <w:szCs w:val="18"/>
        </w:rPr>
        <w:t>Durée</w:t>
      </w:r>
    </w:p>
    <w:p w14:paraId="389B94F4" w14:textId="43AE2E68" w:rsidR="008B6FC4" w:rsidRPr="00455FC4" w:rsidRDefault="00897125" w:rsidP="00897125">
      <w:pPr>
        <w:rPr>
          <w:sz w:val="22"/>
          <w:szCs w:val="18"/>
        </w:rPr>
      </w:pPr>
      <w:r w:rsidRPr="00455FC4">
        <w:rPr>
          <w:sz w:val="22"/>
          <w:szCs w:val="18"/>
        </w:rPr>
        <w:t>Voir la Recommandation UIT-T A.18</w:t>
      </w:r>
      <w:r w:rsidR="008B6FC4" w:rsidRPr="00455FC4">
        <w:rPr>
          <w:sz w:val="22"/>
          <w:szCs w:val="18"/>
        </w:rPr>
        <w:t>.</w:t>
      </w:r>
    </w:p>
    <w:p w14:paraId="66D3B374" w14:textId="0F38CB99" w:rsidR="00897125" w:rsidRPr="00455FC4" w:rsidRDefault="00897125" w:rsidP="00455FC4">
      <w:pPr>
        <w:pStyle w:val="AnnexTitle"/>
        <w:spacing w:after="240"/>
        <w:rPr>
          <w:sz w:val="28"/>
          <w:szCs w:val="22"/>
        </w:rPr>
      </w:pPr>
      <w:r w:rsidRPr="00455FC4">
        <w:rPr>
          <w:sz w:val="28"/>
          <w:szCs w:val="22"/>
        </w:rPr>
        <w:t>A</w:t>
      </w:r>
      <w:r w:rsidR="008B6FC4" w:rsidRPr="00455FC4">
        <w:rPr>
          <w:sz w:val="28"/>
          <w:szCs w:val="22"/>
        </w:rPr>
        <w:t>NNEXE</w:t>
      </w:r>
      <w:r w:rsidRPr="00455FC4">
        <w:rPr>
          <w:sz w:val="28"/>
          <w:szCs w:val="22"/>
        </w:rPr>
        <w:t xml:space="preserve"> B</w:t>
      </w:r>
    </w:p>
    <w:p w14:paraId="09AFA1EF" w14:textId="424E2D52" w:rsidR="00897125" w:rsidRPr="00455FC4" w:rsidRDefault="00897125" w:rsidP="008B6FC4">
      <w:pPr>
        <w:pStyle w:val="AnnexTitle"/>
        <w:rPr>
          <w:sz w:val="28"/>
          <w:szCs w:val="22"/>
        </w:rPr>
      </w:pPr>
      <w:r w:rsidRPr="00455FC4">
        <w:rPr>
          <w:sz w:val="28"/>
          <w:szCs w:val="22"/>
        </w:rPr>
        <w:t>Projet d'ordre du jour de la première réunion de la JCA-MV</w:t>
      </w:r>
      <w:r w:rsidR="008B6FC4" w:rsidRPr="00455FC4">
        <w:rPr>
          <w:sz w:val="28"/>
          <w:szCs w:val="22"/>
        </w:rPr>
        <w:br/>
      </w:r>
      <w:r w:rsidRPr="00455FC4">
        <w:rPr>
          <w:sz w:val="28"/>
          <w:szCs w:val="22"/>
        </w:rPr>
        <w:t>(Genève, 9 octobre 2025, 11 h 15-13 h 15 CEST)</w:t>
      </w:r>
    </w:p>
    <w:p w14:paraId="1115EF8A" w14:textId="094F6366" w:rsidR="00897125" w:rsidRDefault="00897125" w:rsidP="008B6FC4">
      <w:pPr>
        <w:pStyle w:val="enumlev1"/>
      </w:pPr>
      <w:r>
        <w:t>1</w:t>
      </w:r>
      <w:r>
        <w:tab/>
        <w:t>Ouverture de la réunion</w:t>
      </w:r>
    </w:p>
    <w:p w14:paraId="119334B0" w14:textId="77777777" w:rsidR="00897125" w:rsidRDefault="00897125" w:rsidP="008B6FC4">
      <w:pPr>
        <w:pStyle w:val="enumlev1"/>
      </w:pPr>
      <w:r>
        <w:t>2</w:t>
      </w:r>
      <w:r>
        <w:tab/>
        <w:t>Adoption de l'ordre du jour</w:t>
      </w:r>
    </w:p>
    <w:p w14:paraId="5758F637" w14:textId="4C84219C" w:rsidR="00897125" w:rsidRDefault="00897125" w:rsidP="008B6FC4">
      <w:pPr>
        <w:pStyle w:val="enumlev1"/>
      </w:pPr>
      <w:r>
        <w:lastRenderedPageBreak/>
        <w:t>3</w:t>
      </w:r>
      <w:r>
        <w:tab/>
        <w:t>Examen des méthodes de travail de la JCA-MV, y compris la documentation pour la réunion [</w:t>
      </w:r>
      <w:hyperlink r:id="rId25" w:history="1">
        <w:r w:rsidRPr="00CD1CEC">
          <w:rPr>
            <w:rStyle w:val="Hyperlink"/>
            <w:i/>
            <w:iCs/>
          </w:rPr>
          <w:t>https://www.itu.int/ifa/t/sftp/jcamv/</w:t>
        </w:r>
      </w:hyperlink>
      <w:r>
        <w:t>] et les modalités de participation à distance</w:t>
      </w:r>
    </w:p>
    <w:p w14:paraId="0AEA7141" w14:textId="5C74D3D7" w:rsidR="00897125" w:rsidRDefault="00897125" w:rsidP="008B6FC4">
      <w:pPr>
        <w:pStyle w:val="enumlev1"/>
      </w:pPr>
      <w:r>
        <w:t>4</w:t>
      </w:r>
      <w:r>
        <w:tab/>
        <w:t>Examen des résultats de la réunion du GCNT concernant la création de la JCA-MV, y</w:t>
      </w:r>
      <w:r w:rsidR="008B6FC4">
        <w:t> </w:t>
      </w:r>
      <w:r>
        <w:t xml:space="preserve">compris la définition du </w:t>
      </w:r>
      <w:r w:rsidR="008B6FC4">
        <w:t>"</w:t>
      </w:r>
      <w:r>
        <w:t>métavers</w:t>
      </w:r>
      <w:r w:rsidR="008B6FC4">
        <w:t>"</w:t>
      </w:r>
    </w:p>
    <w:p w14:paraId="5F0772D9" w14:textId="77777777" w:rsidR="00897125" w:rsidRDefault="00897125" w:rsidP="008B6FC4">
      <w:pPr>
        <w:pStyle w:val="enumlev1"/>
      </w:pPr>
      <w:r>
        <w:t>5</w:t>
      </w:r>
      <w:r>
        <w:tab/>
        <w:t>Examen du mandat de la JCA-MV</w:t>
      </w:r>
    </w:p>
    <w:p w14:paraId="3BCDDD6D" w14:textId="77777777" w:rsidR="00897125" w:rsidRDefault="00897125" w:rsidP="008B6FC4">
      <w:pPr>
        <w:pStyle w:val="enumlev1"/>
      </w:pPr>
      <w:r>
        <w:t>6</w:t>
      </w:r>
      <w:r>
        <w:tab/>
        <w:t>Notes de liaison reçues</w:t>
      </w:r>
    </w:p>
    <w:p w14:paraId="63B47C55" w14:textId="77777777" w:rsidR="00897125" w:rsidRDefault="00897125" w:rsidP="008B6FC4">
      <w:pPr>
        <w:pStyle w:val="enumlev1"/>
      </w:pPr>
      <w:r>
        <w:t>7</w:t>
      </w:r>
      <w:r>
        <w:tab/>
        <w:t>Examen des activités de normalisation menées par les commissions d'études de l'UIT-T, d'autres organisations de normalisation et forums</w:t>
      </w:r>
    </w:p>
    <w:p w14:paraId="1E12ABA3" w14:textId="77777777" w:rsidR="00897125" w:rsidRDefault="00897125" w:rsidP="008B6FC4">
      <w:pPr>
        <w:pStyle w:val="enumlev1"/>
      </w:pPr>
      <w:r>
        <w:t>8</w:t>
      </w:r>
      <w:r>
        <w:tab/>
        <w:t>Examen des contributions à la réunion de la JCA-MV</w:t>
      </w:r>
    </w:p>
    <w:p w14:paraId="4D4F4F20" w14:textId="77777777" w:rsidR="00897125" w:rsidRDefault="00897125" w:rsidP="008B6FC4">
      <w:pPr>
        <w:pStyle w:val="enumlev1"/>
      </w:pPr>
      <w:r>
        <w:t>9</w:t>
      </w:r>
      <w:r>
        <w:tab/>
        <w:t>Questions nécessitant une coordination</w:t>
      </w:r>
    </w:p>
    <w:p w14:paraId="769B6054" w14:textId="4ED2D6E9" w:rsidR="00897125" w:rsidRDefault="00897125" w:rsidP="008B6FC4">
      <w:pPr>
        <w:pStyle w:val="enumlev1"/>
      </w:pPr>
      <w:r>
        <w:t>10</w:t>
      </w:r>
      <w:r>
        <w:tab/>
        <w:t>Nomination de représentants chargés de liaison de la JCA-MV</w:t>
      </w:r>
    </w:p>
    <w:p w14:paraId="41CB7153" w14:textId="77777777" w:rsidR="00897125" w:rsidRDefault="00897125" w:rsidP="008B6FC4">
      <w:pPr>
        <w:pStyle w:val="enumlev1"/>
      </w:pPr>
      <w:r>
        <w:t>11</w:t>
      </w:r>
      <w:r>
        <w:tab/>
        <w:t>Approbation des notes de liaison à envoyer</w:t>
      </w:r>
    </w:p>
    <w:p w14:paraId="34C74BE7" w14:textId="77777777" w:rsidR="00897125" w:rsidRDefault="00897125" w:rsidP="008B6FC4">
      <w:pPr>
        <w:pStyle w:val="enumlev1"/>
      </w:pPr>
      <w:r>
        <w:t>12</w:t>
      </w:r>
      <w:r>
        <w:tab/>
        <w:t>Réunions futures</w:t>
      </w:r>
    </w:p>
    <w:p w14:paraId="5CB7B316" w14:textId="77777777" w:rsidR="00897125" w:rsidRDefault="00897125" w:rsidP="008B6FC4">
      <w:pPr>
        <w:pStyle w:val="enumlev1"/>
      </w:pPr>
      <w:r>
        <w:t>13</w:t>
      </w:r>
      <w:r>
        <w:tab/>
        <w:t>Divers</w:t>
      </w:r>
    </w:p>
    <w:p w14:paraId="0E5E287D" w14:textId="77777777" w:rsidR="00897125" w:rsidRDefault="00897125" w:rsidP="008B6FC4">
      <w:pPr>
        <w:pStyle w:val="enumlev1"/>
      </w:pPr>
      <w:r>
        <w:t>14</w:t>
      </w:r>
      <w:r>
        <w:tab/>
        <w:t>Prochaines étapes</w:t>
      </w:r>
    </w:p>
    <w:p w14:paraId="08CD1555" w14:textId="4D44008D" w:rsidR="00897125" w:rsidRDefault="00897125" w:rsidP="008B6FC4">
      <w:pPr>
        <w:pStyle w:val="enumlev1"/>
      </w:pPr>
      <w:r>
        <w:t>15</w:t>
      </w:r>
      <w:r>
        <w:tab/>
        <w:t>Clôture de la réunion</w:t>
      </w:r>
    </w:p>
    <w:p w14:paraId="6C27CA6E" w14:textId="77777777" w:rsidR="00CD1CEC" w:rsidRDefault="00CD1CEC">
      <w:pPr>
        <w:jc w:val="center"/>
      </w:pPr>
      <w:r>
        <w:t>______________</w:t>
      </w:r>
    </w:p>
    <w:sectPr w:rsidR="00CD1CEC" w:rsidSect="00A15179">
      <w:headerReference w:type="default" r:id="rId26"/>
      <w:footerReference w:type="first" r:id="rId2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F60B3" w14:textId="77777777" w:rsidR="00F40842" w:rsidRDefault="00F40842">
      <w:r>
        <w:separator/>
      </w:r>
    </w:p>
  </w:endnote>
  <w:endnote w:type="continuationSeparator" w:id="0">
    <w:p w14:paraId="0B1D9911" w14:textId="77777777" w:rsidR="00F40842" w:rsidRDefault="00F4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E5F7"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w:t>
    </w:r>
    <w:proofErr w:type="gramStart"/>
    <w:r w:rsidRPr="003E66AD">
      <w:rPr>
        <w:color w:val="0070C0"/>
        <w:sz w:val="18"/>
        <w:szCs w:val="18"/>
        <w:lang w:val="fr-CH"/>
      </w:rPr>
      <w:t>Fax:</w:t>
    </w:r>
    <w:proofErr w:type="gramEnd"/>
    <w:r w:rsidRPr="003E66AD">
      <w:rPr>
        <w:color w:val="0070C0"/>
        <w:sz w:val="18"/>
        <w:szCs w:val="18"/>
        <w:lang w:val="fr-CH"/>
      </w:rPr>
      <w:t xml:space="preserve"> +41 22 733 7256 • </w:t>
    </w:r>
    <w:proofErr w:type="gramStart"/>
    <w:r w:rsidR="00085F5A" w:rsidRPr="003E66AD">
      <w:rPr>
        <w:color w:val="0070C0"/>
        <w:sz w:val="18"/>
        <w:szCs w:val="18"/>
        <w:lang w:val="fr-CH"/>
      </w:rPr>
      <w:t>Courriel</w:t>
    </w:r>
    <w:r w:rsidRPr="003E66AD">
      <w:rPr>
        <w:color w:val="0070C0"/>
        <w:sz w:val="18"/>
        <w:szCs w:val="18"/>
        <w:lang w:val="fr-CH"/>
      </w:rPr>
      <w:t>:</w:t>
    </w:r>
    <w:proofErr w:type="gramEnd"/>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F28A8" w14:textId="77777777" w:rsidR="00F40842" w:rsidRDefault="00F40842">
      <w:r>
        <w:t>____________________</w:t>
      </w:r>
    </w:p>
  </w:footnote>
  <w:footnote w:type="continuationSeparator" w:id="0">
    <w:p w14:paraId="194205AF" w14:textId="77777777" w:rsidR="00F40842" w:rsidRDefault="00F4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9FEA" w14:textId="77777777" w:rsidR="00697BC1" w:rsidRDefault="00147AB0"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24018D00" w14:textId="23FA2E30" w:rsidR="00416865" w:rsidRPr="00697BC1" w:rsidRDefault="00416865" w:rsidP="00697BC1">
    <w:pPr>
      <w:pStyle w:val="Header"/>
      <w:rPr>
        <w:sz w:val="18"/>
        <w:szCs w:val="16"/>
      </w:rPr>
    </w:pPr>
    <w:r>
      <w:rPr>
        <w:noProof/>
        <w:sz w:val="18"/>
        <w:szCs w:val="16"/>
      </w:rPr>
      <w:t>Circulaire TSB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42"/>
    <w:rsid w:val="000039EE"/>
    <w:rsid w:val="00005622"/>
    <w:rsid w:val="0002519E"/>
    <w:rsid w:val="00035B43"/>
    <w:rsid w:val="00036F4F"/>
    <w:rsid w:val="000758B3"/>
    <w:rsid w:val="00085F5A"/>
    <w:rsid w:val="000B0D96"/>
    <w:rsid w:val="000B59D8"/>
    <w:rsid w:val="000C1F6B"/>
    <w:rsid w:val="000C25CC"/>
    <w:rsid w:val="000C56BE"/>
    <w:rsid w:val="001026FD"/>
    <w:rsid w:val="00106220"/>
    <w:rsid w:val="001077FD"/>
    <w:rsid w:val="00115DD7"/>
    <w:rsid w:val="00147AB0"/>
    <w:rsid w:val="00167472"/>
    <w:rsid w:val="00167F92"/>
    <w:rsid w:val="00173738"/>
    <w:rsid w:val="001B79A3"/>
    <w:rsid w:val="002152A3"/>
    <w:rsid w:val="0023667A"/>
    <w:rsid w:val="002E395D"/>
    <w:rsid w:val="003131F0"/>
    <w:rsid w:val="00333A80"/>
    <w:rsid w:val="00341117"/>
    <w:rsid w:val="00364E95"/>
    <w:rsid w:val="00372875"/>
    <w:rsid w:val="003B1E80"/>
    <w:rsid w:val="003B66E8"/>
    <w:rsid w:val="003E66AD"/>
    <w:rsid w:val="004033F1"/>
    <w:rsid w:val="00414B0C"/>
    <w:rsid w:val="00416865"/>
    <w:rsid w:val="00423C21"/>
    <w:rsid w:val="004257AC"/>
    <w:rsid w:val="0043711B"/>
    <w:rsid w:val="00445B68"/>
    <w:rsid w:val="00455FC4"/>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37666"/>
    <w:rsid w:val="00760063"/>
    <w:rsid w:val="00775E4B"/>
    <w:rsid w:val="0079553B"/>
    <w:rsid w:val="00795679"/>
    <w:rsid w:val="007A40FE"/>
    <w:rsid w:val="00801BBC"/>
    <w:rsid w:val="00810105"/>
    <w:rsid w:val="008157E0"/>
    <w:rsid w:val="00850477"/>
    <w:rsid w:val="00854E1D"/>
    <w:rsid w:val="00887FA6"/>
    <w:rsid w:val="00897125"/>
    <w:rsid w:val="008A6F63"/>
    <w:rsid w:val="008B6FC4"/>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E1C11"/>
    <w:rsid w:val="00AF08A4"/>
    <w:rsid w:val="00B27B41"/>
    <w:rsid w:val="00B42659"/>
    <w:rsid w:val="00B8573E"/>
    <w:rsid w:val="00BB24C0"/>
    <w:rsid w:val="00BD6ECF"/>
    <w:rsid w:val="00C26F2E"/>
    <w:rsid w:val="00C302E3"/>
    <w:rsid w:val="00C41B89"/>
    <w:rsid w:val="00C45376"/>
    <w:rsid w:val="00C9028F"/>
    <w:rsid w:val="00CA0416"/>
    <w:rsid w:val="00CB1125"/>
    <w:rsid w:val="00CB4E80"/>
    <w:rsid w:val="00CD042E"/>
    <w:rsid w:val="00CD1CEC"/>
    <w:rsid w:val="00CE49FC"/>
    <w:rsid w:val="00CF2560"/>
    <w:rsid w:val="00CF5B46"/>
    <w:rsid w:val="00D46B68"/>
    <w:rsid w:val="00D542A5"/>
    <w:rsid w:val="00D934E4"/>
    <w:rsid w:val="00DC3D47"/>
    <w:rsid w:val="00DD77DA"/>
    <w:rsid w:val="00E06C61"/>
    <w:rsid w:val="00E13DB3"/>
    <w:rsid w:val="00E2408B"/>
    <w:rsid w:val="00E62CEA"/>
    <w:rsid w:val="00E72AE1"/>
    <w:rsid w:val="00ED6A7A"/>
    <w:rsid w:val="00EE4C36"/>
    <w:rsid w:val="00EF6A23"/>
    <w:rsid w:val="00F074BD"/>
    <w:rsid w:val="00F346CE"/>
    <w:rsid w:val="00F34F98"/>
    <w:rsid w:val="00F40540"/>
    <w:rsid w:val="00F40842"/>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2B6A0"/>
  <w15:docId w15:val="{EFA4AB48-2A32-4804-87F2-FF4C73F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897125"/>
    <w:rPr>
      <w:color w:val="605E5C"/>
      <w:shd w:val="clear" w:color="auto" w:fill="E1DFDD"/>
    </w:rPr>
  </w:style>
  <w:style w:type="paragraph" w:customStyle="1" w:styleId="Tabletext0">
    <w:name w:val="Table_text"/>
    <w:basedOn w:val="Normal"/>
    <w:rsid w:val="008971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SimSun" w:hAnsi="Calibri"/>
      <w:lang w:val="en-GB"/>
    </w:rPr>
  </w:style>
  <w:style w:type="table" w:styleId="TableGrid">
    <w:name w:val="Table Grid"/>
    <w:basedOn w:val="TableNormal"/>
    <w:rsid w:val="0089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CD1CE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jcamv@itu.int" TargetMode="External"/><Relationship Id="rId18" Type="http://schemas.openxmlformats.org/officeDocument/2006/relationships/hyperlink" Target="mailto:tsbjcamv@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en/ITU-T/jca/qkdn" TargetMode="External"/><Relationship Id="rId7" Type="http://schemas.openxmlformats.org/officeDocument/2006/relationships/endnotes" Target="endnotes.xml"/><Relationship Id="rId12" Type="http://schemas.openxmlformats.org/officeDocument/2006/relationships/hyperlink" Target="https://www.itu.int/en/ITU-T/jca/mv/Pages/default.aspx" TargetMode="External"/><Relationship Id="rId17" Type="http://schemas.openxmlformats.org/officeDocument/2006/relationships/hyperlink" Target="https://www.itu.int/en/ITU-T/jca/mv/Pages/default.aspx" TargetMode="External"/><Relationship Id="rId25" Type="http://schemas.openxmlformats.org/officeDocument/2006/relationships/hyperlink" Target="https://www.itu.int/ifa/t/sftp/jcamv/" TargetMode="External"/><Relationship Id="rId2" Type="http://schemas.openxmlformats.org/officeDocument/2006/relationships/numbering" Target="numbering.xml"/><Relationship Id="rId16" Type="http://schemas.openxmlformats.org/officeDocument/2006/relationships/hyperlink" Target="mailto:tsbjcamv@itu.int" TargetMode="External"/><Relationship Id="rId20" Type="http://schemas.openxmlformats.org/officeDocument/2006/relationships/hyperlink" Target="https://www.itu.int/en/ITU-T/jca/mv/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5-2028/21/Pages/default.aspx"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en/ITU-T/jca/mv/Pages/default.aspx"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itu.int/en/ITU-T/jca/mv/Pages/default.aspx" TargetMode="External"/><Relationship Id="rId19" Type="http://schemas.openxmlformats.org/officeDocument/2006/relationships/hyperlink" Target="mailto:tsbjcamv@itu.int" TargetMode="External"/><Relationship Id="rId4" Type="http://schemas.openxmlformats.org/officeDocument/2006/relationships/settings" Target="settings.xml"/><Relationship Id="rId9" Type="http://schemas.openxmlformats.org/officeDocument/2006/relationships/hyperlink" Target="mailto:tsbjcamv@itu.int" TargetMode="External"/><Relationship Id="rId14" Type="http://schemas.openxmlformats.org/officeDocument/2006/relationships/hyperlink" Target="https://www.itu.int/en/ITU-T/jca/mv/Pages/default.aspx" TargetMode="External"/><Relationship Id="rId22" Type="http://schemas.openxmlformats.org/officeDocument/2006/relationships/hyperlink" Target="http://itu.int/en/ITU-T/jca/mv"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64</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12198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2025-07-18T14:27:00Z</cp:lastPrinted>
  <dcterms:created xsi:type="dcterms:W3CDTF">2025-07-04T08:55:00Z</dcterms:created>
  <dcterms:modified xsi:type="dcterms:W3CDTF">2025-07-18T14:28:00Z</dcterms:modified>
</cp:coreProperties>
</file>