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7FC834D" w14:textId="77777777" w:rsidTr="00D517B2">
        <w:trPr>
          <w:cantSplit/>
          <w:trHeight w:val="1134"/>
        </w:trPr>
        <w:tc>
          <w:tcPr>
            <w:tcW w:w="798" w:type="pct"/>
          </w:tcPr>
          <w:p w14:paraId="0996995C" w14:textId="77777777" w:rsidR="00D517B2" w:rsidRPr="00D517B2" w:rsidRDefault="00D517B2" w:rsidP="00D517B2">
            <w:pPr>
              <w:spacing w:before="0" w:line="240" w:lineRule="auto"/>
              <w:rPr>
                <w:b/>
                <w:bCs/>
                <w:rtl/>
                <w:lang w:bidi="ar-EG"/>
              </w:rPr>
            </w:pPr>
            <w:r w:rsidRPr="00D517B2">
              <w:rPr>
                <w:noProof/>
              </w:rPr>
              <w:drawing>
                <wp:inline distT="0" distB="0" distL="0" distR="0" wp14:anchorId="0E57350F" wp14:editId="429B2B4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186115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F55572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6E033DFE" w14:textId="77777777" w:rsidTr="001E2788">
        <w:trPr>
          <w:cantSplit/>
          <w:jc w:val="center"/>
        </w:trPr>
        <w:tc>
          <w:tcPr>
            <w:tcW w:w="810" w:type="pct"/>
          </w:tcPr>
          <w:p w14:paraId="3D45F38B" w14:textId="77777777" w:rsidR="00D517B2" w:rsidRPr="00D517B2" w:rsidRDefault="00D517B2" w:rsidP="00BB0F08">
            <w:pPr>
              <w:spacing w:line="300" w:lineRule="exact"/>
              <w:jc w:val="left"/>
              <w:rPr>
                <w:position w:val="2"/>
              </w:rPr>
            </w:pPr>
          </w:p>
        </w:tc>
        <w:tc>
          <w:tcPr>
            <w:tcW w:w="1984" w:type="pct"/>
          </w:tcPr>
          <w:p w14:paraId="3F9CFBC8" w14:textId="77777777" w:rsidR="00D517B2" w:rsidRPr="00D517B2" w:rsidRDefault="00D517B2" w:rsidP="00BB0F08">
            <w:pPr>
              <w:spacing w:line="300" w:lineRule="exact"/>
              <w:jc w:val="left"/>
              <w:rPr>
                <w:position w:val="2"/>
              </w:rPr>
            </w:pPr>
          </w:p>
        </w:tc>
        <w:tc>
          <w:tcPr>
            <w:tcW w:w="2206" w:type="pct"/>
          </w:tcPr>
          <w:p w14:paraId="0473EACC" w14:textId="77777777" w:rsidR="00D517B2" w:rsidRPr="00873469" w:rsidRDefault="00D517B2" w:rsidP="00BB0F08">
            <w:pPr>
              <w:spacing w:line="300" w:lineRule="exact"/>
              <w:jc w:val="left"/>
              <w:rPr>
                <w:position w:val="2"/>
                <w:lang w:bidi="ar-EG"/>
              </w:rPr>
            </w:pPr>
          </w:p>
        </w:tc>
      </w:tr>
      <w:tr w:rsidR="00D517B2" w:rsidRPr="00D517B2" w14:paraId="1CB03EB6" w14:textId="77777777" w:rsidTr="001E2788">
        <w:trPr>
          <w:cantSplit/>
          <w:jc w:val="center"/>
        </w:trPr>
        <w:tc>
          <w:tcPr>
            <w:tcW w:w="810" w:type="pct"/>
          </w:tcPr>
          <w:p w14:paraId="0D6E27B9" w14:textId="77777777" w:rsidR="00D517B2" w:rsidRPr="00D517B2" w:rsidRDefault="00D517B2" w:rsidP="006019C6">
            <w:pPr>
              <w:spacing w:before="80" w:line="300" w:lineRule="exact"/>
              <w:jc w:val="left"/>
              <w:rPr>
                <w:position w:val="2"/>
              </w:rPr>
            </w:pPr>
          </w:p>
        </w:tc>
        <w:tc>
          <w:tcPr>
            <w:tcW w:w="1984" w:type="pct"/>
          </w:tcPr>
          <w:p w14:paraId="55F68DCB" w14:textId="77777777" w:rsidR="00D517B2" w:rsidRPr="00D517B2" w:rsidRDefault="00D517B2" w:rsidP="006019C6">
            <w:pPr>
              <w:spacing w:before="80" w:line="300" w:lineRule="exact"/>
              <w:jc w:val="left"/>
              <w:rPr>
                <w:position w:val="2"/>
                <w:lang w:bidi="ar-EG"/>
              </w:rPr>
            </w:pPr>
          </w:p>
        </w:tc>
        <w:tc>
          <w:tcPr>
            <w:tcW w:w="2206" w:type="pct"/>
          </w:tcPr>
          <w:p w14:paraId="6EAA7751" w14:textId="13D9CC1A" w:rsidR="00D517B2" w:rsidRPr="00D517B2" w:rsidRDefault="00873469" w:rsidP="006019C6">
            <w:pPr>
              <w:spacing w:before="80" w:line="300" w:lineRule="exact"/>
              <w:jc w:val="left"/>
              <w:rPr>
                <w:position w:val="2"/>
                <w:rtl/>
                <w:lang w:bidi="ar-EG"/>
              </w:rPr>
            </w:pPr>
            <w:r w:rsidRPr="00D517B2">
              <w:rPr>
                <w:rFonts w:hint="cs"/>
                <w:position w:val="2"/>
                <w:rtl/>
              </w:rPr>
              <w:t xml:space="preserve">جنيف، </w:t>
            </w:r>
            <w:r w:rsidR="004455E2">
              <w:rPr>
                <w:rFonts w:hint="cs"/>
                <w:position w:val="2"/>
                <w:rtl/>
              </w:rPr>
              <w:t>3 يوليو</w:t>
            </w:r>
            <w:r w:rsidR="007139D8">
              <w:rPr>
                <w:rFonts w:hint="cs"/>
                <w:position w:val="2"/>
                <w:rtl/>
              </w:rPr>
              <w:t xml:space="preserve"> </w:t>
            </w:r>
            <w:r w:rsidR="007139D8">
              <w:rPr>
                <w:position w:val="2"/>
              </w:rPr>
              <w:t>2025</w:t>
            </w:r>
          </w:p>
        </w:tc>
      </w:tr>
      <w:tr w:rsidR="001E2788" w:rsidRPr="00D517B2" w14:paraId="6E4066B9" w14:textId="77777777" w:rsidTr="001E2788">
        <w:trPr>
          <w:cantSplit/>
          <w:jc w:val="center"/>
        </w:trPr>
        <w:tc>
          <w:tcPr>
            <w:tcW w:w="810" w:type="pct"/>
          </w:tcPr>
          <w:p w14:paraId="30628F54" w14:textId="77777777" w:rsidR="001E2788" w:rsidRPr="00A9156F" w:rsidRDefault="001E2788" w:rsidP="00D517B2">
            <w:pPr>
              <w:spacing w:before="80" w:after="60" w:line="300" w:lineRule="exact"/>
              <w:jc w:val="left"/>
              <w:rPr>
                <w:b/>
                <w:bCs/>
                <w:position w:val="2"/>
              </w:rPr>
            </w:pPr>
            <w:r w:rsidRPr="00A9156F">
              <w:rPr>
                <w:rFonts w:hint="cs"/>
                <w:b/>
                <w:bCs/>
                <w:position w:val="2"/>
                <w:rtl/>
              </w:rPr>
              <w:t>المرجع:</w:t>
            </w:r>
          </w:p>
        </w:tc>
        <w:tc>
          <w:tcPr>
            <w:tcW w:w="1984" w:type="pct"/>
          </w:tcPr>
          <w:p w14:paraId="6EA4EF38" w14:textId="77777777" w:rsidR="004455E2" w:rsidRPr="004455E2" w:rsidRDefault="004455E2" w:rsidP="004455E2">
            <w:pPr>
              <w:spacing w:before="80" w:after="60" w:line="300" w:lineRule="exact"/>
              <w:jc w:val="left"/>
              <w:rPr>
                <w:b/>
                <w:bCs/>
                <w:position w:val="2"/>
                <w:lang w:val="en-GB"/>
              </w:rPr>
            </w:pPr>
            <w:r w:rsidRPr="004455E2">
              <w:rPr>
                <w:b/>
                <w:bCs/>
                <w:position w:val="2"/>
                <w:lang w:val="en-GB"/>
              </w:rPr>
              <w:t>TSB Circular 60</w:t>
            </w:r>
          </w:p>
          <w:p w14:paraId="502160BB" w14:textId="487A1AC6" w:rsidR="001E2788" w:rsidRPr="00D517B2" w:rsidRDefault="004455E2" w:rsidP="004455E2">
            <w:pPr>
              <w:spacing w:before="80" w:after="60" w:line="300" w:lineRule="exact"/>
              <w:jc w:val="left"/>
              <w:rPr>
                <w:b/>
                <w:position w:val="2"/>
              </w:rPr>
            </w:pPr>
            <w:r w:rsidRPr="004455E2">
              <w:rPr>
                <w:b/>
                <w:bCs/>
                <w:position w:val="2"/>
                <w:lang w:val="en-GB"/>
              </w:rPr>
              <w:t>CB</w:t>
            </w:r>
          </w:p>
        </w:tc>
        <w:tc>
          <w:tcPr>
            <w:tcW w:w="2206" w:type="pct"/>
            <w:vMerge w:val="restart"/>
          </w:tcPr>
          <w:p w14:paraId="2B88D042" w14:textId="77777777" w:rsidR="001E2788" w:rsidRPr="004455E2" w:rsidRDefault="001E2788" w:rsidP="001E2788">
            <w:pPr>
              <w:tabs>
                <w:tab w:val="clear" w:pos="794"/>
                <w:tab w:val="left" w:pos="284"/>
              </w:tabs>
              <w:spacing w:before="80" w:after="60" w:line="300" w:lineRule="exact"/>
              <w:jc w:val="left"/>
              <w:rPr>
                <w:b/>
                <w:bCs/>
                <w:position w:val="2"/>
                <w:rtl/>
                <w:lang w:bidi="ar-EG"/>
              </w:rPr>
            </w:pPr>
            <w:r w:rsidRPr="004455E2">
              <w:rPr>
                <w:rFonts w:hint="cs"/>
                <w:b/>
                <w:bCs/>
                <w:position w:val="2"/>
                <w:rtl/>
              </w:rPr>
              <w:t>إلى:</w:t>
            </w:r>
          </w:p>
          <w:p w14:paraId="29F995B0" w14:textId="7C33600C" w:rsidR="004455E2" w:rsidRPr="004455E2" w:rsidRDefault="001E2788" w:rsidP="004455E2">
            <w:pPr>
              <w:tabs>
                <w:tab w:val="clear" w:pos="794"/>
                <w:tab w:val="left" w:pos="284"/>
              </w:tabs>
              <w:spacing w:before="80" w:after="60" w:line="300" w:lineRule="exact"/>
              <w:ind w:left="284" w:hanging="284"/>
              <w:jc w:val="left"/>
              <w:rPr>
                <w:position w:val="2"/>
              </w:rPr>
            </w:pPr>
            <w:r w:rsidRPr="004455E2">
              <w:rPr>
                <w:rFonts w:hint="cs"/>
                <w:position w:val="2"/>
                <w:rtl/>
              </w:rPr>
              <w:t>-</w:t>
            </w:r>
            <w:r w:rsidRPr="004455E2">
              <w:rPr>
                <w:position w:val="2"/>
                <w:rtl/>
              </w:rPr>
              <w:tab/>
            </w:r>
            <w:r w:rsidR="004455E2" w:rsidRPr="004455E2">
              <w:rPr>
                <w:position w:val="2"/>
                <w:rtl/>
              </w:rPr>
              <w:t>إدارات الدول الأعضاء في الاتحاد؛</w:t>
            </w:r>
          </w:p>
          <w:p w14:paraId="66F05B73" w14:textId="08B1A9AD" w:rsidR="004455E2" w:rsidRPr="004455E2" w:rsidRDefault="004455E2" w:rsidP="004455E2">
            <w:pPr>
              <w:tabs>
                <w:tab w:val="clear" w:pos="794"/>
                <w:tab w:val="left" w:pos="284"/>
              </w:tabs>
              <w:spacing w:before="80" w:after="60" w:line="300" w:lineRule="exact"/>
              <w:ind w:left="284" w:hanging="284"/>
              <w:jc w:val="left"/>
              <w:rPr>
                <w:position w:val="2"/>
              </w:rPr>
            </w:pPr>
            <w:r w:rsidRPr="004455E2">
              <w:rPr>
                <w:rFonts w:hint="cs"/>
                <w:position w:val="2"/>
                <w:rtl/>
              </w:rPr>
              <w:t>-</w:t>
            </w:r>
            <w:r w:rsidRPr="004455E2">
              <w:rPr>
                <w:position w:val="2"/>
                <w:rtl/>
              </w:rPr>
              <w:tab/>
              <w:t>أعضاء قطاع تقييس الاتصالات بالاتحاد؛</w:t>
            </w:r>
          </w:p>
          <w:p w14:paraId="2DF134CD" w14:textId="48019460" w:rsidR="004455E2" w:rsidRPr="004455E2" w:rsidRDefault="004455E2" w:rsidP="004455E2">
            <w:pPr>
              <w:tabs>
                <w:tab w:val="clear" w:pos="794"/>
                <w:tab w:val="left" w:pos="284"/>
              </w:tabs>
              <w:spacing w:before="80" w:after="60" w:line="300" w:lineRule="exact"/>
              <w:ind w:left="284" w:hanging="284"/>
              <w:jc w:val="left"/>
              <w:rPr>
                <w:position w:val="2"/>
              </w:rPr>
            </w:pPr>
            <w:r w:rsidRPr="004455E2">
              <w:rPr>
                <w:rFonts w:hint="cs"/>
                <w:position w:val="2"/>
                <w:rtl/>
              </w:rPr>
              <w:t>-</w:t>
            </w:r>
            <w:r w:rsidRPr="004455E2">
              <w:rPr>
                <w:position w:val="2"/>
                <w:rtl/>
              </w:rPr>
              <w:tab/>
              <w:t>دولة فلسطين (القرار 99 (المراجَع في دبي، 2018))؛</w:t>
            </w:r>
          </w:p>
          <w:p w14:paraId="19837723" w14:textId="200E6BCA" w:rsidR="004455E2" w:rsidRPr="004455E2" w:rsidRDefault="004455E2" w:rsidP="004455E2">
            <w:pPr>
              <w:tabs>
                <w:tab w:val="clear" w:pos="794"/>
                <w:tab w:val="left" w:pos="284"/>
              </w:tabs>
              <w:spacing w:before="80" w:after="60" w:line="300" w:lineRule="exact"/>
              <w:ind w:left="284" w:hanging="284"/>
              <w:jc w:val="left"/>
              <w:rPr>
                <w:position w:val="2"/>
              </w:rPr>
            </w:pPr>
            <w:r w:rsidRPr="004455E2">
              <w:rPr>
                <w:rFonts w:hint="cs"/>
                <w:position w:val="2"/>
                <w:rtl/>
              </w:rPr>
              <w:t>-</w:t>
            </w:r>
            <w:r w:rsidRPr="004455E2">
              <w:rPr>
                <w:position w:val="2"/>
                <w:rtl/>
              </w:rPr>
              <w:tab/>
              <w:t>المنتسبين إلى قطاع تقييس الاتصالات بالاتحاد؛</w:t>
            </w:r>
          </w:p>
          <w:p w14:paraId="4E1A9E86" w14:textId="0EAC1F24" w:rsidR="001E2788" w:rsidRPr="004455E2" w:rsidRDefault="004455E2" w:rsidP="004455E2">
            <w:pPr>
              <w:tabs>
                <w:tab w:val="clear" w:pos="794"/>
                <w:tab w:val="left" w:pos="284"/>
              </w:tabs>
              <w:spacing w:before="80" w:after="60" w:line="300" w:lineRule="exact"/>
              <w:ind w:left="284" w:hanging="284"/>
              <w:jc w:val="left"/>
              <w:rPr>
                <w:position w:val="2"/>
                <w:rtl/>
              </w:rPr>
            </w:pPr>
            <w:r w:rsidRPr="004455E2">
              <w:rPr>
                <w:rFonts w:hint="cs"/>
                <w:position w:val="2"/>
                <w:rtl/>
              </w:rPr>
              <w:t>-</w:t>
            </w:r>
            <w:r w:rsidRPr="004455E2">
              <w:rPr>
                <w:position w:val="2"/>
                <w:rtl/>
              </w:rPr>
              <w:tab/>
              <w:t>الهيئات الأكاديمية المنضمة إلى الاتحاد</w:t>
            </w:r>
          </w:p>
        </w:tc>
      </w:tr>
      <w:tr w:rsidR="004455E2" w:rsidRPr="00D517B2" w14:paraId="08EDAAD7" w14:textId="77777777" w:rsidTr="001E2788">
        <w:trPr>
          <w:cantSplit/>
          <w:jc w:val="center"/>
        </w:trPr>
        <w:tc>
          <w:tcPr>
            <w:tcW w:w="810" w:type="pct"/>
          </w:tcPr>
          <w:p w14:paraId="37B1C490" w14:textId="28A159B6" w:rsidR="004455E2" w:rsidRPr="00A9156F" w:rsidRDefault="004455E2" w:rsidP="004455E2">
            <w:pPr>
              <w:spacing w:before="80" w:after="60" w:line="300" w:lineRule="exact"/>
              <w:jc w:val="left"/>
              <w:rPr>
                <w:b/>
                <w:bCs/>
                <w:position w:val="2"/>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39CE9DCE" w14:textId="632BF535" w:rsidR="004455E2" w:rsidRPr="00D517B2" w:rsidRDefault="004455E2" w:rsidP="004455E2">
            <w:pPr>
              <w:spacing w:before="80" w:after="60" w:line="300" w:lineRule="exact"/>
              <w:jc w:val="left"/>
              <w:rPr>
                <w:b/>
                <w:position w:val="2"/>
              </w:rPr>
            </w:pPr>
            <w:r w:rsidRPr="00007F91">
              <w:rPr>
                <w:rFonts w:asciiTheme="minorHAnsi" w:hAnsiTheme="minorHAnsi" w:cstheme="minorHAnsi"/>
              </w:rPr>
              <w:t>+41 22 730 6301</w:t>
            </w:r>
          </w:p>
        </w:tc>
        <w:tc>
          <w:tcPr>
            <w:tcW w:w="2206" w:type="pct"/>
            <w:vMerge/>
          </w:tcPr>
          <w:p w14:paraId="4688CB57" w14:textId="77777777" w:rsidR="004455E2" w:rsidRPr="004455E2" w:rsidRDefault="004455E2" w:rsidP="004455E2">
            <w:pPr>
              <w:spacing w:before="80" w:after="60" w:line="300" w:lineRule="exact"/>
              <w:jc w:val="left"/>
              <w:rPr>
                <w:position w:val="2"/>
                <w:rtl/>
              </w:rPr>
            </w:pPr>
          </w:p>
        </w:tc>
      </w:tr>
      <w:tr w:rsidR="004455E2" w:rsidRPr="00D517B2" w14:paraId="24500519" w14:textId="77777777" w:rsidTr="001E2788">
        <w:trPr>
          <w:cantSplit/>
          <w:jc w:val="center"/>
        </w:trPr>
        <w:tc>
          <w:tcPr>
            <w:tcW w:w="810" w:type="pct"/>
          </w:tcPr>
          <w:p w14:paraId="20BFB29B" w14:textId="50FB5C4E" w:rsidR="004455E2" w:rsidRDefault="004455E2" w:rsidP="004455E2">
            <w:pPr>
              <w:spacing w:before="80" w:after="60" w:line="300" w:lineRule="exact"/>
              <w:jc w:val="left"/>
              <w:rPr>
                <w:b/>
                <w:bCs/>
                <w:position w:val="2"/>
                <w:rtl/>
                <w:lang w:bidi="ar-EG"/>
              </w:rPr>
            </w:pPr>
            <w:r w:rsidRPr="00A9156F">
              <w:rPr>
                <w:rFonts w:hint="cs"/>
                <w:b/>
                <w:bCs/>
                <w:position w:val="2"/>
                <w:rtl/>
              </w:rPr>
              <w:t>الفاكس:</w:t>
            </w:r>
          </w:p>
        </w:tc>
        <w:tc>
          <w:tcPr>
            <w:tcW w:w="1984" w:type="pct"/>
          </w:tcPr>
          <w:p w14:paraId="75339622" w14:textId="23F68876" w:rsidR="004455E2" w:rsidRDefault="004455E2" w:rsidP="004455E2">
            <w:pPr>
              <w:spacing w:before="80" w:after="60" w:line="300" w:lineRule="exact"/>
              <w:jc w:val="left"/>
              <w:rPr>
                <w:b/>
                <w:bCs/>
                <w:position w:val="2"/>
                <w:rtl/>
                <w:lang w:bidi="ar-EG"/>
              </w:rPr>
            </w:pPr>
            <w:r w:rsidRPr="00007F91">
              <w:rPr>
                <w:rFonts w:asciiTheme="minorHAnsi" w:hAnsiTheme="minorHAnsi" w:cstheme="minorHAnsi"/>
              </w:rPr>
              <w:t>+41 22 730 5853</w:t>
            </w:r>
          </w:p>
        </w:tc>
        <w:tc>
          <w:tcPr>
            <w:tcW w:w="2206" w:type="pct"/>
            <w:vMerge/>
          </w:tcPr>
          <w:p w14:paraId="57138E89" w14:textId="77777777" w:rsidR="004455E2" w:rsidRPr="004455E2" w:rsidRDefault="004455E2" w:rsidP="004455E2">
            <w:pPr>
              <w:spacing w:before="80" w:after="60" w:line="300" w:lineRule="exact"/>
              <w:jc w:val="left"/>
              <w:rPr>
                <w:position w:val="2"/>
                <w:rtl/>
              </w:rPr>
            </w:pPr>
          </w:p>
        </w:tc>
      </w:tr>
      <w:tr w:rsidR="004455E2" w:rsidRPr="00D517B2" w14:paraId="7CD4A779" w14:textId="77777777" w:rsidTr="001E2788">
        <w:trPr>
          <w:cantSplit/>
          <w:jc w:val="center"/>
        </w:trPr>
        <w:tc>
          <w:tcPr>
            <w:tcW w:w="810" w:type="pct"/>
          </w:tcPr>
          <w:p w14:paraId="2CE05611" w14:textId="5610F739" w:rsidR="004455E2" w:rsidRPr="00A9156F" w:rsidRDefault="004455E2" w:rsidP="004455E2">
            <w:pPr>
              <w:spacing w:before="80" w:after="60" w:line="300" w:lineRule="exact"/>
              <w:jc w:val="left"/>
              <w:rPr>
                <w:b/>
                <w:bCs/>
                <w:position w:val="2"/>
                <w:rtl/>
              </w:rPr>
            </w:pPr>
            <w:r w:rsidRPr="00A9156F">
              <w:rPr>
                <w:rFonts w:hint="cs"/>
                <w:b/>
                <w:bCs/>
                <w:position w:val="2"/>
                <w:rtl/>
              </w:rPr>
              <w:t>البريد الإلكتروني:</w:t>
            </w:r>
          </w:p>
        </w:tc>
        <w:tc>
          <w:tcPr>
            <w:tcW w:w="1984" w:type="pct"/>
          </w:tcPr>
          <w:p w14:paraId="355296AE" w14:textId="32B8F4D3" w:rsidR="004455E2" w:rsidRPr="00D517B2" w:rsidRDefault="004455E2" w:rsidP="004455E2">
            <w:pPr>
              <w:spacing w:before="80" w:after="60" w:line="300" w:lineRule="exact"/>
              <w:jc w:val="left"/>
              <w:rPr>
                <w:position w:val="2"/>
              </w:rPr>
            </w:pPr>
            <w:hyperlink r:id="rId9" w:history="1">
              <w:r w:rsidRPr="001B5A07">
                <w:rPr>
                  <w:rStyle w:val="Hyperlink"/>
                  <w:rFonts w:asciiTheme="minorHAnsi" w:hAnsiTheme="minorHAnsi" w:cstheme="minorHAnsi"/>
                </w:rPr>
                <w:t>tsbjcamv@itu.int</w:t>
              </w:r>
            </w:hyperlink>
            <w:r>
              <w:rPr>
                <w:rFonts w:asciiTheme="minorHAnsi" w:hAnsiTheme="minorHAnsi" w:cstheme="minorHAnsi"/>
              </w:rPr>
              <w:t xml:space="preserve"> </w:t>
            </w:r>
          </w:p>
        </w:tc>
        <w:tc>
          <w:tcPr>
            <w:tcW w:w="2206" w:type="pct"/>
            <w:vMerge/>
          </w:tcPr>
          <w:p w14:paraId="3C6B5625" w14:textId="77777777" w:rsidR="004455E2" w:rsidRPr="004455E2" w:rsidRDefault="004455E2" w:rsidP="004455E2">
            <w:pPr>
              <w:spacing w:before="80" w:after="60" w:line="300" w:lineRule="exact"/>
              <w:jc w:val="left"/>
              <w:rPr>
                <w:position w:val="2"/>
                <w:rtl/>
              </w:rPr>
            </w:pPr>
          </w:p>
        </w:tc>
      </w:tr>
      <w:tr w:rsidR="00CE1C08" w:rsidRPr="00D517B2" w14:paraId="5DFF23D1" w14:textId="77777777" w:rsidTr="001E2788">
        <w:trPr>
          <w:cantSplit/>
          <w:jc w:val="center"/>
        </w:trPr>
        <w:tc>
          <w:tcPr>
            <w:tcW w:w="810" w:type="pct"/>
          </w:tcPr>
          <w:p w14:paraId="0529CB97" w14:textId="732E938F" w:rsidR="00CE1C08" w:rsidRPr="00A9156F" w:rsidRDefault="00CE1C08" w:rsidP="00CE1C08">
            <w:pPr>
              <w:spacing w:before="80" w:after="60" w:line="300" w:lineRule="exact"/>
              <w:jc w:val="left"/>
              <w:rPr>
                <w:b/>
                <w:bCs/>
                <w:position w:val="2"/>
                <w:rtl/>
              </w:rPr>
            </w:pPr>
          </w:p>
        </w:tc>
        <w:tc>
          <w:tcPr>
            <w:tcW w:w="1984" w:type="pct"/>
          </w:tcPr>
          <w:p w14:paraId="2F74126F" w14:textId="63E92C35" w:rsidR="00CE1C08" w:rsidRPr="006E1BAD" w:rsidRDefault="00CE1C08" w:rsidP="00CE1C08">
            <w:pPr>
              <w:spacing w:before="80" w:after="60" w:line="300" w:lineRule="exact"/>
              <w:jc w:val="left"/>
              <w:rPr>
                <w:position w:val="2"/>
                <w:highlight w:val="magenta"/>
                <w:rtl/>
                <w:lang w:bidi="ar-EG"/>
              </w:rPr>
            </w:pPr>
          </w:p>
        </w:tc>
        <w:tc>
          <w:tcPr>
            <w:tcW w:w="2206" w:type="pct"/>
          </w:tcPr>
          <w:p w14:paraId="12F3F71B" w14:textId="77777777" w:rsidR="00CE1C08" w:rsidRPr="004455E2" w:rsidRDefault="00CE1C08" w:rsidP="00CE1C08">
            <w:pPr>
              <w:tabs>
                <w:tab w:val="clear" w:pos="794"/>
                <w:tab w:val="left" w:pos="284"/>
              </w:tabs>
              <w:spacing w:before="80" w:after="60" w:line="300" w:lineRule="exact"/>
              <w:ind w:left="284" w:hanging="284"/>
              <w:jc w:val="left"/>
              <w:rPr>
                <w:b/>
                <w:bCs/>
                <w:position w:val="2"/>
                <w:rtl/>
              </w:rPr>
            </w:pPr>
            <w:r w:rsidRPr="004455E2">
              <w:rPr>
                <w:rFonts w:hint="cs"/>
                <w:b/>
                <w:bCs/>
                <w:position w:val="2"/>
                <w:rtl/>
              </w:rPr>
              <w:t>نسخة إلى:</w:t>
            </w:r>
          </w:p>
          <w:p w14:paraId="261F111F" w14:textId="7C86283F" w:rsidR="004455E2" w:rsidRPr="004455E2" w:rsidRDefault="00CE1C08" w:rsidP="004455E2">
            <w:pPr>
              <w:tabs>
                <w:tab w:val="left" w:pos="284"/>
                <w:tab w:val="left" w:pos="4111"/>
              </w:tabs>
              <w:spacing w:before="0" w:line="340" w:lineRule="exact"/>
              <w:ind w:left="284" w:hanging="284"/>
              <w:rPr>
                <w:rFonts w:eastAsia="Times New Roman"/>
                <w:position w:val="2"/>
                <w:lang w:eastAsia="en-US"/>
              </w:rPr>
            </w:pPr>
            <w:r w:rsidRPr="004455E2">
              <w:rPr>
                <w:rFonts w:hint="cs"/>
                <w:position w:val="2"/>
                <w:rtl/>
              </w:rPr>
              <w:t>-</w:t>
            </w:r>
            <w:r w:rsidRPr="004455E2">
              <w:rPr>
                <w:position w:val="2"/>
                <w:rtl/>
              </w:rPr>
              <w:tab/>
            </w:r>
            <w:r w:rsidR="004455E2" w:rsidRPr="004455E2">
              <w:rPr>
                <w:rFonts w:eastAsia="Times New Roman"/>
                <w:position w:val="2"/>
                <w:rtl/>
                <w:lang w:eastAsia="en-US"/>
              </w:rPr>
              <w:t>رؤساء لجان الدراسات في قطاع تقييس الاتصالات بالاتحاد، ونوابهم؛</w:t>
            </w:r>
          </w:p>
          <w:p w14:paraId="10E08F42" w14:textId="5056C1AE" w:rsidR="004455E2" w:rsidRPr="004455E2" w:rsidRDefault="004455E2" w:rsidP="004455E2">
            <w:pPr>
              <w:tabs>
                <w:tab w:val="left" w:pos="284"/>
                <w:tab w:val="left" w:pos="4111"/>
              </w:tabs>
              <w:spacing w:before="0" w:line="340" w:lineRule="exact"/>
              <w:ind w:left="284" w:hanging="284"/>
              <w:rPr>
                <w:rFonts w:eastAsia="Times New Roman"/>
                <w:position w:val="2"/>
                <w:lang w:eastAsia="en-US"/>
              </w:rPr>
            </w:pPr>
            <w:r w:rsidRPr="004455E2">
              <w:rPr>
                <w:rFonts w:eastAsia="Times New Roman" w:hint="cs"/>
                <w:position w:val="2"/>
                <w:rtl/>
                <w:lang w:eastAsia="en-US"/>
              </w:rPr>
              <w:t>-</w:t>
            </w:r>
            <w:r w:rsidRPr="004455E2">
              <w:rPr>
                <w:rFonts w:eastAsia="Times New Roman"/>
                <w:position w:val="2"/>
                <w:rtl/>
                <w:lang w:eastAsia="en-US"/>
              </w:rPr>
              <w:tab/>
              <w:t>مدير مكتب تنمية الاتصالات؛</w:t>
            </w:r>
          </w:p>
          <w:p w14:paraId="11E484E9" w14:textId="5FCD3CF4" w:rsidR="004455E2" w:rsidRPr="004455E2" w:rsidRDefault="004455E2" w:rsidP="004455E2">
            <w:pPr>
              <w:tabs>
                <w:tab w:val="left" w:pos="284"/>
                <w:tab w:val="left" w:pos="4111"/>
              </w:tabs>
              <w:spacing w:before="0" w:line="340" w:lineRule="exact"/>
              <w:ind w:left="284" w:hanging="284"/>
              <w:rPr>
                <w:rFonts w:eastAsia="Times New Roman"/>
                <w:position w:val="2"/>
                <w:lang w:eastAsia="en-US"/>
              </w:rPr>
            </w:pPr>
            <w:r w:rsidRPr="004455E2">
              <w:rPr>
                <w:rFonts w:eastAsia="Times New Roman" w:hint="cs"/>
                <w:position w:val="2"/>
                <w:rtl/>
                <w:lang w:eastAsia="en-US"/>
              </w:rPr>
              <w:t>-</w:t>
            </w:r>
            <w:r w:rsidRPr="004455E2">
              <w:rPr>
                <w:rFonts w:eastAsia="Times New Roman"/>
                <w:position w:val="2"/>
                <w:rtl/>
                <w:lang w:eastAsia="en-US"/>
              </w:rPr>
              <w:tab/>
              <w:t>مدير مكتب الاتصالات الراديوية؛</w:t>
            </w:r>
          </w:p>
          <w:p w14:paraId="4F7531AA" w14:textId="541674A8" w:rsidR="00CE1C08" w:rsidRPr="004455E2" w:rsidRDefault="004455E2" w:rsidP="004455E2">
            <w:pPr>
              <w:tabs>
                <w:tab w:val="left" w:pos="284"/>
                <w:tab w:val="left" w:pos="4111"/>
              </w:tabs>
              <w:spacing w:before="0" w:line="340" w:lineRule="exact"/>
              <w:ind w:left="284" w:hanging="284"/>
              <w:rPr>
                <w:rFonts w:eastAsia="Times New Roman"/>
                <w:position w:val="2"/>
                <w:rtl/>
                <w:lang w:eastAsia="en-US"/>
              </w:rPr>
            </w:pPr>
            <w:r w:rsidRPr="004455E2">
              <w:rPr>
                <w:rFonts w:eastAsia="Times New Roman" w:hint="cs"/>
                <w:position w:val="2"/>
                <w:rtl/>
                <w:lang w:eastAsia="en-US"/>
              </w:rPr>
              <w:t>-</w:t>
            </w:r>
            <w:r w:rsidRPr="004455E2">
              <w:rPr>
                <w:rFonts w:eastAsia="Times New Roman"/>
                <w:position w:val="2"/>
                <w:rtl/>
                <w:lang w:eastAsia="en-US"/>
              </w:rPr>
              <w:tab/>
              <w:t>مديري المكاتب الإقليمية للاتحاد</w:t>
            </w:r>
          </w:p>
        </w:tc>
      </w:tr>
      <w:tr w:rsidR="00CE1C08" w:rsidRPr="00D517B2" w14:paraId="585FA779" w14:textId="77777777" w:rsidTr="001E2788">
        <w:trPr>
          <w:cantSplit/>
          <w:jc w:val="center"/>
        </w:trPr>
        <w:tc>
          <w:tcPr>
            <w:tcW w:w="810" w:type="pct"/>
          </w:tcPr>
          <w:p w14:paraId="200DF9B2" w14:textId="77777777" w:rsidR="00CE1C08" w:rsidRPr="00A9156F" w:rsidRDefault="00CE1C08" w:rsidP="00CE1C08">
            <w:pPr>
              <w:spacing w:before="80" w:after="60" w:line="300" w:lineRule="exact"/>
              <w:jc w:val="left"/>
              <w:rPr>
                <w:b/>
                <w:bCs/>
                <w:position w:val="2"/>
                <w:rtl/>
                <w:lang w:bidi="ar-EG"/>
              </w:rPr>
            </w:pPr>
          </w:p>
        </w:tc>
        <w:tc>
          <w:tcPr>
            <w:tcW w:w="1984" w:type="pct"/>
          </w:tcPr>
          <w:p w14:paraId="5330E34D" w14:textId="77777777" w:rsidR="00CE1C08" w:rsidRPr="00D517B2" w:rsidRDefault="00CE1C08" w:rsidP="00CE1C08">
            <w:pPr>
              <w:spacing w:before="80" w:after="60" w:line="300" w:lineRule="exact"/>
              <w:jc w:val="left"/>
              <w:rPr>
                <w:position w:val="2"/>
              </w:rPr>
            </w:pPr>
          </w:p>
        </w:tc>
        <w:tc>
          <w:tcPr>
            <w:tcW w:w="2206" w:type="pct"/>
          </w:tcPr>
          <w:p w14:paraId="158CDF4F" w14:textId="77777777" w:rsidR="00CE1C08" w:rsidRPr="00D517B2" w:rsidRDefault="00CE1C08" w:rsidP="00CE1C08">
            <w:pPr>
              <w:spacing w:before="80" w:after="60" w:line="300" w:lineRule="exact"/>
              <w:jc w:val="left"/>
              <w:rPr>
                <w:position w:val="2"/>
                <w:rtl/>
              </w:rPr>
            </w:pPr>
          </w:p>
        </w:tc>
      </w:tr>
      <w:tr w:rsidR="00CE1C08" w:rsidRPr="00D517B2" w14:paraId="340F1CA7" w14:textId="77777777" w:rsidTr="001E2788">
        <w:trPr>
          <w:cantSplit/>
          <w:jc w:val="center"/>
        </w:trPr>
        <w:tc>
          <w:tcPr>
            <w:tcW w:w="810" w:type="pct"/>
          </w:tcPr>
          <w:p w14:paraId="68A8BBA0"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2C32CDD5" w14:textId="314E061E" w:rsidR="00CE1C08" w:rsidRPr="00D517B2" w:rsidRDefault="004455E2" w:rsidP="00F31E79">
            <w:pPr>
              <w:spacing w:before="80" w:after="60" w:line="300" w:lineRule="exact"/>
              <w:rPr>
                <w:position w:val="2"/>
                <w:rtl/>
              </w:rPr>
            </w:pPr>
            <w:r w:rsidRPr="004455E2">
              <w:rPr>
                <w:b/>
                <w:bCs/>
                <w:position w:val="2"/>
                <w:rtl/>
              </w:rPr>
              <w:t>إنشاء نشاط التنسيق المشترك المعني بتقييس الميتافيرس (</w:t>
            </w:r>
            <w:r w:rsidRPr="004455E2">
              <w:rPr>
                <w:b/>
                <w:bCs/>
                <w:position w:val="2"/>
              </w:rPr>
              <w:t>JCA-MV</w:t>
            </w:r>
            <w:r w:rsidRPr="004455E2">
              <w:rPr>
                <w:b/>
                <w:bCs/>
                <w:position w:val="2"/>
                <w:rtl/>
              </w:rPr>
              <w:t>)، واجتماعه الأول (جنيف، 9</w:t>
            </w:r>
            <w:r w:rsidR="00F31E79">
              <w:rPr>
                <w:rFonts w:hint="cs"/>
                <w:b/>
                <w:bCs/>
                <w:position w:val="2"/>
                <w:rtl/>
              </w:rPr>
              <w:t> </w:t>
            </w:r>
            <w:r w:rsidRPr="004455E2">
              <w:rPr>
                <w:b/>
                <w:bCs/>
                <w:position w:val="2"/>
                <w:rtl/>
              </w:rPr>
              <w:t>أكتوبر 2025)</w:t>
            </w:r>
          </w:p>
        </w:tc>
      </w:tr>
    </w:tbl>
    <w:p w14:paraId="42CAF5F4" w14:textId="77777777" w:rsidR="00D517B2" w:rsidRPr="00D517B2" w:rsidRDefault="00D517B2" w:rsidP="006635B2">
      <w:pPr>
        <w:spacing w:before="600"/>
        <w:rPr>
          <w:lang w:bidi="ar-SY"/>
        </w:rPr>
      </w:pPr>
      <w:r w:rsidRPr="00D517B2">
        <w:rPr>
          <w:rFonts w:hint="cs"/>
          <w:rtl/>
          <w:lang w:bidi="ar-SY"/>
        </w:rPr>
        <w:t>حضرات السادة والسيدات،</w:t>
      </w:r>
    </w:p>
    <w:p w14:paraId="7F4A6FD2" w14:textId="77777777" w:rsidR="00D517B2" w:rsidRPr="00D517B2" w:rsidRDefault="00D517B2" w:rsidP="00D517B2">
      <w:pPr>
        <w:rPr>
          <w:rtl/>
          <w:lang w:bidi="ar-EG"/>
        </w:rPr>
      </w:pPr>
      <w:r w:rsidRPr="00D517B2">
        <w:rPr>
          <w:rFonts w:hint="cs"/>
          <w:rtl/>
        </w:rPr>
        <w:t>تحية طيبة وبعد،</w:t>
      </w:r>
    </w:p>
    <w:p w14:paraId="597B0340" w14:textId="55AB0F1A" w:rsidR="004455E2" w:rsidRPr="004455E2" w:rsidRDefault="004455E2" w:rsidP="004455E2">
      <w:pPr>
        <w:rPr>
          <w:lang w:val="ar-SA" w:bidi="ar-SY"/>
        </w:rPr>
      </w:pPr>
      <w:r w:rsidRPr="004455E2">
        <w:rPr>
          <w:rtl/>
        </w:rPr>
        <w:t>1</w:t>
      </w:r>
      <w:r w:rsidRPr="004455E2">
        <w:rPr>
          <w:rtl/>
        </w:rPr>
        <w:tab/>
        <w:t xml:space="preserve">بناءً على الاتفاق الذي توصل إليه الفريق الاستشاري لتقييس الاتصالات </w:t>
      </w:r>
      <w:r w:rsidRPr="004455E2">
        <w:rPr>
          <w:lang w:bidi="ar-SY"/>
        </w:rPr>
        <w:t>(TSAG</w:t>
      </w:r>
      <w:r>
        <w:t>)</w:t>
      </w:r>
      <w:r w:rsidRPr="004455E2">
        <w:rPr>
          <w:rtl/>
        </w:rPr>
        <w:t xml:space="preserve"> التابع للاتحاد الدولي للاتصالات</w:t>
      </w:r>
      <w:r>
        <w:rPr>
          <w:rFonts w:hint="cs"/>
          <w:rtl/>
        </w:rPr>
        <w:t> </w:t>
      </w:r>
      <w:r w:rsidRPr="004455E2">
        <w:rPr>
          <w:rtl/>
        </w:rPr>
        <w:t>(</w:t>
      </w:r>
      <w:r w:rsidRPr="004455E2">
        <w:rPr>
          <w:lang w:bidi="ar-SY"/>
        </w:rPr>
        <w:t>ITU</w:t>
      </w:r>
      <w:r w:rsidRPr="004455E2">
        <w:rPr>
          <w:rtl/>
        </w:rPr>
        <w:t xml:space="preserve">) في اجتماعه المنعقد في الفترة من 26 إلى 30 مايو 2025، يسرني الإعلان عن إنشاء </w:t>
      </w:r>
      <w:hyperlink r:id="rId10" w:history="1">
        <w:r w:rsidRPr="004455E2">
          <w:rPr>
            <w:rStyle w:val="Hyperlink"/>
            <w:rtl/>
          </w:rPr>
          <w:t>نشاط التنسيق المشترك المعني بتقييس الميتافيرس (</w:t>
        </w:r>
        <w:r w:rsidRPr="004455E2">
          <w:rPr>
            <w:rStyle w:val="Hyperlink"/>
            <w:lang w:bidi="ar-SY"/>
          </w:rPr>
          <w:t>JCA-MV</w:t>
        </w:r>
        <w:r w:rsidRPr="004455E2">
          <w:rPr>
            <w:rStyle w:val="Hyperlink"/>
            <w:rtl/>
          </w:rPr>
          <w:t>)</w:t>
        </w:r>
      </w:hyperlink>
      <w:r w:rsidRPr="004455E2">
        <w:rPr>
          <w:rFonts w:hint="cs"/>
          <w:rtl/>
        </w:rPr>
        <w:t>.</w:t>
      </w:r>
    </w:p>
    <w:p w14:paraId="5F389739" w14:textId="53AE511E" w:rsidR="004455E2" w:rsidRPr="004455E2" w:rsidRDefault="004455E2" w:rsidP="004455E2">
      <w:pPr>
        <w:rPr>
          <w:lang w:val="ar-SA" w:bidi="ar-SY"/>
        </w:rPr>
      </w:pPr>
      <w:r w:rsidRPr="004455E2">
        <w:rPr>
          <w:rtl/>
        </w:rPr>
        <w:t>2</w:t>
      </w:r>
      <w:r w:rsidRPr="004455E2">
        <w:rPr>
          <w:rtl/>
        </w:rPr>
        <w:tab/>
        <w:t>نطاق عمل نشاط التنسيق المشترك المعني بتنسيق الميتافيرس هو تنسيق أعمال التقييس المتعلقة بالميتافيرس التي يضطلع بها قطاع تقييس الاتصالات بالاتحاد</w:t>
      </w:r>
      <w:r>
        <w:rPr>
          <w:rFonts w:hint="cs"/>
          <w:rtl/>
        </w:rPr>
        <w:t xml:space="preserve"> الدولي للاتصالات </w:t>
      </w:r>
      <w:r>
        <w:t>(ITU</w:t>
      </w:r>
      <w:r>
        <w:noBreakHyphen/>
        <w:t>T)</w:t>
      </w:r>
      <w:r w:rsidRPr="004455E2">
        <w:rPr>
          <w:rtl/>
        </w:rPr>
        <w:t xml:space="preserve"> داخلياً، وتعزيز التعاون بين لجان الدراسات المعنية كافة. ويمثل النشاط كذلك جهة اتصال مركزية للتعاون مع المنظمات والاتحادات والمنتديات الخارجية المعنية بوضع المعايير، التي ينصب عملها على المعايير المتعلقة بالميتافيرس، لتسهيل الاتصال المتبادل مع هذه الهيئات على نحو فعال. ويُبين </w:t>
      </w:r>
      <w:r w:rsidRPr="004455E2">
        <w:rPr>
          <w:b/>
          <w:bCs/>
          <w:rtl/>
        </w:rPr>
        <w:t>الملحق</w:t>
      </w:r>
      <w:r>
        <w:rPr>
          <w:rFonts w:hint="cs"/>
          <w:b/>
          <w:bCs/>
          <w:rtl/>
        </w:rPr>
        <w:t> </w:t>
      </w:r>
      <w:r>
        <w:rPr>
          <w:b/>
          <w:bCs/>
        </w:rPr>
        <w:t>A</w:t>
      </w:r>
      <w:r w:rsidRPr="004455E2">
        <w:rPr>
          <w:rtl/>
        </w:rPr>
        <w:t xml:space="preserve"> اختصاصات نشاط التنسيق.</w:t>
      </w:r>
    </w:p>
    <w:p w14:paraId="190E5D5F" w14:textId="57398074" w:rsidR="004455E2" w:rsidRPr="004455E2" w:rsidRDefault="004455E2" w:rsidP="004455E2">
      <w:pPr>
        <w:rPr>
          <w:lang w:val="ar-SA" w:bidi="ar-SY"/>
        </w:rPr>
      </w:pPr>
      <w:r w:rsidRPr="004455E2">
        <w:rPr>
          <w:rtl/>
        </w:rPr>
        <w:t>3</w:t>
      </w:r>
      <w:r w:rsidRPr="004455E2">
        <w:rPr>
          <w:rtl/>
        </w:rPr>
        <w:tab/>
        <w:t xml:space="preserve">عيَّن الفريق الاستشاري لتقييس الاتصالات السيد معاذ الرميح، من لجنة الاتصالات والفضاء والتكنولوجيا </w:t>
      </w:r>
      <w:r w:rsidRPr="004455E2">
        <w:rPr>
          <w:lang w:bidi="ar-SY"/>
        </w:rPr>
        <w:t>(CST</w:t>
      </w:r>
      <w:r>
        <w:t>)</w:t>
      </w:r>
      <w:r w:rsidRPr="004455E2">
        <w:rPr>
          <w:rtl/>
        </w:rPr>
        <w:t>، المملكة العربية السعودية، والسيد شين-غاك كانغ، من معهد بحوث الإلكترونيات والاتصالات (</w:t>
      </w:r>
      <w:r w:rsidRPr="004455E2">
        <w:rPr>
          <w:lang w:bidi="ar-SY"/>
        </w:rPr>
        <w:t>ETRI</w:t>
      </w:r>
      <w:r w:rsidRPr="004455E2">
        <w:rPr>
          <w:rtl/>
        </w:rPr>
        <w:t>)، جمهورية كوريا، رئيسين مشاركين لنشاط التنسيق المشترك المعني بتقييس الميتافيرس.</w:t>
      </w:r>
    </w:p>
    <w:p w14:paraId="5720BC0F" w14:textId="77777777" w:rsidR="004455E2" w:rsidRPr="004455E2" w:rsidRDefault="004455E2" w:rsidP="004455E2">
      <w:pPr>
        <w:rPr>
          <w:lang w:val="ar-SA" w:bidi="ar-SY"/>
        </w:rPr>
      </w:pPr>
      <w:r w:rsidRPr="004455E2">
        <w:rPr>
          <w:rtl/>
        </w:rPr>
        <w:lastRenderedPageBreak/>
        <w:t>4</w:t>
      </w:r>
      <w:r w:rsidRPr="004455E2">
        <w:rPr>
          <w:rtl/>
        </w:rPr>
        <w:tab/>
        <w:t>باب المشاركة في نشاط التنسيق المشترك المعني بتنسيق الميتافيرس مفتوح أمام أعضاء قطاع تقييس الاتصالات بالاتحاد. وبالإضافة إلى ذلك، يمكن للخبراء المدعوين من الجهات المعنية الأخرى من المنظمات الحكومية الدولية والمنظمات والمنتديات المعنية بوضع المعايير، ولممثليها المعيَّنين، المشاركة في أعمال نشاط التنسيق المشترك.</w:t>
      </w:r>
    </w:p>
    <w:p w14:paraId="1DDB6E48" w14:textId="189E7509" w:rsidR="004455E2" w:rsidRPr="004455E2" w:rsidRDefault="004455E2" w:rsidP="004455E2">
      <w:pPr>
        <w:rPr>
          <w:lang w:val="ar-SA" w:bidi="ar-SY"/>
        </w:rPr>
      </w:pPr>
      <w:r w:rsidRPr="004455E2">
        <w:rPr>
          <w:rtl/>
        </w:rPr>
        <w:t>5</w:t>
      </w:r>
      <w:r w:rsidRPr="004455E2">
        <w:rPr>
          <w:rtl/>
        </w:rPr>
        <w:tab/>
        <w:t xml:space="preserve">سيُعقد الاجتماع الأول لنشاط التنسيق المشترك المعني بتقييس الميتافيرس في جنيف يوم </w:t>
      </w:r>
      <w:r w:rsidRPr="004455E2">
        <w:rPr>
          <w:b/>
          <w:bCs/>
          <w:rtl/>
        </w:rPr>
        <w:t>9 أكتوبر 2025</w:t>
      </w:r>
      <w:r w:rsidRPr="004455E2">
        <w:rPr>
          <w:rtl/>
        </w:rPr>
        <w:t xml:space="preserve"> من </w:t>
      </w:r>
      <w:r w:rsidRPr="00F31E79">
        <w:rPr>
          <w:b/>
          <w:bCs/>
          <w:rtl/>
        </w:rPr>
        <w:t>الساعة</w:t>
      </w:r>
      <w:r w:rsidRPr="004455E2">
        <w:rPr>
          <w:rtl/>
        </w:rPr>
        <w:t xml:space="preserve"> </w:t>
      </w:r>
      <w:r w:rsidRPr="004455E2">
        <w:rPr>
          <w:b/>
          <w:bCs/>
          <w:rtl/>
        </w:rPr>
        <w:t>11:15 إلى الساعة 13:15 بتوقيت جنيف</w:t>
      </w:r>
      <w:r w:rsidRPr="004455E2">
        <w:rPr>
          <w:rtl/>
        </w:rPr>
        <w:t xml:space="preserve"> (في نفس مكان اجتماع </w:t>
      </w:r>
      <w:hyperlink r:id="rId11" w:anchor="/ar" w:history="1">
        <w:r w:rsidRPr="004455E2">
          <w:rPr>
            <w:rStyle w:val="Hyperlink"/>
            <w:rtl/>
          </w:rPr>
          <w:t>لجنة الدراسات 21 بقطاع تقييس الاتصالات</w:t>
        </w:r>
      </w:hyperlink>
      <w:r w:rsidRPr="004455E2">
        <w:rPr>
          <w:rtl/>
        </w:rPr>
        <w:t xml:space="preserve">، الذي سيُعقد في الفترة من 6 إلى 17 أكتوبر 2025). والتسجيل للمشاركة في الاجتماع إلزامي ويتعين إتمامه عن طريق نموذج التسجيل الإلكتروني المتاح في </w:t>
      </w:r>
      <w:hyperlink r:id="rId12" w:history="1">
        <w:r w:rsidRPr="004455E2">
          <w:rPr>
            <w:rStyle w:val="Hyperlink"/>
            <w:rtl/>
          </w:rPr>
          <w:t>الصفحة الرئيسية لنشاط التنسيق</w:t>
        </w:r>
      </w:hyperlink>
      <w:r w:rsidRPr="004455E2">
        <w:rPr>
          <w:rtl/>
        </w:rPr>
        <w:t>.</w:t>
      </w:r>
      <w:hyperlink r:id="rId13" w:history="1"/>
      <w:hyperlink r:id="rId14" w:history="1"/>
    </w:p>
    <w:p w14:paraId="06228A0A" w14:textId="091143BA" w:rsidR="004455E2" w:rsidRPr="004455E2" w:rsidRDefault="004455E2" w:rsidP="004455E2">
      <w:pPr>
        <w:rPr>
          <w:lang w:val="ar-SA" w:bidi="ar-SY"/>
        </w:rPr>
      </w:pPr>
      <w:r w:rsidRPr="004455E2">
        <w:rPr>
          <w:rtl/>
        </w:rPr>
        <w:t>ويرجى ملاحظة أن التسجيل مطلوب أيضاً للمشاركة عن بُعد. ويمكن الاتصال بالأمانة عن طريق البريد الإلكتروني (</w:t>
      </w:r>
      <w:hyperlink r:id="rId15" w:history="1">
        <w:r w:rsidRPr="009E5CCB">
          <w:rPr>
            <w:rStyle w:val="Hyperlink"/>
          </w:rPr>
          <w:t>tsbjcamv@itu.int</w:t>
        </w:r>
      </w:hyperlink>
      <w:r w:rsidRPr="004455E2">
        <w:rPr>
          <w:rtl/>
        </w:rPr>
        <w:t>) للحصول على المساعدة.</w:t>
      </w:r>
      <w:hyperlink r:id="rId16" w:history="1"/>
    </w:p>
    <w:p w14:paraId="761658DA" w14:textId="77777777" w:rsidR="004455E2" w:rsidRPr="004455E2" w:rsidRDefault="004455E2" w:rsidP="004455E2">
      <w:pPr>
        <w:rPr>
          <w:lang w:val="ar-SA" w:bidi="ar-SY"/>
        </w:rPr>
      </w:pPr>
      <w:r w:rsidRPr="004455E2">
        <w:rPr>
          <w:rtl/>
        </w:rPr>
        <w:t>6</w:t>
      </w:r>
      <w:r w:rsidRPr="004455E2">
        <w:rPr>
          <w:rtl/>
        </w:rPr>
        <w:tab/>
        <w:t>ستجري أعمال الاجتماع باللغة الإنكليزية حصراً.</w:t>
      </w:r>
    </w:p>
    <w:p w14:paraId="525B9E60" w14:textId="44D95A0C" w:rsidR="004455E2" w:rsidRPr="004455E2" w:rsidRDefault="004455E2" w:rsidP="004455E2">
      <w:pPr>
        <w:rPr>
          <w:lang w:val="ar-SA" w:bidi="ar-SY"/>
        </w:rPr>
      </w:pPr>
      <w:r w:rsidRPr="004455E2">
        <w:rPr>
          <w:rtl/>
        </w:rPr>
        <w:t>7</w:t>
      </w:r>
      <w:r w:rsidRPr="004455E2">
        <w:rPr>
          <w:rtl/>
        </w:rPr>
        <w:tab/>
        <w:t>أُنشئت صفحة ويب خصيصاً لنشاط التنسيق المشترك المعني بتقييس الميتافيرس، ويمكن الاطلاع عليها عبر الرابط التالي</w:t>
      </w:r>
      <w:r w:rsidRPr="004455E2">
        <w:rPr>
          <w:lang w:bidi="ar-SY"/>
        </w:rPr>
        <w:t>:</w:t>
      </w:r>
      <w:r w:rsidRPr="004455E2">
        <w:rPr>
          <w:rtl/>
        </w:rPr>
        <w:t xml:space="preserve"> </w:t>
      </w:r>
      <w:hyperlink r:id="rId17" w:history="1">
        <w:r w:rsidRPr="009E5CCB">
          <w:rPr>
            <w:rStyle w:val="Hyperlink"/>
          </w:rPr>
          <w:t>http://itu.int/en/ITU-T/jca/mv</w:t>
        </w:r>
      </w:hyperlink>
      <w:r w:rsidRPr="004455E2">
        <w:rPr>
          <w:rtl/>
        </w:rPr>
        <w:t xml:space="preserve">. وستُتاح المعلومات المتعلقة بالاجتماع الأول لنشاط التنسيق المشترك - يشمل ذلك تفاصيل عملية التسجيل، ومشروع جدول الأعمال، ووثائق الاجتماع - في </w:t>
      </w:r>
      <w:hyperlink r:id="rId18" w:history="1">
        <w:r w:rsidRPr="004455E2">
          <w:rPr>
            <w:rStyle w:val="Hyperlink"/>
            <w:rtl/>
          </w:rPr>
          <w:t>الصفحة الرئيسية لنشاط التنسيق</w:t>
        </w:r>
      </w:hyperlink>
      <w:r w:rsidRPr="004455E2">
        <w:rPr>
          <w:rtl/>
        </w:rPr>
        <w:t xml:space="preserve">. وبالإضافة إلى ذلك، يرد في </w:t>
      </w:r>
      <w:r w:rsidRPr="004455E2">
        <w:rPr>
          <w:b/>
          <w:bCs/>
          <w:rtl/>
        </w:rPr>
        <w:t xml:space="preserve">الملحق </w:t>
      </w:r>
      <w:r>
        <w:rPr>
          <w:b/>
          <w:bCs/>
        </w:rPr>
        <w:t>B</w:t>
      </w:r>
      <w:r w:rsidRPr="004455E2">
        <w:rPr>
          <w:b/>
          <w:bCs/>
          <w:rtl/>
        </w:rPr>
        <w:t> </w:t>
      </w:r>
      <w:r w:rsidRPr="004455E2">
        <w:rPr>
          <w:rtl/>
        </w:rPr>
        <w:t>أدناه مشروع جدول أعمال الاجتماع الذي أعده الرئيسان المشاركان لنشاط التنسيق المشترك، السيد معاذ الرميح والسيد شين-غاك كانغ.</w:t>
      </w:r>
      <w:hyperlink r:id="rId19" w:history="1"/>
      <w:hyperlink r:id="rId20" w:history="1"/>
    </w:p>
    <w:p w14:paraId="1FD7BA65" w14:textId="605F8161" w:rsidR="004455E2" w:rsidRPr="004455E2" w:rsidRDefault="004455E2" w:rsidP="00F31E79">
      <w:pPr>
        <w:rPr>
          <w:b/>
          <w:lang w:val="ar-SA" w:bidi="ar-SY"/>
        </w:rPr>
      </w:pPr>
      <w:r w:rsidRPr="004455E2">
        <w:rPr>
          <w:bCs/>
          <w:rtl/>
        </w:rPr>
        <w:t>8</w:t>
      </w:r>
      <w:r w:rsidRPr="004455E2">
        <w:rPr>
          <w:bCs/>
          <w:rtl/>
        </w:rPr>
        <w:tab/>
      </w:r>
      <w:r w:rsidRPr="004455E2">
        <w:rPr>
          <w:b/>
          <w:rtl/>
        </w:rPr>
        <w:t>يُشجَّع المشاركون على تقديم مساهماتهم في نشاط التنسيق المشترك المعني بتقييس الميتافيرس عبر البريد الإلكتروني</w:t>
      </w:r>
      <w:r w:rsidRPr="004455E2">
        <w:rPr>
          <w:bCs/>
          <w:lang w:bidi="ar-SY"/>
        </w:rPr>
        <w:t>:</w:t>
      </w:r>
      <w:r w:rsidRPr="004455E2">
        <w:rPr>
          <w:bCs/>
          <w:rtl/>
        </w:rPr>
        <w:t xml:space="preserve"> </w:t>
      </w:r>
      <w:hyperlink r:id="rId21" w:history="1">
        <w:r w:rsidRPr="004455E2">
          <w:rPr>
            <w:rStyle w:val="Hyperlink"/>
            <w:bCs/>
            <w:lang w:val="en-GB"/>
          </w:rPr>
          <w:t>tsbjcamv@itu.int</w:t>
        </w:r>
      </w:hyperlink>
      <w:r w:rsidRPr="004455E2">
        <w:rPr>
          <w:rFonts w:hint="cs"/>
          <w:rtl/>
        </w:rPr>
        <w:t xml:space="preserve"> </w:t>
      </w:r>
      <w:r w:rsidRPr="004455E2">
        <w:rPr>
          <w:b/>
          <w:rtl/>
        </w:rPr>
        <w:t xml:space="preserve">باستخدام نموذج الوثائق المتاح في </w:t>
      </w:r>
      <w:hyperlink r:id="rId22" w:history="1">
        <w:r w:rsidRPr="004455E2">
          <w:rPr>
            <w:rStyle w:val="Hyperlink"/>
            <w:b/>
            <w:rtl/>
          </w:rPr>
          <w:t>الصفحة الرئيسية لنشاط التنسيق المشترك</w:t>
        </w:r>
      </w:hyperlink>
      <w:r w:rsidRPr="004455E2">
        <w:rPr>
          <w:b/>
          <w:rtl/>
        </w:rPr>
        <w:t>. ولإتاحة وقت كافٍ لإنجاز الأعمال التحضيرية لهذا الاجتماع، يرجى من المشاركين تقديم مساهماتهم في موعد أقصاه 30 سبتمبر 2025</w:t>
      </w:r>
      <w:r w:rsidR="00F31E79">
        <w:rPr>
          <w:rFonts w:hint="cs"/>
          <w:b/>
          <w:rtl/>
        </w:rPr>
        <w:t>.</w:t>
      </w:r>
    </w:p>
    <w:p w14:paraId="32166F49" w14:textId="77777777" w:rsidR="004455E2" w:rsidRPr="004455E2" w:rsidRDefault="004455E2" w:rsidP="004455E2">
      <w:pPr>
        <w:pStyle w:val="Headingb"/>
        <w:rPr>
          <w:lang w:val="ar-SA" w:bidi="ar-SY"/>
        </w:rPr>
      </w:pPr>
      <w:r w:rsidRPr="004455E2">
        <w:rPr>
          <w:rtl/>
        </w:rPr>
        <w:t>أهم المواعيد النهائية: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7465"/>
      </w:tblGrid>
      <w:tr w:rsidR="004455E2" w:rsidRPr="00F31E79" w14:paraId="4291FAF8" w14:textId="77777777" w:rsidTr="004455E2">
        <w:trPr>
          <w:jc w:val="center"/>
        </w:trPr>
        <w:tc>
          <w:tcPr>
            <w:tcW w:w="2138" w:type="dxa"/>
          </w:tcPr>
          <w:p w14:paraId="1BBB4077" w14:textId="5FBFE154" w:rsidR="004455E2" w:rsidRPr="00F31E79" w:rsidRDefault="004455E2" w:rsidP="00F31E79">
            <w:pPr>
              <w:spacing w:before="100" w:after="100" w:line="300" w:lineRule="exact"/>
              <w:rPr>
                <w:position w:val="2"/>
                <w:lang w:val="ar-SA" w:bidi="ar-SY"/>
              </w:rPr>
            </w:pPr>
            <w:r w:rsidRPr="004455E2">
              <w:rPr>
                <w:position w:val="2"/>
                <w:rtl/>
              </w:rPr>
              <w:t>30 سبتمبر 2025</w:t>
            </w:r>
          </w:p>
        </w:tc>
        <w:tc>
          <w:tcPr>
            <w:tcW w:w="7377" w:type="dxa"/>
            <w:tcBorders>
              <w:right w:val="single" w:sz="4" w:space="0" w:color="auto"/>
            </w:tcBorders>
          </w:tcPr>
          <w:p w14:paraId="79A4CE79" w14:textId="17BD858E" w:rsidR="004455E2" w:rsidRPr="00F31E79" w:rsidRDefault="004455E2" w:rsidP="00F31E79">
            <w:pPr>
              <w:spacing w:before="100" w:after="100" w:line="300" w:lineRule="exact"/>
              <w:ind w:left="397" w:hanging="397"/>
              <w:rPr>
                <w:position w:val="2"/>
              </w:rPr>
            </w:pPr>
            <w:r w:rsidRPr="00F31E79">
              <w:rPr>
                <w:position w:val="2"/>
              </w:rPr>
              <w:t>-</w:t>
            </w:r>
            <w:r w:rsidRPr="00F31E79">
              <w:rPr>
                <w:position w:val="2"/>
              </w:rPr>
              <w:tab/>
            </w:r>
            <w:r w:rsidRPr="004455E2">
              <w:rPr>
                <w:position w:val="2"/>
                <w:rtl/>
              </w:rPr>
              <w:t>تقديم المساهمات في نشاط التنسيق المشترك المعني بتنسيق الميتافيرس عبر البريد الإلكتروني</w:t>
            </w:r>
            <w:r w:rsidRPr="00F31E79">
              <w:rPr>
                <w:rFonts w:hint="cs"/>
                <w:position w:val="2"/>
                <w:rtl/>
                <w:lang w:bidi="ar-EG"/>
              </w:rPr>
              <w:t xml:space="preserve">: </w:t>
            </w:r>
            <w:hyperlink r:id="rId23" w:history="1">
              <w:r w:rsidRPr="00F31E79">
                <w:rPr>
                  <w:rStyle w:val="Hyperlink"/>
                  <w:position w:val="2"/>
                </w:rPr>
                <w:t>tsbjcamv@itu.int</w:t>
              </w:r>
            </w:hyperlink>
          </w:p>
        </w:tc>
      </w:tr>
      <w:tr w:rsidR="004455E2" w:rsidRPr="00F31E79" w14:paraId="03C97AFF" w14:textId="77777777" w:rsidTr="004455E2">
        <w:trPr>
          <w:jc w:val="center"/>
        </w:trPr>
        <w:tc>
          <w:tcPr>
            <w:tcW w:w="2138" w:type="dxa"/>
          </w:tcPr>
          <w:p w14:paraId="7555D9D3" w14:textId="7D73D503" w:rsidR="004455E2" w:rsidRPr="00F31E79" w:rsidRDefault="004455E2" w:rsidP="00F31E79">
            <w:pPr>
              <w:spacing w:before="100" w:after="100" w:line="300" w:lineRule="exact"/>
              <w:rPr>
                <w:position w:val="2"/>
                <w:lang w:val="ar-SA" w:bidi="ar-SY"/>
              </w:rPr>
            </w:pPr>
            <w:r w:rsidRPr="004455E2">
              <w:rPr>
                <w:position w:val="2"/>
                <w:rtl/>
              </w:rPr>
              <w:t>7 أكتوبر 2025</w:t>
            </w:r>
          </w:p>
        </w:tc>
        <w:tc>
          <w:tcPr>
            <w:tcW w:w="7377" w:type="dxa"/>
            <w:tcBorders>
              <w:right w:val="single" w:sz="4" w:space="0" w:color="auto"/>
            </w:tcBorders>
          </w:tcPr>
          <w:p w14:paraId="79927CC5" w14:textId="02C55593" w:rsidR="004455E2" w:rsidRPr="00F31E79" w:rsidRDefault="004455E2" w:rsidP="00F31E79">
            <w:pPr>
              <w:spacing w:before="100" w:after="100" w:line="300" w:lineRule="exact"/>
              <w:ind w:left="397" w:hanging="397"/>
              <w:rPr>
                <w:position w:val="2"/>
                <w:lang w:val="ar-SA" w:bidi="ar-SY"/>
              </w:rPr>
            </w:pPr>
            <w:r w:rsidRPr="00F31E79">
              <w:rPr>
                <w:position w:val="2"/>
              </w:rPr>
              <w:t>-</w:t>
            </w:r>
            <w:r w:rsidRPr="00F31E79">
              <w:rPr>
                <w:position w:val="2"/>
              </w:rPr>
              <w:tab/>
            </w:r>
            <w:r w:rsidRPr="004455E2">
              <w:rPr>
                <w:position w:val="2"/>
                <w:rtl/>
              </w:rPr>
              <w:t xml:space="preserve">التسجيل المسبق (عن طريق نموذج التسجيل الإلكتروني المتاح في </w:t>
            </w:r>
            <w:hyperlink r:id="rId24" w:history="1">
              <w:r w:rsidRPr="004455E2">
                <w:rPr>
                  <w:rStyle w:val="Hyperlink"/>
                  <w:position w:val="2"/>
                  <w:rtl/>
                </w:rPr>
                <w:t>الصفحة الرئيسية لنشاط التنسيق المشترك</w:t>
              </w:r>
            </w:hyperlink>
            <w:r w:rsidRPr="004455E2">
              <w:rPr>
                <w:position w:val="2"/>
                <w:rtl/>
              </w:rPr>
              <w:t>)</w:t>
            </w:r>
            <w:hyperlink r:id="rId25">
              <w:hyperlink r:id="rId26" w:history="1"/>
            </w:hyperlink>
          </w:p>
        </w:tc>
      </w:tr>
    </w:tbl>
    <w:p w14:paraId="46C6CCED" w14:textId="77777777" w:rsidR="004455E2" w:rsidRPr="004455E2" w:rsidRDefault="004455E2" w:rsidP="004455E2">
      <w:pPr>
        <w:spacing w:before="240"/>
        <w:rPr>
          <w:highlight w:val="yellow"/>
          <w:lang w:val="ar-SA" w:bidi="ar-SY"/>
        </w:rPr>
      </w:pPr>
      <w:r w:rsidRPr="004455E2">
        <w:rPr>
          <w:rtl/>
        </w:rPr>
        <w:t>أتمنى لكم اجتماعاً مثمراً وممتعاً.</w:t>
      </w:r>
    </w:p>
    <w:tbl>
      <w:tblPr>
        <w:tblStyle w:val="TableGrid"/>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2347"/>
      </w:tblGrid>
      <w:tr w:rsidR="004455E2" w:rsidRPr="00007F91" w14:paraId="407C28C1" w14:textId="77777777" w:rsidTr="004455E2">
        <w:trPr>
          <w:cantSplit/>
          <w:trHeight w:val="1134"/>
        </w:trPr>
        <w:tc>
          <w:tcPr>
            <w:tcW w:w="7287" w:type="dxa"/>
            <w:tcBorders>
              <w:right w:val="single" w:sz="4" w:space="0" w:color="auto"/>
            </w:tcBorders>
          </w:tcPr>
          <w:p w14:paraId="1FEC62A6" w14:textId="482EE41B" w:rsidR="004455E2" w:rsidRPr="00D517B2" w:rsidRDefault="00EA7AF3" w:rsidP="004455E2">
            <w:pPr>
              <w:spacing w:before="240"/>
              <w:jc w:val="left"/>
              <w:rPr>
                <w:rtl/>
                <w:lang w:bidi="ar-EG"/>
              </w:rPr>
            </w:pPr>
            <w:r>
              <w:rPr>
                <w:rFonts w:hint="cs"/>
                <w:noProof/>
                <w:rtl/>
                <w:lang w:val="ar-EG" w:bidi="ar-EG"/>
              </w:rPr>
              <w:drawing>
                <wp:anchor distT="0" distB="0" distL="114300" distR="114300" simplePos="0" relativeHeight="251658240" behindDoc="1" locked="0" layoutInCell="1" allowOverlap="1" wp14:anchorId="49F1B4C7" wp14:editId="69663AEB">
                  <wp:simplePos x="0" y="0"/>
                  <wp:positionH relativeFrom="column">
                    <wp:posOffset>3718560</wp:posOffset>
                  </wp:positionH>
                  <wp:positionV relativeFrom="paragraph">
                    <wp:posOffset>383540</wp:posOffset>
                  </wp:positionV>
                  <wp:extent cx="768389" cy="368319"/>
                  <wp:effectExtent l="0" t="0" r="0" b="0"/>
                  <wp:wrapNone/>
                  <wp:docPr id="1187699353"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99353" name="Picture 1" descr="A black and white text&#10;&#10;AI-generated content may be incorrect."/>
                          <pic:cNvPicPr/>
                        </pic:nvPicPr>
                        <pic:blipFill>
                          <a:blip r:embed="rId27">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4455E2" w:rsidRPr="00D517B2">
              <w:rPr>
                <w:rFonts w:hint="cs"/>
                <w:rtl/>
                <w:lang w:bidi="ar-EG"/>
              </w:rPr>
              <w:t>وتفضلوا بقبول فائق التقدير والاحترام.</w:t>
            </w:r>
          </w:p>
          <w:p w14:paraId="775578E8" w14:textId="5C57470A" w:rsidR="004455E2" w:rsidRPr="004455E2" w:rsidRDefault="004455E2" w:rsidP="00A31D57">
            <w:pPr>
              <w:spacing w:before="720"/>
              <w:jc w:val="left"/>
            </w:pPr>
            <w:r>
              <w:rPr>
                <w:rFonts w:hint="cs"/>
                <w:rtl/>
                <w:lang w:bidi="ar-SY"/>
              </w:rPr>
              <w:t>سيزو أونوي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2347" w:type="dxa"/>
            <w:tcBorders>
              <w:top w:val="single" w:sz="4" w:space="0" w:color="auto"/>
              <w:left w:val="single" w:sz="4" w:space="0" w:color="auto"/>
              <w:bottom w:val="single" w:sz="4" w:space="0" w:color="auto"/>
              <w:right w:val="single" w:sz="4" w:space="0" w:color="auto"/>
            </w:tcBorders>
            <w:textDirection w:val="btLr"/>
          </w:tcPr>
          <w:p w14:paraId="250C5272" w14:textId="77777777" w:rsidR="004455E2" w:rsidRPr="00007F91" w:rsidRDefault="004455E2" w:rsidP="00CB31A1">
            <w:pPr>
              <w:spacing w:before="0"/>
              <w:ind w:left="113" w:right="113"/>
              <w:jc w:val="center"/>
              <w:rPr>
                <w:rFonts w:asciiTheme="minorHAnsi" w:hAnsiTheme="minorHAnsi" w:cstheme="minorHAnsi"/>
              </w:rPr>
            </w:pPr>
            <w:r w:rsidRPr="00007F91">
              <w:rPr>
                <w:rFonts w:asciiTheme="minorHAnsi" w:hAnsiTheme="minorHAnsi" w:cstheme="minorHAnsi"/>
                <w:noProof/>
              </w:rPr>
              <w:drawing>
                <wp:inline distT="0" distB="0" distL="0" distR="0" wp14:anchorId="371A75DC" wp14:editId="0D283E4F">
                  <wp:extent cx="988201" cy="988201"/>
                  <wp:effectExtent l="0" t="0" r="2540" b="2540"/>
                  <wp:docPr id="7522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92"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988201" cy="988201"/>
                          </a:xfrm>
                          <a:prstGeom prst="rect">
                            <a:avLst/>
                          </a:prstGeom>
                          <a:noFill/>
                          <a:ln>
                            <a:noFill/>
                          </a:ln>
                        </pic:spPr>
                      </pic:pic>
                    </a:graphicData>
                  </a:graphic>
                </wp:inline>
              </w:drawing>
            </w:r>
            <w:r w:rsidRPr="00007F91">
              <w:rPr>
                <w:rFonts w:asciiTheme="minorHAnsi" w:hAnsiTheme="minorHAnsi" w:cstheme="minorHAnsi"/>
              </w:rPr>
              <w:t xml:space="preserve"> </w:t>
            </w:r>
          </w:p>
          <w:p w14:paraId="64C3A41F" w14:textId="5E901DB2" w:rsidR="004455E2" w:rsidRPr="004455E2" w:rsidRDefault="004455E2" w:rsidP="00CB31A1">
            <w:pPr>
              <w:spacing w:before="0"/>
              <w:ind w:left="113" w:right="113"/>
              <w:jc w:val="center"/>
            </w:pPr>
            <w:r w:rsidRPr="004455E2">
              <w:rPr>
                <w:rtl/>
              </w:rPr>
              <w:t>معلومات إضافية</w:t>
            </w:r>
          </w:p>
        </w:tc>
      </w:tr>
    </w:tbl>
    <w:p w14:paraId="589442EC" w14:textId="77777777" w:rsidR="004455E2" w:rsidRDefault="004455E2" w:rsidP="004455E2">
      <w:pPr>
        <w:spacing w:before="360"/>
        <w:rPr>
          <w:rtl/>
        </w:rPr>
      </w:pPr>
      <w:r>
        <w:rPr>
          <w:rFonts w:hint="cs"/>
          <w:b/>
          <w:bCs/>
          <w:rtl/>
        </w:rPr>
        <w:t xml:space="preserve">الملحقات: </w:t>
      </w:r>
      <w:r w:rsidRPr="00C4758D">
        <w:t>2</w:t>
      </w:r>
    </w:p>
    <w:p w14:paraId="0BF4F274" w14:textId="52210A48" w:rsidR="00596808" w:rsidRDefault="00596808" w:rsidP="00E84438">
      <w:pPr>
        <w:rPr>
          <w:rtl/>
          <w:lang w:bidi="ar-EG"/>
        </w:rPr>
      </w:pPr>
      <w:r>
        <w:rPr>
          <w:rtl/>
          <w:lang w:bidi="ar-EG"/>
        </w:rPr>
        <w:br w:type="page"/>
      </w:r>
    </w:p>
    <w:p w14:paraId="6A977F47" w14:textId="14924992" w:rsidR="004455E2" w:rsidRPr="00F31E79" w:rsidRDefault="004455E2" w:rsidP="00F31E79">
      <w:pPr>
        <w:pStyle w:val="AnnexNo"/>
        <w:rPr>
          <w:b/>
          <w:bCs/>
          <w:lang w:val="ar-SA" w:bidi="ar-EG"/>
        </w:rPr>
      </w:pPr>
      <w:r w:rsidRPr="00F31E79">
        <w:rPr>
          <w:b/>
          <w:bCs/>
          <w:rtl/>
        </w:rPr>
        <w:lastRenderedPageBreak/>
        <w:t xml:space="preserve">الملحق </w:t>
      </w:r>
      <w:r w:rsidR="00F31E79" w:rsidRPr="00F31E79">
        <w:rPr>
          <w:b/>
          <w:bCs/>
        </w:rPr>
        <w:t>A</w:t>
      </w:r>
    </w:p>
    <w:p w14:paraId="3F7778E5" w14:textId="01726084" w:rsidR="004455E2" w:rsidRPr="004455E2" w:rsidRDefault="004455E2" w:rsidP="00F31E79">
      <w:pPr>
        <w:pStyle w:val="Annextitle"/>
        <w:rPr>
          <w:lang w:val="ar-SA" w:bidi="ar-EG"/>
        </w:rPr>
      </w:pPr>
      <w:r w:rsidRPr="004455E2">
        <w:rPr>
          <w:rtl/>
        </w:rPr>
        <w:t>اختصاصات</w:t>
      </w:r>
      <w:r w:rsidR="00F31E79">
        <w:rPr>
          <w:rFonts w:hint="cs"/>
          <w:rtl/>
          <w:lang w:bidi="ar-EG"/>
        </w:rPr>
        <w:t xml:space="preserve"> </w:t>
      </w:r>
      <w:r w:rsidRPr="004455E2">
        <w:rPr>
          <w:rtl/>
        </w:rPr>
        <w:t>نشاط التنسيق المشترك المعني بتقييس الميتافيرس (JCA- MV)</w:t>
      </w:r>
    </w:p>
    <w:p w14:paraId="6565C846" w14:textId="3D5C6DDE" w:rsidR="004455E2" w:rsidRPr="004455E2" w:rsidRDefault="00F31E79" w:rsidP="00F31E79">
      <w:pPr>
        <w:pStyle w:val="Heading1"/>
        <w:rPr>
          <w:lang w:val="ar-SA" w:bidi="ar-EG"/>
        </w:rPr>
      </w:pPr>
      <w:r>
        <w:rPr>
          <w:rFonts w:hint="cs"/>
          <w:rtl/>
        </w:rPr>
        <w:t>1</w:t>
      </w:r>
      <w:r>
        <w:rPr>
          <w:rtl/>
        </w:rPr>
        <w:tab/>
      </w:r>
      <w:r w:rsidR="004455E2" w:rsidRPr="004455E2">
        <w:rPr>
          <w:rtl/>
        </w:rPr>
        <w:t>نطاق العمل</w:t>
      </w:r>
    </w:p>
    <w:p w14:paraId="0CC11287" w14:textId="77777777" w:rsidR="004455E2" w:rsidRPr="004455E2" w:rsidRDefault="004455E2" w:rsidP="004455E2">
      <w:pPr>
        <w:rPr>
          <w:lang w:val="ar-SA" w:bidi="ar-EG"/>
        </w:rPr>
      </w:pPr>
      <w:r w:rsidRPr="004455E2">
        <w:rPr>
          <w:rtl/>
        </w:rPr>
        <w:t>نطاق عمل نشاط التنسيق المشترك المعني بتقييس الميتافيرس هو تنسيق أعمال تقييس الميتافيرس في قطاع تقييس الاتصالات بالاتحاد الدولي للاتصالات، وتعزيز التعاون بين جميع لجان الدراسات المعنية كافة داخل القطاع، مع توفير جهة اتصال واضحة وتنسيق التواصل مع المنظمات والاتحادات والمنتديات الخارجية المعنية بوضع المعايير، التي ينصب عملها على المعايير المتعلقة بالميتافيرس، لتسهيل الاتصال المتبادل مع هذه الهيئات على نحو فعال.</w:t>
      </w:r>
    </w:p>
    <w:p w14:paraId="65F08A80" w14:textId="77777777" w:rsidR="004455E2" w:rsidRPr="004455E2" w:rsidRDefault="004455E2" w:rsidP="004455E2">
      <w:pPr>
        <w:rPr>
          <w:lang w:val="ar-SA" w:bidi="ar-EG"/>
        </w:rPr>
      </w:pPr>
      <w:r w:rsidRPr="004455E2">
        <w:rPr>
          <w:rtl/>
        </w:rPr>
        <w:t>ويعمل نشاط التنسيق المشترك لتقييس الميتافيرس وفقاً لأحكام التوصية ITU-T A.18، وقد أنشئ وفقاً للقرار 105 المعنون "تقييس الميتافيرس" والصادر عن الجمعية العالمية لتقييس الاتصالات لعام 2024.</w:t>
      </w:r>
    </w:p>
    <w:p w14:paraId="4EDBA40F" w14:textId="0ABB9E9A" w:rsidR="004455E2" w:rsidRPr="004455E2" w:rsidRDefault="004455E2" w:rsidP="00F31E79">
      <w:pPr>
        <w:pStyle w:val="Heading1"/>
        <w:rPr>
          <w:lang w:val="ar-SA" w:bidi="ar-EG"/>
        </w:rPr>
      </w:pPr>
      <w:r w:rsidRPr="004455E2">
        <w:rPr>
          <w:rtl/>
        </w:rPr>
        <w:t>2</w:t>
      </w:r>
      <w:r w:rsidR="00F31E79">
        <w:tab/>
      </w:r>
      <w:r w:rsidRPr="004455E2">
        <w:rPr>
          <w:rtl/>
        </w:rPr>
        <w:t>الأهداف</w:t>
      </w:r>
    </w:p>
    <w:p w14:paraId="5B31AEDC" w14:textId="77777777" w:rsidR="004455E2" w:rsidRPr="004455E2" w:rsidRDefault="004455E2" w:rsidP="004455E2">
      <w:pPr>
        <w:rPr>
          <w:lang w:val="ar-SA" w:bidi="ar-EG"/>
        </w:rPr>
      </w:pPr>
      <w:r w:rsidRPr="004455E2">
        <w:rPr>
          <w:rtl/>
        </w:rPr>
        <w:t>تتمثل أهداف نشاط التنسيق المشترك المعني بتقييس الميتافيرس في ما يلي:</w:t>
      </w:r>
    </w:p>
    <w:p w14:paraId="1C0E1ED7" w14:textId="318672E9" w:rsidR="004455E2" w:rsidRPr="004455E2" w:rsidRDefault="00F31E79" w:rsidP="004455E2">
      <w:pPr>
        <w:rPr>
          <w:lang w:val="ar-SA" w:bidi="ar-EG"/>
        </w:rPr>
      </w:pPr>
      <w:r>
        <w:t>1.2</w:t>
      </w:r>
      <w:r>
        <w:tab/>
      </w:r>
      <w:r w:rsidR="004455E2" w:rsidRPr="004455E2">
        <w:rPr>
          <w:rtl/>
        </w:rPr>
        <w:t>ضمان سير أعمال تقييس الميتافيرس في قطاع تقييس الاتصالات بالاتحاد، فيما يتعلق بتمكين التكنولوجيات والأنظمة والتطبيقات والخدمات والبروتوكولات والأمن وإمكانية النفاذ والاستدامة لأغراض الميتافيرس، بصورة منسقة تنسيقاً جيداً بين لجان الدراسات المعنية كافة في قطاع تقييس الاتصالات؛</w:t>
      </w:r>
    </w:p>
    <w:p w14:paraId="64C1EDAD" w14:textId="47DCE858" w:rsidR="004455E2" w:rsidRPr="004455E2" w:rsidRDefault="00F31E79" w:rsidP="004455E2">
      <w:pPr>
        <w:rPr>
          <w:lang w:val="ar-SA" w:bidi="ar-EG"/>
        </w:rPr>
      </w:pPr>
      <w:r>
        <w:t>2.2</w:t>
      </w:r>
      <w:r>
        <w:tab/>
      </w:r>
      <w:r w:rsidR="004455E2" w:rsidRPr="004455E2">
        <w:rPr>
          <w:rtl/>
        </w:rPr>
        <w:t>تشجيع الأفرقة المعنية في قطاع تقييس الاتصالات، وقطاع الاتصالات الراديوية، وقطاع تنمية الاتصالات بالاتحاد، على المساهمة في نشاط التنسيق المشترك وتبادل المعلومات المتعلقة بتقييس الميتافيرس؛</w:t>
      </w:r>
    </w:p>
    <w:p w14:paraId="7EC8024D" w14:textId="73E7CEAA" w:rsidR="004455E2" w:rsidRPr="004455E2" w:rsidRDefault="00F31E79" w:rsidP="004455E2">
      <w:pPr>
        <w:rPr>
          <w:lang w:val="ar-SA" w:bidi="ar-EG"/>
        </w:rPr>
      </w:pPr>
      <w:r>
        <w:t>3.2</w:t>
      </w:r>
      <w:r>
        <w:tab/>
      </w:r>
      <w:r w:rsidR="004455E2" w:rsidRPr="004455E2">
        <w:rPr>
          <w:rtl/>
        </w:rPr>
        <w:t>وضع خارطة طريق لتقييس الميتافيرس، وتعهدها وتحديثها، أخذاً في الاعتبار نواتج المعايير الحالية والمنشورة من جانب الاتحاد الدولي للاتصالات، وغيره من منظمات وضع المعايير</w:t>
      </w:r>
      <w:r>
        <w:rPr>
          <w:rFonts w:hint="cs"/>
          <w:rtl/>
        </w:rPr>
        <w:t> </w:t>
      </w:r>
      <w:r>
        <w:t>(SDO)</w:t>
      </w:r>
      <w:r w:rsidR="004455E2" w:rsidRPr="004455E2">
        <w:rPr>
          <w:rtl/>
        </w:rPr>
        <w:t>، والاتحادات والمنتديات ذات الصلة في هذا الصدد</w:t>
      </w:r>
      <w:r>
        <w:rPr>
          <w:rFonts w:hint="cs"/>
          <w:rtl/>
        </w:rPr>
        <w:t>؛</w:t>
      </w:r>
    </w:p>
    <w:p w14:paraId="5A0D38DC" w14:textId="2861FA8E" w:rsidR="004455E2" w:rsidRPr="004455E2" w:rsidRDefault="00F31E79" w:rsidP="004455E2">
      <w:pPr>
        <w:rPr>
          <w:lang w:val="ar-SA" w:bidi="ar-EG"/>
        </w:rPr>
      </w:pPr>
      <w:r>
        <w:t>4.2</w:t>
      </w:r>
      <w:r>
        <w:tab/>
      </w:r>
      <w:r w:rsidR="004455E2" w:rsidRPr="004455E2">
        <w:rPr>
          <w:rtl/>
        </w:rPr>
        <w:t>دراسة التعاون والتكامل وتعزيزهما في مجال وضع المعايير الدولية للميتافيرس مع المنظمات ذات الصلة، بما</w:t>
      </w:r>
      <w:r>
        <w:rPr>
          <w:rFonts w:hint="cs"/>
          <w:rtl/>
        </w:rPr>
        <w:t> </w:t>
      </w:r>
      <w:r w:rsidR="004455E2" w:rsidRPr="004455E2">
        <w:rPr>
          <w:rtl/>
        </w:rPr>
        <w:t>في</w:t>
      </w:r>
      <w:r>
        <w:rPr>
          <w:rFonts w:hint="cs"/>
          <w:rtl/>
        </w:rPr>
        <w:t> </w:t>
      </w:r>
      <w:r w:rsidR="004455E2" w:rsidRPr="004455E2">
        <w:rPr>
          <w:rtl/>
        </w:rPr>
        <w:t xml:space="preserve">ذلك المنظمة الدولية لتوحيد المقاييس </w:t>
      </w:r>
      <w:r w:rsidR="004455E2" w:rsidRPr="004455E2">
        <w:rPr>
          <w:lang w:bidi="ar-EG"/>
        </w:rPr>
        <w:t>(ISO</w:t>
      </w:r>
      <w:r>
        <w:t>)</w:t>
      </w:r>
      <w:r w:rsidR="004455E2" w:rsidRPr="004455E2">
        <w:rPr>
          <w:rtl/>
        </w:rPr>
        <w:t>، واللجنة الكهربائية التقنية الدولية (</w:t>
      </w:r>
      <w:r w:rsidR="004455E2" w:rsidRPr="004455E2">
        <w:rPr>
          <w:lang w:bidi="ar-EG"/>
        </w:rPr>
        <w:t>IEC</w:t>
      </w:r>
      <w:r w:rsidR="004455E2" w:rsidRPr="004455E2">
        <w:rPr>
          <w:rtl/>
        </w:rPr>
        <w:t>)، واللجنة التقنية المشتركة 1 التابعة للمنظمة الدولية للتوحيد القياسي</w:t>
      </w:r>
      <w:r w:rsidR="004455E2" w:rsidRPr="004455E2">
        <w:rPr>
          <w:lang w:bidi="ar-EG"/>
        </w:rPr>
        <w:t>/</w:t>
      </w:r>
      <w:r w:rsidR="004455E2" w:rsidRPr="004455E2">
        <w:rPr>
          <w:rtl/>
        </w:rPr>
        <w:t>اللجنة الكهرتقنية الدولية</w:t>
      </w:r>
      <w:r w:rsidR="004455E2" w:rsidRPr="004455E2" w:rsidDel="00CD2FAD">
        <w:rPr>
          <w:rtl/>
        </w:rPr>
        <w:t xml:space="preserve"> </w:t>
      </w:r>
      <w:r w:rsidR="004455E2" w:rsidRPr="004455E2">
        <w:rPr>
          <w:rtl/>
        </w:rPr>
        <w:t>(</w:t>
      </w:r>
      <w:r w:rsidR="004455E2" w:rsidRPr="004455E2">
        <w:rPr>
          <w:lang w:bidi="ar-EG"/>
        </w:rPr>
        <w:t>ISO/IEC JTC1</w:t>
      </w:r>
      <w:r w:rsidR="004455E2" w:rsidRPr="004455E2">
        <w:rPr>
          <w:rtl/>
        </w:rPr>
        <w:t>)، ومشروع شراكة الجيل الثالث (3GPP)، والمعهد الأوروبي لمعايير الاتصالات (</w:t>
      </w:r>
      <w:r w:rsidR="004455E2" w:rsidRPr="004455E2">
        <w:rPr>
          <w:lang w:bidi="ar-EG"/>
        </w:rPr>
        <w:t>ETSI</w:t>
      </w:r>
      <w:r w:rsidR="004455E2" w:rsidRPr="004455E2">
        <w:rPr>
          <w:rtl/>
        </w:rPr>
        <w:t>)، ومعهد مهندسي الكهرباء والإلكترونيات (</w:t>
      </w:r>
      <w:r w:rsidR="004455E2" w:rsidRPr="004455E2">
        <w:rPr>
          <w:lang w:bidi="ar-EG"/>
        </w:rPr>
        <w:t>IEEE</w:t>
      </w:r>
      <w:r w:rsidR="004455E2" w:rsidRPr="004455E2">
        <w:rPr>
          <w:rtl/>
        </w:rPr>
        <w:t>)، وفرقة العمل المعنية بهندسة الإنترنت (</w:t>
      </w:r>
      <w:r w:rsidR="004455E2" w:rsidRPr="004455E2">
        <w:rPr>
          <w:lang w:bidi="ar-EG"/>
        </w:rPr>
        <w:t>IETF</w:t>
      </w:r>
      <w:r w:rsidR="004455E2" w:rsidRPr="004455E2">
        <w:rPr>
          <w:rtl/>
        </w:rPr>
        <w:t>)، ومنتدى معايير الميتافيرس (</w:t>
      </w:r>
      <w:r w:rsidR="004455E2" w:rsidRPr="004455E2">
        <w:rPr>
          <w:lang w:bidi="ar-EG"/>
        </w:rPr>
        <w:t>MSF</w:t>
      </w:r>
      <w:r w:rsidR="004455E2" w:rsidRPr="004455E2">
        <w:rPr>
          <w:rtl/>
        </w:rPr>
        <w:t>) والمجتمعات مفتوحة المصدر؛</w:t>
      </w:r>
    </w:p>
    <w:p w14:paraId="484B378C" w14:textId="6507EE67" w:rsidR="004455E2" w:rsidRPr="004455E2" w:rsidRDefault="00F31E79" w:rsidP="004455E2">
      <w:pPr>
        <w:rPr>
          <w:lang w:val="ar-SA" w:bidi="ar-EG"/>
        </w:rPr>
      </w:pPr>
      <w:r>
        <w:t>5.2</w:t>
      </w:r>
      <w:r>
        <w:tab/>
      </w:r>
      <w:r w:rsidR="004455E2" w:rsidRPr="004455E2">
        <w:rPr>
          <w:rtl/>
        </w:rPr>
        <w:t xml:space="preserve">إبلاغ الفريق الاستشاري لتقييس الاتصالات </w:t>
      </w:r>
      <w:r w:rsidR="004455E2" w:rsidRPr="004455E2">
        <w:rPr>
          <w:lang w:bidi="ar-EG"/>
        </w:rPr>
        <w:t>(TSAG</w:t>
      </w:r>
      <w:r>
        <w:t>)</w:t>
      </w:r>
      <w:r w:rsidR="004455E2" w:rsidRPr="004455E2">
        <w:rPr>
          <w:rtl/>
        </w:rPr>
        <w:t xml:space="preserve"> بأي حالة تُكتشف من حالات ازدواج الجهود أو المسائل أخرى التي تتطلب التنسيق، لدعم وظيفة التنسيق التي يضطلع بها الفريق الاستشاري بين لجان الدراسات في قطاع تقييس الاتصالات</w:t>
      </w:r>
      <w:r>
        <w:rPr>
          <w:rFonts w:hint="cs"/>
          <w:rtl/>
        </w:rPr>
        <w:t> </w:t>
      </w:r>
      <w:r w:rsidR="004455E2" w:rsidRPr="004455E2">
        <w:rPr>
          <w:rtl/>
        </w:rPr>
        <w:t>بالاتحاد؛</w:t>
      </w:r>
    </w:p>
    <w:p w14:paraId="089ED7B8" w14:textId="07B7E64A" w:rsidR="004455E2" w:rsidRPr="004455E2" w:rsidRDefault="00F31E79" w:rsidP="004455E2">
      <w:pPr>
        <w:rPr>
          <w:lang w:val="ar-SA" w:bidi="ar-EG"/>
        </w:rPr>
      </w:pPr>
      <w:r>
        <w:t>6.2</w:t>
      </w:r>
      <w:r>
        <w:tab/>
      </w:r>
      <w:r w:rsidR="004455E2" w:rsidRPr="004455E2">
        <w:rPr>
          <w:rtl/>
        </w:rPr>
        <w:t>العمل بمثابة جهة اتصال داخل قطاع تقييس الاتصالات بالاتحاد، ومع المنظمات والاتحادات والمنتديات الأخرى المعنية بوضع المعايير، التي ينصب عملها على المعايير المتعلقة بالميتافيرس، تجنباً لازدواج الجهود على وجه الخصوص؛</w:t>
      </w:r>
    </w:p>
    <w:p w14:paraId="50C669DC" w14:textId="0BE92CA6" w:rsidR="004455E2" w:rsidRPr="004455E2" w:rsidRDefault="00F31E79" w:rsidP="004455E2">
      <w:pPr>
        <w:rPr>
          <w:lang w:val="ar-SA" w:bidi="ar-EG"/>
        </w:rPr>
      </w:pPr>
      <w:r>
        <w:t>7.2</w:t>
      </w:r>
      <w:r>
        <w:tab/>
      </w:r>
      <w:r w:rsidR="004455E2" w:rsidRPr="004455E2">
        <w:rPr>
          <w:rtl/>
        </w:rPr>
        <w:t>الاحتفاظ بقائمة تضم جهات اتصال وممثلين عن لجان الدراسات المعنية في قطاع تقييس الاتصالات بالاتحاد، وأفرقة الاتحاد الأخرى ذات الصلة؛</w:t>
      </w:r>
    </w:p>
    <w:p w14:paraId="66D809B7" w14:textId="52C7D659" w:rsidR="004455E2" w:rsidRPr="004455E2" w:rsidRDefault="00F31E79" w:rsidP="004455E2">
      <w:pPr>
        <w:rPr>
          <w:lang w:val="ar-SA" w:bidi="ar-EG"/>
        </w:rPr>
      </w:pPr>
      <w:r>
        <w:t>8.2</w:t>
      </w:r>
      <w:r>
        <w:tab/>
      </w:r>
      <w:r w:rsidR="004455E2" w:rsidRPr="004455E2">
        <w:rPr>
          <w:rtl/>
        </w:rPr>
        <w:t>الاحتفاظ بقائمة تضم جهات اتصال وممثلين عن منظمات وضع المعايير، والمنظمات الإقليمية/الوطنية، والاتحادات والمنتديات المعنية الأخرى، التي تشارك في أعمال نشاط التنسيق المشترك المعني بتنسيق الميتافيرس.</w:t>
      </w:r>
    </w:p>
    <w:p w14:paraId="6CA6E951" w14:textId="38A0A4C8" w:rsidR="004455E2" w:rsidRPr="004455E2" w:rsidRDefault="00F31E79" w:rsidP="00F31E79">
      <w:pPr>
        <w:pStyle w:val="Heading1"/>
        <w:rPr>
          <w:lang w:val="ar-SA" w:bidi="ar-EG"/>
        </w:rPr>
      </w:pPr>
      <w:r>
        <w:t>3</w:t>
      </w:r>
      <w:r>
        <w:tab/>
      </w:r>
      <w:r w:rsidR="004455E2" w:rsidRPr="004455E2">
        <w:rPr>
          <w:rtl/>
        </w:rPr>
        <w:t>المشاركة</w:t>
      </w:r>
    </w:p>
    <w:p w14:paraId="5A51A8B5" w14:textId="03C990D2" w:rsidR="004455E2" w:rsidRPr="004455E2" w:rsidRDefault="004455E2" w:rsidP="004455E2">
      <w:pPr>
        <w:rPr>
          <w:lang w:val="ar-SA" w:bidi="ar-EG"/>
        </w:rPr>
      </w:pPr>
      <w:r w:rsidRPr="004455E2">
        <w:rPr>
          <w:rtl/>
        </w:rPr>
        <w:t xml:space="preserve">باب المشاركة في نشاط التنسيق المشترك المعني بتنسيق الميتافيرس مفتوح أمام أعضاء الاتحاد الدولي للاتصالات، بمن فيهم ممثلون عن لجان الدراسات كافة في قطاع تقييس الاتصالات بالاتحاد، والفريق الاستشاري لتقييس الاتصالات. ويُرحَّب أيضاً بمشاركة الخبراء المدعوين، بمن فيهم ممثلون عن منظمات وضع المعايير، والأوساط الأكاديمية، والمنتديات، والاتحادات ذات الصلة. ووفقاً للقرار 105 "تقييس الميتافيرس" الصادر عن الجمعية العالمية لتقييس الاتصالات لعام 2024، تُشجَّع بوجه خاص </w:t>
      </w:r>
      <w:r w:rsidRPr="004455E2">
        <w:rPr>
          <w:rtl/>
        </w:rPr>
        <w:lastRenderedPageBreak/>
        <w:t xml:space="preserve">مشاركة الشركات الصغيرة والمتوسطة </w:t>
      </w:r>
      <w:r w:rsidRPr="004455E2">
        <w:rPr>
          <w:lang w:bidi="ar-EG"/>
        </w:rPr>
        <w:t>(SME</w:t>
      </w:r>
      <w:r w:rsidR="00F31E79">
        <w:t>)</w:t>
      </w:r>
      <w:r w:rsidRPr="004455E2">
        <w:rPr>
          <w:rtl/>
        </w:rPr>
        <w:t xml:space="preserve"> والصناعات المتخصصة التي تعنى بتطوير الميتافيرس، لضمان تحقيق تمثيل واسع في عملية التقييس. ويمكن دعوة أفرقة الاتحاد الأخرى والهيئات الخارجية المعنية إلى تعيين ممثل للانضمام إلى النشاط.</w:t>
      </w:r>
    </w:p>
    <w:p w14:paraId="751F9ABB" w14:textId="30957606" w:rsidR="004455E2" w:rsidRPr="004455E2" w:rsidRDefault="00F31E79" w:rsidP="00F31E79">
      <w:pPr>
        <w:pStyle w:val="Heading1"/>
        <w:rPr>
          <w:lang w:val="ar-SA" w:bidi="ar-EG"/>
        </w:rPr>
      </w:pPr>
      <w:r>
        <w:t>4</w:t>
      </w:r>
      <w:r>
        <w:tab/>
      </w:r>
      <w:r w:rsidR="004455E2" w:rsidRPr="004455E2">
        <w:rPr>
          <w:rtl/>
        </w:rPr>
        <w:t>أساليب العمل</w:t>
      </w:r>
    </w:p>
    <w:p w14:paraId="587FE241" w14:textId="5A0E6EB2" w:rsidR="004455E2" w:rsidRPr="004455E2" w:rsidRDefault="00F31E79" w:rsidP="004455E2">
      <w:pPr>
        <w:rPr>
          <w:lang w:val="ar-SA" w:bidi="ar-EG"/>
        </w:rPr>
      </w:pPr>
      <w:r>
        <w:t>1.4</w:t>
      </w:r>
      <w:r>
        <w:tab/>
      </w:r>
      <w:r w:rsidR="004455E2" w:rsidRPr="004455E2">
        <w:rPr>
          <w:rtl/>
        </w:rPr>
        <w:t>تجرى المشاركة في نشاط التنسيق المشترك المعني بتقييس الميتافيرس وفقاً للتوصية ITU-T A.18، وستشمل رؤساء لجان الدراسات كافة في قطاع تقييس الاتصالات، ورئيس الفريق الاستشاري لتقييس الاتصالات، وعدداً من الأفراد المكلفين من قبل رؤساء لجان الدراسات وجهات الاتصال المعنية بالميتافيرس بلجان الدراسات في قطاع تقييس الاتصالات، وممثلين مدعوين من منظمات وضع المعايير ذات الصلة مثل المنظمة الدولية لتوحيد المقاييس، واللجنة الكهربائية التقنية الدولية، والأوساط الأكاديمية والمنتديات والاتحادات المعنية.</w:t>
      </w:r>
    </w:p>
    <w:p w14:paraId="3D17CE3A" w14:textId="4FD8901B" w:rsidR="004455E2" w:rsidRPr="004455E2" w:rsidRDefault="00F31E79" w:rsidP="004455E2">
      <w:pPr>
        <w:rPr>
          <w:lang w:val="ar-SA" w:bidi="ar-EG"/>
        </w:rPr>
      </w:pPr>
      <w:r>
        <w:t>2.4</w:t>
      </w:r>
      <w:r>
        <w:tab/>
      </w:r>
      <w:r w:rsidR="004455E2" w:rsidRPr="004455E2">
        <w:rPr>
          <w:rtl/>
        </w:rPr>
        <w:t>يجري نشاط التنسيق المشترك المعني بتقييس الميتافيرس عمله بالمراسلة في المقام الأول، لكن يجوز له أيضاً أن يعقد اجتماعاً بالاشتراك مع اجتماع الفريق الاستشاري لتقييس الاتصالات ولجان الدراسات المعنية عند الضرورة.</w:t>
      </w:r>
    </w:p>
    <w:p w14:paraId="554F4F26" w14:textId="18DB71DF" w:rsidR="004455E2" w:rsidRPr="004455E2" w:rsidRDefault="00F31E79" w:rsidP="004455E2">
      <w:pPr>
        <w:rPr>
          <w:lang w:val="ar-SA" w:bidi="ar-EG"/>
        </w:rPr>
      </w:pPr>
      <w:r>
        <w:t>3.4</w:t>
      </w:r>
      <w:r>
        <w:tab/>
      </w:r>
      <w:r w:rsidR="004455E2" w:rsidRPr="004455E2">
        <w:rPr>
          <w:rtl/>
        </w:rPr>
        <w:t>يتابع نشاط التنسيق المشترك المعني بتقييس الميتافيرس سير أعماله باستخدام الوسائل الإلكترونية في المقام الأول، وتشمل المراسلات بالبريد الإلكتروني والمكالمات الجماعية، ولا يعقد اجتماعات حضورية إلا إذا اعتُبر ذلك ضرورياً لإنجاز مهامه</w:t>
      </w:r>
      <w:r>
        <w:rPr>
          <w:rFonts w:hint="cs"/>
          <w:rtl/>
        </w:rPr>
        <w:t> </w:t>
      </w:r>
      <w:r w:rsidR="004455E2" w:rsidRPr="004455E2">
        <w:rPr>
          <w:rtl/>
        </w:rPr>
        <w:t>بكفاءة.</w:t>
      </w:r>
    </w:p>
    <w:p w14:paraId="5E9C5AF7" w14:textId="351D6DB1" w:rsidR="004455E2" w:rsidRPr="004455E2" w:rsidRDefault="00F31E79" w:rsidP="00F31E79">
      <w:pPr>
        <w:pStyle w:val="Heading1"/>
        <w:rPr>
          <w:lang w:val="ar-SA" w:bidi="ar-EG"/>
        </w:rPr>
      </w:pPr>
      <w:r>
        <w:t>5</w:t>
      </w:r>
      <w:r>
        <w:tab/>
      </w:r>
      <w:r w:rsidR="004455E2" w:rsidRPr="004455E2">
        <w:rPr>
          <w:rtl/>
        </w:rPr>
        <w:t>الدعم الإداري</w:t>
      </w:r>
    </w:p>
    <w:p w14:paraId="2F5AA0BB" w14:textId="0B648038" w:rsidR="004455E2" w:rsidRPr="004455E2" w:rsidRDefault="004455E2" w:rsidP="004455E2">
      <w:pPr>
        <w:rPr>
          <w:lang w:val="ar-SA" w:bidi="ar-EG"/>
        </w:rPr>
      </w:pPr>
      <w:r w:rsidRPr="004455E2">
        <w:rPr>
          <w:rtl/>
        </w:rPr>
        <w:t xml:space="preserve">يوفر مكتب تقييس الاتصالات </w:t>
      </w:r>
      <w:r w:rsidRPr="004455E2">
        <w:rPr>
          <w:lang w:bidi="ar-EG"/>
        </w:rPr>
        <w:t>(TSB</w:t>
      </w:r>
      <w:r w:rsidR="00F31E79">
        <w:t>)</w:t>
      </w:r>
      <w:r w:rsidRPr="004455E2">
        <w:rPr>
          <w:rtl/>
        </w:rPr>
        <w:t xml:space="preserve"> بقطاع تقييس الاتصالات بالاتحاد خدمات الأمانة والمرافق المطلوبة لتفعيل نشاط التنسيق المشترك المعني بتقييس الميتافيرس في حدود الموارد المتاحة.</w:t>
      </w:r>
    </w:p>
    <w:p w14:paraId="42D4E818" w14:textId="6CFB97C6" w:rsidR="004455E2" w:rsidRPr="004455E2" w:rsidRDefault="00F31E79" w:rsidP="00F31E79">
      <w:pPr>
        <w:pStyle w:val="Heading1"/>
        <w:rPr>
          <w:lang w:val="ar-SA" w:bidi="ar-EG"/>
        </w:rPr>
      </w:pPr>
      <w:r>
        <w:t>6</w:t>
      </w:r>
      <w:r>
        <w:tab/>
      </w:r>
      <w:r w:rsidR="004455E2" w:rsidRPr="004455E2">
        <w:rPr>
          <w:rtl/>
        </w:rPr>
        <w:t>الاجتماعات</w:t>
      </w:r>
    </w:p>
    <w:p w14:paraId="7CD8C977" w14:textId="1138B091" w:rsidR="004455E2" w:rsidRPr="004455E2" w:rsidRDefault="004455E2" w:rsidP="004455E2">
      <w:pPr>
        <w:rPr>
          <w:lang w:val="ar-SA" w:bidi="ar-EG"/>
        </w:rPr>
      </w:pPr>
      <w:r w:rsidRPr="004455E2">
        <w:rPr>
          <w:rtl/>
        </w:rPr>
        <w:t>يباشر نشاط التنسيق المشترك المعني بتقييس الميتافيرس عمله إلكترونياً عن طريق المؤتمرات عن بُعد، وتنعقد اجتماعات حضورية ثلاث مرات في العام للنظر في المستجدات والتقارير الواردة من مختلف الأطراف المعنية أولاً بأول. وستُجرى الاجتماعات الحضورية عادةً بالتزامن مع اجتماعات لجان الدراسات المشاركة في نشاط التنسيق المشترك المعني بتقييس الميتافيرس. وستُعقد أي اجتماعات على النحو الذي يحدده نشاط التنسيق المشترك، وسيُبلَّغ المشاركون بها من خلال قائمة البريد الإلكتروني لنشاط التنسيق المشترك، وستُنشَر على الموقع الإلكتروني لقطاع تقييس الاتصالات بالاتحاد.</w:t>
      </w:r>
    </w:p>
    <w:p w14:paraId="23B5D7E3" w14:textId="30358B95" w:rsidR="004455E2" w:rsidRPr="004455E2" w:rsidRDefault="00F31E79" w:rsidP="00F31E79">
      <w:pPr>
        <w:pStyle w:val="Heading1"/>
        <w:rPr>
          <w:lang w:val="ar-SA" w:bidi="ar-EG"/>
        </w:rPr>
      </w:pPr>
      <w:r>
        <w:t>7</w:t>
      </w:r>
      <w:r>
        <w:tab/>
      </w:r>
      <w:r w:rsidR="004455E2" w:rsidRPr="004455E2">
        <w:rPr>
          <w:rtl/>
        </w:rPr>
        <w:t>لجنة الدراسات الرئيسية والتقارير المرحلية</w:t>
      </w:r>
    </w:p>
    <w:p w14:paraId="1227EA79" w14:textId="46DA718F" w:rsidR="004455E2" w:rsidRPr="004455E2" w:rsidRDefault="004455E2" w:rsidP="004455E2">
      <w:pPr>
        <w:rPr>
          <w:lang w:val="ar-SA" w:bidi="ar-EG"/>
        </w:rPr>
      </w:pPr>
      <w:r w:rsidRPr="004455E2">
        <w:rPr>
          <w:rtl/>
        </w:rPr>
        <w:t>يرفع نشاط التنسيق المشترك المعني بتقييس الميتافيرس تقارير عن أنشطته إلى الفريق الاستشاري لتقييس الاتصالات بصفته اللجنة الرئيسية في اجتماعاته. وسيُرسَل ملخص تنفيذي إلى الفريق الاستشاري بعد كل اجتماع لنشاط التنسيق المشترك. وستُرسل التقارير المرحلية والمقترحات إلى لجان الدراسات المعنية حسب اللزوم وفقاً للتوصية ITU-T A.18.</w:t>
      </w:r>
    </w:p>
    <w:p w14:paraId="205AD09E" w14:textId="1659AEE2" w:rsidR="004455E2" w:rsidRPr="004455E2" w:rsidRDefault="00F31E79" w:rsidP="00F31E79">
      <w:pPr>
        <w:pStyle w:val="Heading1"/>
        <w:rPr>
          <w:lang w:val="ar-SA" w:bidi="ar-EG"/>
        </w:rPr>
      </w:pPr>
      <w:r>
        <w:t>8</w:t>
      </w:r>
      <w:r>
        <w:tab/>
      </w:r>
      <w:r w:rsidR="004455E2" w:rsidRPr="004455E2">
        <w:rPr>
          <w:rtl/>
        </w:rPr>
        <w:t>فترة عمل نشاط التنسيق</w:t>
      </w:r>
    </w:p>
    <w:p w14:paraId="5701FAC3" w14:textId="77777777" w:rsidR="004455E2" w:rsidRPr="004455E2" w:rsidRDefault="004455E2" w:rsidP="004455E2">
      <w:pPr>
        <w:rPr>
          <w:lang w:val="ar-SA" w:bidi="ar-EG"/>
        </w:rPr>
      </w:pPr>
      <w:r w:rsidRPr="004455E2">
        <w:rPr>
          <w:rtl/>
        </w:rPr>
        <w:t>انظر التوصية ITU-T A.18</w:t>
      </w:r>
    </w:p>
    <w:p w14:paraId="01FE01FB" w14:textId="77777777" w:rsidR="004455E2" w:rsidRPr="004455E2" w:rsidRDefault="004455E2" w:rsidP="004455E2">
      <w:pPr>
        <w:rPr>
          <w:lang w:bidi="ar-EG"/>
        </w:rPr>
      </w:pPr>
      <w:r w:rsidRPr="004455E2">
        <w:rPr>
          <w:lang w:bidi="ar-EG"/>
        </w:rPr>
        <w:br w:type="page"/>
      </w:r>
    </w:p>
    <w:p w14:paraId="089EA652" w14:textId="77A173E0" w:rsidR="004455E2" w:rsidRPr="00F31E79" w:rsidRDefault="004455E2" w:rsidP="00F31E79">
      <w:pPr>
        <w:pStyle w:val="AnnexNo"/>
        <w:rPr>
          <w:b/>
          <w:bCs/>
          <w:rtl/>
          <w:lang w:val="ar-SA" w:bidi="ar-EG"/>
        </w:rPr>
      </w:pPr>
      <w:r w:rsidRPr="00F31E79">
        <w:rPr>
          <w:b/>
          <w:bCs/>
          <w:rtl/>
        </w:rPr>
        <w:lastRenderedPageBreak/>
        <w:t xml:space="preserve">الملحق </w:t>
      </w:r>
      <w:r w:rsidR="00F31E79" w:rsidRPr="00F31E79">
        <w:rPr>
          <w:b/>
          <w:bCs/>
        </w:rPr>
        <w:t>B</w:t>
      </w:r>
    </w:p>
    <w:p w14:paraId="67C33946" w14:textId="2AE776BF" w:rsidR="004455E2" w:rsidRPr="004455E2" w:rsidRDefault="004455E2" w:rsidP="00F31E79">
      <w:pPr>
        <w:pStyle w:val="Annextitle"/>
        <w:rPr>
          <w:lang w:val="ar-SA" w:bidi="ar-EG"/>
        </w:rPr>
      </w:pPr>
      <w:r w:rsidRPr="004455E2">
        <w:rPr>
          <w:rtl/>
        </w:rPr>
        <w:t>مشروع جدول أعمال الاجتماع الأول لنشاط التنسيق المشترك المعني بتقييس الميتافيرس</w:t>
      </w:r>
      <w:r w:rsidR="00F31E79">
        <w:rPr>
          <w:rtl/>
        </w:rPr>
        <w:br/>
      </w:r>
      <w:r w:rsidRPr="004455E2">
        <w:rPr>
          <w:rtl/>
        </w:rPr>
        <w:t>(جنيف، 9 أكتوبر 2025، من الساعة 11:15 إلى 13:15 بتوقيت وسط أوروبا الصيفي)</w:t>
      </w:r>
    </w:p>
    <w:p w14:paraId="0A73BDC2" w14:textId="632DEAA2" w:rsidR="004455E2" w:rsidRPr="004455E2" w:rsidRDefault="00F31E79" w:rsidP="00F31E79">
      <w:pPr>
        <w:pStyle w:val="enumlev1"/>
        <w:rPr>
          <w:lang w:val="ar-SA" w:bidi="ar-EG"/>
        </w:rPr>
      </w:pPr>
      <w:r>
        <w:rPr>
          <w:rFonts w:hint="cs"/>
          <w:rtl/>
        </w:rPr>
        <w:t>1</w:t>
      </w:r>
      <w:r>
        <w:rPr>
          <w:rtl/>
        </w:rPr>
        <w:tab/>
      </w:r>
      <w:r w:rsidR="004455E2" w:rsidRPr="004455E2">
        <w:rPr>
          <w:rtl/>
        </w:rPr>
        <w:t>افتتاح الاجتماع</w:t>
      </w:r>
    </w:p>
    <w:p w14:paraId="15437626" w14:textId="5549B0F0" w:rsidR="004455E2" w:rsidRPr="004455E2" w:rsidRDefault="00F31E79" w:rsidP="00F31E79">
      <w:pPr>
        <w:pStyle w:val="enumlev1"/>
        <w:rPr>
          <w:lang w:val="ar-SA" w:bidi="ar-EG"/>
        </w:rPr>
      </w:pPr>
      <w:r>
        <w:rPr>
          <w:rFonts w:hint="cs"/>
          <w:rtl/>
        </w:rPr>
        <w:t>2</w:t>
      </w:r>
      <w:r>
        <w:rPr>
          <w:rtl/>
        </w:rPr>
        <w:tab/>
      </w:r>
      <w:r w:rsidR="004455E2" w:rsidRPr="004455E2">
        <w:rPr>
          <w:rtl/>
        </w:rPr>
        <w:t>إقرار جدول الأعمال</w:t>
      </w:r>
    </w:p>
    <w:p w14:paraId="58184BE5" w14:textId="7872777C" w:rsidR="004455E2" w:rsidRPr="004455E2" w:rsidRDefault="00F31E79" w:rsidP="00F31E79">
      <w:pPr>
        <w:pStyle w:val="enumlev1"/>
        <w:rPr>
          <w:lang w:val="ar-SA" w:bidi="ar-EG"/>
        </w:rPr>
      </w:pPr>
      <w:r>
        <w:rPr>
          <w:rFonts w:hint="cs"/>
          <w:rtl/>
        </w:rPr>
        <w:t>3</w:t>
      </w:r>
      <w:r>
        <w:rPr>
          <w:rtl/>
        </w:rPr>
        <w:tab/>
      </w:r>
      <w:r w:rsidR="004455E2" w:rsidRPr="004455E2">
        <w:rPr>
          <w:rtl/>
        </w:rPr>
        <w:t xml:space="preserve">استعراض أساليب عمل نشاط التنسيق المشترك المعني بتقييس الميتافيرس، بما في ذلك وثائق الاجتماع </w:t>
      </w:r>
      <w:r w:rsidRPr="005B52A7">
        <w:rPr>
          <w:bCs/>
          <w:i/>
          <w:iCs/>
          <w:szCs w:val="24"/>
        </w:rPr>
        <w:t>[</w:t>
      </w:r>
      <w:hyperlink r:id="rId29" w:history="1">
        <w:r w:rsidRPr="005B52A7">
          <w:rPr>
            <w:rStyle w:val="Hyperlink"/>
            <w:bCs/>
            <w:i/>
            <w:iCs/>
            <w:szCs w:val="24"/>
          </w:rPr>
          <w:t>https://www.itu.int/ifa/t/sftp/jcamv/</w:t>
        </w:r>
      </w:hyperlink>
      <w:r w:rsidRPr="005B52A7">
        <w:rPr>
          <w:bCs/>
          <w:i/>
          <w:iCs/>
          <w:szCs w:val="24"/>
        </w:rPr>
        <w:t>]</w:t>
      </w:r>
      <w:r w:rsidR="004455E2" w:rsidRPr="004455E2">
        <w:rPr>
          <w:rtl/>
        </w:rPr>
        <w:t xml:space="preserve"> وتفاصيل المشاركة عن بُعد</w:t>
      </w:r>
      <w:hyperlink r:id="rId30" w:history="1"/>
    </w:p>
    <w:p w14:paraId="372483F5" w14:textId="4571C686" w:rsidR="004455E2" w:rsidRPr="004455E2" w:rsidRDefault="00F31E79" w:rsidP="00F31E79">
      <w:pPr>
        <w:pStyle w:val="enumlev1"/>
        <w:rPr>
          <w:lang w:val="ar-SA" w:bidi="ar-EG"/>
        </w:rPr>
      </w:pPr>
      <w:r>
        <w:rPr>
          <w:rFonts w:hint="cs"/>
          <w:rtl/>
        </w:rPr>
        <w:t>4</w:t>
      </w:r>
      <w:r>
        <w:rPr>
          <w:rtl/>
        </w:rPr>
        <w:tab/>
      </w:r>
      <w:r w:rsidR="004455E2" w:rsidRPr="004455E2">
        <w:rPr>
          <w:rtl/>
        </w:rPr>
        <w:t>استعراض نتائج اجتماع الفريق الاستشاري لتقييس الاتصالات بشأن إنشاء نشاط التنسيق المشترك المعني بتقييس الميتافيرس، بما في ذلك تعريف "الميتافيرس"</w:t>
      </w:r>
    </w:p>
    <w:p w14:paraId="0EE719D6" w14:textId="1B2C9220" w:rsidR="004455E2" w:rsidRPr="004455E2" w:rsidRDefault="00F31E79" w:rsidP="00F31E79">
      <w:pPr>
        <w:pStyle w:val="enumlev1"/>
        <w:rPr>
          <w:lang w:val="ar-SA" w:bidi="ar-EG"/>
        </w:rPr>
      </w:pPr>
      <w:r>
        <w:rPr>
          <w:rFonts w:hint="cs"/>
          <w:rtl/>
        </w:rPr>
        <w:t>5</w:t>
      </w:r>
      <w:r>
        <w:rPr>
          <w:rtl/>
        </w:rPr>
        <w:tab/>
      </w:r>
      <w:r w:rsidR="004455E2" w:rsidRPr="004455E2">
        <w:rPr>
          <w:rtl/>
        </w:rPr>
        <w:t>استعراض اختصاصات نشاط التنسيق المشترك المعني بتقييس الميتافيرس</w:t>
      </w:r>
    </w:p>
    <w:p w14:paraId="52D6D353" w14:textId="37F41AC0" w:rsidR="004455E2" w:rsidRPr="004455E2" w:rsidRDefault="00F31E79" w:rsidP="00F31E79">
      <w:pPr>
        <w:pStyle w:val="enumlev1"/>
        <w:rPr>
          <w:lang w:val="ar-SA" w:bidi="ar-EG"/>
        </w:rPr>
      </w:pPr>
      <w:r>
        <w:rPr>
          <w:rFonts w:hint="cs"/>
          <w:rtl/>
        </w:rPr>
        <w:t>6</w:t>
      </w:r>
      <w:r>
        <w:rPr>
          <w:rtl/>
        </w:rPr>
        <w:tab/>
      </w:r>
      <w:r w:rsidR="004455E2" w:rsidRPr="004455E2">
        <w:rPr>
          <w:rtl/>
        </w:rPr>
        <w:t>بيانات الاتصال الواردة</w:t>
      </w:r>
    </w:p>
    <w:p w14:paraId="1675F3EB" w14:textId="5A5ECA1B" w:rsidR="004455E2" w:rsidRPr="004455E2" w:rsidRDefault="00F31E79" w:rsidP="00F31E79">
      <w:pPr>
        <w:pStyle w:val="enumlev1"/>
        <w:rPr>
          <w:lang w:val="ar-SA" w:bidi="ar-EG"/>
        </w:rPr>
      </w:pPr>
      <w:r>
        <w:rPr>
          <w:rFonts w:hint="cs"/>
          <w:rtl/>
        </w:rPr>
        <w:t>7</w:t>
      </w:r>
      <w:r>
        <w:rPr>
          <w:rtl/>
        </w:rPr>
        <w:tab/>
      </w:r>
      <w:r w:rsidR="004455E2" w:rsidRPr="004455E2">
        <w:rPr>
          <w:rtl/>
        </w:rPr>
        <w:t>استعراض جهود التقييس المبذولة بلجان الدراسات في قطاع تقييس الاتصالات بالاتحاد، وغيرها من المنظمات والمنتديات المعنية بوضع المعايير</w:t>
      </w:r>
    </w:p>
    <w:p w14:paraId="461B2CE7" w14:textId="729B67EF" w:rsidR="004455E2" w:rsidRPr="004455E2" w:rsidRDefault="00F31E79" w:rsidP="00F31E79">
      <w:pPr>
        <w:pStyle w:val="enumlev1"/>
        <w:rPr>
          <w:lang w:val="ar-SA" w:bidi="ar-EG"/>
        </w:rPr>
      </w:pPr>
      <w:r>
        <w:rPr>
          <w:rFonts w:hint="cs"/>
          <w:rtl/>
        </w:rPr>
        <w:t>8</w:t>
      </w:r>
      <w:r>
        <w:rPr>
          <w:rtl/>
        </w:rPr>
        <w:tab/>
      </w:r>
      <w:r w:rsidR="004455E2" w:rsidRPr="004455E2">
        <w:rPr>
          <w:rtl/>
        </w:rPr>
        <w:t>استعراض الوثائق المقدمة للمساهمة في اجتماع نشاط التنسيق المشترك المعني بتقييس الميتافيرس</w:t>
      </w:r>
    </w:p>
    <w:p w14:paraId="1B966C0B" w14:textId="499CB8C6" w:rsidR="004455E2" w:rsidRPr="004455E2" w:rsidRDefault="00F31E79" w:rsidP="00F31E79">
      <w:pPr>
        <w:pStyle w:val="enumlev1"/>
        <w:rPr>
          <w:lang w:val="ar-SA" w:bidi="ar-EG"/>
        </w:rPr>
      </w:pPr>
      <w:r>
        <w:rPr>
          <w:rFonts w:hint="cs"/>
          <w:rtl/>
        </w:rPr>
        <w:t>9</w:t>
      </w:r>
      <w:r>
        <w:rPr>
          <w:rtl/>
        </w:rPr>
        <w:tab/>
      </w:r>
      <w:r w:rsidR="004455E2" w:rsidRPr="004455E2">
        <w:rPr>
          <w:rtl/>
        </w:rPr>
        <w:t>مناقشة المسائل اللازم تنسيقها</w:t>
      </w:r>
    </w:p>
    <w:p w14:paraId="74BB9877" w14:textId="017C439B" w:rsidR="004455E2" w:rsidRPr="004455E2" w:rsidRDefault="00F31E79" w:rsidP="00F31E79">
      <w:pPr>
        <w:pStyle w:val="enumlev1"/>
        <w:rPr>
          <w:lang w:val="ar-SA" w:bidi="ar-EG"/>
        </w:rPr>
      </w:pPr>
      <w:r>
        <w:rPr>
          <w:rFonts w:hint="cs"/>
          <w:rtl/>
        </w:rPr>
        <w:t>10</w:t>
      </w:r>
      <w:r>
        <w:rPr>
          <w:rtl/>
        </w:rPr>
        <w:tab/>
      </w:r>
      <w:r w:rsidR="004455E2" w:rsidRPr="004455E2">
        <w:rPr>
          <w:rtl/>
        </w:rPr>
        <w:t>تعيين ممثلي الاتصال لنشاط التنسيق المشترك المعني بتقييس الميتافيرس</w:t>
      </w:r>
    </w:p>
    <w:p w14:paraId="5BD50F74" w14:textId="6DCF5BBF" w:rsidR="004455E2" w:rsidRPr="004455E2" w:rsidRDefault="00F31E79" w:rsidP="00F31E79">
      <w:pPr>
        <w:pStyle w:val="enumlev1"/>
        <w:rPr>
          <w:lang w:val="ar-SA" w:bidi="ar-EG"/>
        </w:rPr>
      </w:pPr>
      <w:r>
        <w:rPr>
          <w:rFonts w:hint="cs"/>
          <w:rtl/>
        </w:rPr>
        <w:t>11</w:t>
      </w:r>
      <w:r>
        <w:rPr>
          <w:rtl/>
        </w:rPr>
        <w:tab/>
      </w:r>
      <w:r w:rsidR="004455E2" w:rsidRPr="004455E2">
        <w:rPr>
          <w:rtl/>
        </w:rPr>
        <w:t>الموافقة على بيانات الاتصال الصادرة</w:t>
      </w:r>
    </w:p>
    <w:p w14:paraId="17BEC9A8" w14:textId="6393B441" w:rsidR="004455E2" w:rsidRPr="004455E2" w:rsidRDefault="00F31E79" w:rsidP="00F31E79">
      <w:pPr>
        <w:pStyle w:val="enumlev1"/>
        <w:rPr>
          <w:lang w:val="ar-SA" w:bidi="ar-EG"/>
        </w:rPr>
      </w:pPr>
      <w:r>
        <w:rPr>
          <w:rFonts w:hint="cs"/>
          <w:rtl/>
        </w:rPr>
        <w:t>12</w:t>
      </w:r>
      <w:r>
        <w:rPr>
          <w:rtl/>
        </w:rPr>
        <w:tab/>
      </w:r>
      <w:r w:rsidR="004455E2" w:rsidRPr="004455E2">
        <w:rPr>
          <w:rtl/>
        </w:rPr>
        <w:t>الاجتماعات المقبلة</w:t>
      </w:r>
    </w:p>
    <w:p w14:paraId="0D4AF6D2" w14:textId="33F541C7" w:rsidR="004455E2" w:rsidRPr="004455E2" w:rsidRDefault="00F31E79" w:rsidP="00F31E79">
      <w:pPr>
        <w:pStyle w:val="enumlev1"/>
        <w:rPr>
          <w:lang w:val="ar-SA" w:bidi="ar-EG"/>
        </w:rPr>
      </w:pPr>
      <w:r>
        <w:rPr>
          <w:rFonts w:hint="cs"/>
          <w:rtl/>
        </w:rPr>
        <w:t>13</w:t>
      </w:r>
      <w:r>
        <w:rPr>
          <w:rtl/>
        </w:rPr>
        <w:tab/>
      </w:r>
      <w:r w:rsidR="004455E2" w:rsidRPr="004455E2">
        <w:rPr>
          <w:rtl/>
        </w:rPr>
        <w:t>ما يستجد من أعمال</w:t>
      </w:r>
    </w:p>
    <w:p w14:paraId="0FEB8007" w14:textId="54D4CB96" w:rsidR="004455E2" w:rsidRPr="004455E2" w:rsidRDefault="00F31E79" w:rsidP="00F31E79">
      <w:pPr>
        <w:pStyle w:val="enumlev1"/>
        <w:rPr>
          <w:lang w:val="ar-SA" w:bidi="ar-EG"/>
        </w:rPr>
      </w:pPr>
      <w:r>
        <w:rPr>
          <w:rFonts w:hint="cs"/>
          <w:rtl/>
        </w:rPr>
        <w:t>14</w:t>
      </w:r>
      <w:r>
        <w:rPr>
          <w:rtl/>
        </w:rPr>
        <w:tab/>
      </w:r>
      <w:r w:rsidR="004455E2" w:rsidRPr="004455E2">
        <w:rPr>
          <w:rtl/>
        </w:rPr>
        <w:t>الخطوات التالية</w:t>
      </w:r>
    </w:p>
    <w:p w14:paraId="589B46B0" w14:textId="23BDFBA5" w:rsidR="004455E2" w:rsidRPr="004455E2" w:rsidRDefault="00F31E79" w:rsidP="00F31E79">
      <w:pPr>
        <w:pStyle w:val="enumlev1"/>
        <w:rPr>
          <w:lang w:val="ar-SA" w:bidi="ar-EG"/>
        </w:rPr>
      </w:pPr>
      <w:r>
        <w:rPr>
          <w:rFonts w:hint="cs"/>
          <w:rtl/>
        </w:rPr>
        <w:t>15</w:t>
      </w:r>
      <w:r>
        <w:rPr>
          <w:rtl/>
        </w:rPr>
        <w:tab/>
      </w:r>
      <w:r w:rsidR="004455E2" w:rsidRPr="004455E2">
        <w:rPr>
          <w:rtl/>
        </w:rPr>
        <w:t>اختتام الاجتماع</w:t>
      </w:r>
    </w:p>
    <w:p w14:paraId="34432109" w14:textId="77777777" w:rsidR="00DD6915" w:rsidRDefault="00DD6915" w:rsidP="00DD6915">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DD6915" w:rsidSect="006C3242">
      <w:head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052C" w14:textId="77777777" w:rsidR="004455E2" w:rsidRDefault="004455E2" w:rsidP="006C3242">
      <w:pPr>
        <w:spacing w:before="0" w:line="240" w:lineRule="auto"/>
      </w:pPr>
      <w:r>
        <w:separator/>
      </w:r>
    </w:p>
  </w:endnote>
  <w:endnote w:type="continuationSeparator" w:id="0">
    <w:p w14:paraId="6926E4D7" w14:textId="77777777" w:rsidR="004455E2" w:rsidRDefault="004455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82D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4BA4" w14:textId="77777777" w:rsidR="004455E2" w:rsidRDefault="004455E2" w:rsidP="006C3242">
      <w:pPr>
        <w:spacing w:before="0" w:line="240" w:lineRule="auto"/>
      </w:pPr>
      <w:r>
        <w:separator/>
      </w:r>
    </w:p>
  </w:footnote>
  <w:footnote w:type="continuationSeparator" w:id="0">
    <w:p w14:paraId="50D55FE9" w14:textId="77777777" w:rsidR="004455E2" w:rsidRDefault="004455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6083" w14:textId="6DA995B0" w:rsidR="00447F32" w:rsidRPr="00596808" w:rsidRDefault="00596808" w:rsidP="004455E2">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455E2" w:rsidRPr="004455E2">
      <w:rPr>
        <w:sz w:val="20"/>
        <w:szCs w:val="20"/>
        <w:lang w:val="en-GB" w:bidi="ar-EG"/>
      </w:rPr>
      <w:t>TSB Circular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6C305F"/>
    <w:multiLevelType w:val="multilevel"/>
    <w:tmpl w:val="15D60C66"/>
    <w:lvl w:ilvl="0">
      <w:start w:val="1"/>
      <w:numFmt w:val="decimal"/>
      <w:lvlText w:val="%1"/>
      <w:lvlJc w:val="left"/>
      <w:pPr>
        <w:tabs>
          <w:tab w:val="num" w:pos="425"/>
        </w:tabs>
        <w:ind w:left="425" w:hanging="425"/>
      </w:pPr>
      <w:rPr>
        <w:rFonts w:asciiTheme="minorHAnsi" w:hAnsiTheme="minorHAnsi" w:cstheme="minorHAnsi" w:hint="default"/>
        <w:b w:val="0"/>
        <w:bCs/>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1125857340">
    <w:abstractNumId w:val="11"/>
    <w:lvlOverride w:ilvl="0">
      <w:lvl w:ilvl="0">
        <w:start w:val="1"/>
        <w:numFmt w:val="decimal"/>
        <w:lvlText w:val="%1"/>
        <w:lvlJc w:val="left"/>
        <w:pPr>
          <w:tabs>
            <w:tab w:val="num" w:pos="425"/>
          </w:tabs>
          <w:ind w:left="425" w:hanging="425"/>
        </w:pPr>
        <w:rPr>
          <w:rFonts w:asciiTheme="minorHAnsi" w:hAnsiTheme="minorHAnsi" w:cstheme="minorHAnsi" w:hint="default"/>
          <w:b w:val="0"/>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E2"/>
    <w:rsid w:val="00002A63"/>
    <w:rsid w:val="0006468A"/>
    <w:rsid w:val="00090574"/>
    <w:rsid w:val="000C1C0E"/>
    <w:rsid w:val="000C548A"/>
    <w:rsid w:val="000D3B24"/>
    <w:rsid w:val="000E327F"/>
    <w:rsid w:val="00146FE2"/>
    <w:rsid w:val="001C0169"/>
    <w:rsid w:val="001D1D50"/>
    <w:rsid w:val="001D6745"/>
    <w:rsid w:val="001E2788"/>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55E2"/>
    <w:rsid w:val="00447F32"/>
    <w:rsid w:val="004E11DC"/>
    <w:rsid w:val="00525DDD"/>
    <w:rsid w:val="005409AC"/>
    <w:rsid w:val="0055516A"/>
    <w:rsid w:val="005731DD"/>
    <w:rsid w:val="0058491B"/>
    <w:rsid w:val="00592EA5"/>
    <w:rsid w:val="00595B52"/>
    <w:rsid w:val="00596808"/>
    <w:rsid w:val="005A3170"/>
    <w:rsid w:val="006019C6"/>
    <w:rsid w:val="006635B2"/>
    <w:rsid w:val="00677396"/>
    <w:rsid w:val="0069200F"/>
    <w:rsid w:val="006A65CB"/>
    <w:rsid w:val="006C1530"/>
    <w:rsid w:val="006C3242"/>
    <w:rsid w:val="006C7CC0"/>
    <w:rsid w:val="006E1BAD"/>
    <w:rsid w:val="006E6264"/>
    <w:rsid w:val="006F63F7"/>
    <w:rsid w:val="007025C7"/>
    <w:rsid w:val="00706D7A"/>
    <w:rsid w:val="007139D8"/>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1702E"/>
    <w:rsid w:val="00923B0C"/>
    <w:rsid w:val="00926F44"/>
    <w:rsid w:val="0094021C"/>
    <w:rsid w:val="0094432F"/>
    <w:rsid w:val="00952F86"/>
    <w:rsid w:val="00982B28"/>
    <w:rsid w:val="009D313F"/>
    <w:rsid w:val="009F17C2"/>
    <w:rsid w:val="00A145E7"/>
    <w:rsid w:val="00A31D57"/>
    <w:rsid w:val="00A47A5A"/>
    <w:rsid w:val="00A64FBE"/>
    <w:rsid w:val="00A6683B"/>
    <w:rsid w:val="00A77C90"/>
    <w:rsid w:val="00A9156F"/>
    <w:rsid w:val="00A97F94"/>
    <w:rsid w:val="00AA7EA2"/>
    <w:rsid w:val="00AB0BC9"/>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D6915"/>
    <w:rsid w:val="00DF16DC"/>
    <w:rsid w:val="00E45211"/>
    <w:rsid w:val="00E473C5"/>
    <w:rsid w:val="00E84438"/>
    <w:rsid w:val="00E92863"/>
    <w:rsid w:val="00EA7AF3"/>
    <w:rsid w:val="00EB796D"/>
    <w:rsid w:val="00F058DC"/>
    <w:rsid w:val="00F24FC4"/>
    <w:rsid w:val="00F2676C"/>
    <w:rsid w:val="00F31E79"/>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5784"/>
  <w15:chartTrackingRefBased/>
  <w15:docId w15:val="{240B2263-E830-4534-9412-02B064D2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2"/>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4455E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SimSun" w:hAnsi="Calibr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21/Pages/default.aspx" TargetMode="External"/><Relationship Id="rId18" Type="http://schemas.openxmlformats.org/officeDocument/2006/relationships/hyperlink" Target="http://itu.int/en/ITU-T/jca/mv" TargetMode="External"/><Relationship Id="rId26" Type="http://schemas.openxmlformats.org/officeDocument/2006/relationships/hyperlink" Target="http://itu.int/en/ITU-T/jca/mv" TargetMode="External"/><Relationship Id="rId3" Type="http://schemas.openxmlformats.org/officeDocument/2006/relationships/styles" Target="styles.xml"/><Relationship Id="rId21" Type="http://schemas.openxmlformats.org/officeDocument/2006/relationships/hyperlink" Target="mailto:tsbjcamv@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en/ITU-T/jca/mv" TargetMode="External"/><Relationship Id="rId17" Type="http://schemas.openxmlformats.org/officeDocument/2006/relationships/hyperlink" Target="http://itu.int/en/ITU-T/jca/mv" TargetMode="External"/><Relationship Id="rId25" Type="http://schemas.openxmlformats.org/officeDocument/2006/relationships/hyperlink" Target="http://itu.int/en/ITU-T/jca/qkd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jcamv@itu.int" TargetMode="External"/><Relationship Id="rId20" Type="http://schemas.openxmlformats.org/officeDocument/2006/relationships/hyperlink" Target="http://itu.int/en/ITU-T/jca/mv" TargetMode="External"/><Relationship Id="rId29" Type="http://schemas.openxmlformats.org/officeDocument/2006/relationships/hyperlink" Target="https://www.itu.int/ifa/t/sftp/jca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21/Pages/default.aspx" TargetMode="External"/><Relationship Id="rId24" Type="http://schemas.openxmlformats.org/officeDocument/2006/relationships/hyperlink" Target="http://itu.int/en/ITU-T/jca/m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jcamv@itu.int" TargetMode="External"/><Relationship Id="rId23" Type="http://schemas.openxmlformats.org/officeDocument/2006/relationships/hyperlink" Target="mailto:tsbjcamv@itu.int" TargetMode="External"/><Relationship Id="rId28" Type="http://schemas.openxmlformats.org/officeDocument/2006/relationships/image" Target="media/image3.png"/><Relationship Id="rId10" Type="http://schemas.openxmlformats.org/officeDocument/2006/relationships/hyperlink" Target="http://itu.int/en/ITU-T/jca/mv" TargetMode="External"/><Relationship Id="rId19" Type="http://schemas.openxmlformats.org/officeDocument/2006/relationships/hyperlink" Target="http://itu.int/en/ITU-T/jca/m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jcamv@itu.int" TargetMode="External"/><Relationship Id="rId14" Type="http://schemas.openxmlformats.org/officeDocument/2006/relationships/hyperlink" Target="http://itu.int/en/ITU-T/jca/mv" TargetMode="External"/><Relationship Id="rId22" Type="http://schemas.openxmlformats.org/officeDocument/2006/relationships/hyperlink" Target="http://itu.int/en/ITU-T/jca/mv" TargetMode="External"/><Relationship Id="rId27" Type="http://schemas.openxmlformats.org/officeDocument/2006/relationships/image" Target="media/image2.png"/><Relationship Id="rId30" Type="http://schemas.openxmlformats.org/officeDocument/2006/relationships/hyperlink" Target="https://www.itu.int/ifa/t/sftp/jcamv/"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19</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Braud, Olivia</cp:lastModifiedBy>
  <cp:revision>4</cp:revision>
  <cp:lastPrinted>2025-07-18T14:23:00Z</cp:lastPrinted>
  <dcterms:created xsi:type="dcterms:W3CDTF">2025-07-07T08:40:00Z</dcterms:created>
  <dcterms:modified xsi:type="dcterms:W3CDTF">2025-07-18T14:24:00Z</dcterms:modified>
</cp:coreProperties>
</file>