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260"/>
        <w:gridCol w:w="16"/>
        <w:gridCol w:w="3240"/>
        <w:gridCol w:w="3281"/>
        <w:gridCol w:w="1984"/>
      </w:tblGrid>
      <w:tr w:rsidR="00FA46A0" w:rsidRPr="00D33C15" w14:paraId="254945A5" w14:textId="77777777" w:rsidTr="3A29DA54">
        <w:trPr>
          <w:trHeight w:val="1282"/>
        </w:trPr>
        <w:tc>
          <w:tcPr>
            <w:tcW w:w="1276" w:type="dxa"/>
            <w:gridSpan w:val="2"/>
            <w:shd w:val="clear" w:color="auto" w:fill="auto"/>
            <w:tcMar>
              <w:left w:w="0" w:type="dxa"/>
              <w:right w:w="0" w:type="dxa"/>
            </w:tcMar>
            <w:vAlign w:val="center"/>
          </w:tcPr>
          <w:p w14:paraId="29EA04C3" w14:textId="77777777" w:rsidR="00FA46A0" w:rsidRPr="00D33C15" w:rsidRDefault="009747C5">
            <w:pPr>
              <w:pStyle w:val="Tabletext"/>
              <w:jc w:val="center"/>
              <w:rPr>
                <w:noProof/>
              </w:rPr>
            </w:pPr>
            <w:r w:rsidRPr="00D33C15">
              <w:rPr>
                <w:noProof/>
                <w:lang w:eastAsia="zh-CN"/>
              </w:rPr>
              <w:drawing>
                <wp:inline distT="0" distB="0" distL="0" distR="0" wp14:anchorId="40073A62" wp14:editId="7057A122">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11C5723A" w14:textId="77777777" w:rsidR="00FA46A0" w:rsidRPr="00D33C15" w:rsidRDefault="00B61012">
            <w:pPr>
              <w:spacing w:before="0"/>
              <w:rPr>
                <w:rFonts w:cs="Times New Roman Bold"/>
                <w:b/>
                <w:bCs/>
                <w:smallCaps/>
                <w:noProof/>
                <w:sz w:val="26"/>
                <w:szCs w:val="26"/>
              </w:rPr>
            </w:pPr>
            <w:r w:rsidRPr="00D33C15">
              <w:rPr>
                <w:rFonts w:cs="Times New Roman Bold"/>
                <w:b/>
                <w:bCs/>
                <w:smallCaps/>
                <w:noProof/>
                <w:sz w:val="36"/>
                <w:szCs w:val="36"/>
              </w:rPr>
              <w:t>International telecommunication union</w:t>
            </w:r>
          </w:p>
          <w:p w14:paraId="5EBBD630" w14:textId="77777777" w:rsidR="00FA46A0" w:rsidRPr="00D33C15" w:rsidRDefault="00B61012">
            <w:pPr>
              <w:spacing w:before="0"/>
              <w:rPr>
                <w:rFonts w:ascii="Verdana" w:hAnsi="Verdana"/>
                <w:noProof/>
                <w:color w:val="FFFFFF"/>
                <w:sz w:val="26"/>
                <w:szCs w:val="26"/>
              </w:rPr>
            </w:pPr>
            <w:r w:rsidRPr="00D33C15">
              <w:rPr>
                <w:rFonts w:cs="Times New Roman Bold"/>
                <w:b/>
                <w:bCs/>
                <w:iCs/>
                <w:smallCaps/>
                <w:noProof/>
                <w:sz w:val="28"/>
                <w:szCs w:val="28"/>
              </w:rPr>
              <w:t>Telecommunication Standardization Bureau</w:t>
            </w:r>
          </w:p>
        </w:tc>
        <w:tc>
          <w:tcPr>
            <w:tcW w:w="1984" w:type="dxa"/>
            <w:shd w:val="clear" w:color="auto" w:fill="auto"/>
            <w:vAlign w:val="center"/>
          </w:tcPr>
          <w:p w14:paraId="6714D557" w14:textId="77777777" w:rsidR="00FA46A0" w:rsidRPr="00D33C15" w:rsidRDefault="00FA46A0">
            <w:pPr>
              <w:spacing w:before="0"/>
              <w:jc w:val="right"/>
              <w:rPr>
                <w:rFonts w:ascii="Verdana" w:hAnsi="Verdana"/>
                <w:noProof/>
                <w:color w:val="FFFFFF"/>
                <w:sz w:val="26"/>
                <w:szCs w:val="26"/>
              </w:rPr>
            </w:pPr>
          </w:p>
        </w:tc>
      </w:tr>
      <w:tr w:rsidR="00FA46A0" w:rsidRPr="00D33C15" w14:paraId="44CFA512" w14:textId="77777777" w:rsidTr="3A29DA54">
        <w:trPr>
          <w:cantSplit/>
          <w:trHeight w:val="80"/>
        </w:trPr>
        <w:tc>
          <w:tcPr>
            <w:tcW w:w="4516" w:type="dxa"/>
            <w:gridSpan w:val="3"/>
            <w:vAlign w:val="center"/>
          </w:tcPr>
          <w:p w14:paraId="07019905" w14:textId="77777777" w:rsidR="00FA46A0" w:rsidRPr="00D33C15" w:rsidRDefault="00FA46A0">
            <w:pPr>
              <w:pStyle w:val="Tabletext"/>
              <w:jc w:val="right"/>
              <w:rPr>
                <w:noProof/>
              </w:rPr>
            </w:pPr>
          </w:p>
        </w:tc>
        <w:tc>
          <w:tcPr>
            <w:tcW w:w="5265" w:type="dxa"/>
            <w:gridSpan w:val="2"/>
            <w:vAlign w:val="center"/>
          </w:tcPr>
          <w:p w14:paraId="635812A1" w14:textId="3200A923" w:rsidR="00FA46A0" w:rsidRPr="0063667E" w:rsidRDefault="5CC5C160" w:rsidP="3A29DA54">
            <w:pPr>
              <w:pStyle w:val="Tabletext"/>
              <w:spacing w:before="240" w:after="120"/>
              <w:ind w:left="-90" w:firstLine="90"/>
              <w:rPr>
                <w:noProof/>
                <w:sz w:val="22"/>
                <w:szCs w:val="22"/>
              </w:rPr>
            </w:pPr>
            <w:r w:rsidRPr="3A29DA54">
              <w:rPr>
                <w:noProof/>
                <w:sz w:val="22"/>
                <w:szCs w:val="22"/>
              </w:rPr>
              <w:t xml:space="preserve">Geneva, </w:t>
            </w:r>
            <w:r w:rsidR="398F78D5" w:rsidRPr="3A29DA54">
              <w:rPr>
                <w:noProof/>
                <w:sz w:val="22"/>
                <w:szCs w:val="22"/>
              </w:rPr>
              <w:t>2</w:t>
            </w:r>
            <w:r w:rsidR="00D406CB">
              <w:rPr>
                <w:noProof/>
                <w:sz w:val="22"/>
                <w:szCs w:val="22"/>
              </w:rPr>
              <w:t>9</w:t>
            </w:r>
            <w:r w:rsidR="398F78D5" w:rsidRPr="3A29DA54">
              <w:rPr>
                <w:noProof/>
                <w:sz w:val="22"/>
                <w:szCs w:val="22"/>
              </w:rPr>
              <w:t xml:space="preserve"> May </w:t>
            </w:r>
            <w:r w:rsidR="048D82D9" w:rsidRPr="3A29DA54">
              <w:rPr>
                <w:noProof/>
                <w:sz w:val="22"/>
                <w:szCs w:val="22"/>
              </w:rPr>
              <w:t>20</w:t>
            </w:r>
            <w:r w:rsidR="3CEFBE5D" w:rsidRPr="3A29DA54">
              <w:rPr>
                <w:noProof/>
                <w:sz w:val="22"/>
                <w:szCs w:val="22"/>
              </w:rPr>
              <w:t>2</w:t>
            </w:r>
            <w:r w:rsidR="6D41F52B" w:rsidRPr="3A29DA54">
              <w:rPr>
                <w:noProof/>
                <w:sz w:val="22"/>
                <w:szCs w:val="22"/>
              </w:rPr>
              <w:t>5</w:t>
            </w:r>
          </w:p>
        </w:tc>
      </w:tr>
      <w:tr w:rsidR="005A2667" w:rsidRPr="00170A94" w14:paraId="078A4B0C" w14:textId="77777777" w:rsidTr="005A2667">
        <w:trPr>
          <w:cantSplit/>
          <w:trHeight w:val="746"/>
        </w:trPr>
        <w:tc>
          <w:tcPr>
            <w:tcW w:w="1260" w:type="dxa"/>
          </w:tcPr>
          <w:p w14:paraId="6CFC83AB" w14:textId="77777777" w:rsidR="005A2667" w:rsidRPr="008431B9" w:rsidRDefault="005A2667" w:rsidP="005A2667">
            <w:pPr>
              <w:pStyle w:val="Tabletext"/>
              <w:ind w:left="-110"/>
              <w:rPr>
                <w:noProof/>
                <w:sz w:val="22"/>
                <w:szCs w:val="22"/>
              </w:rPr>
            </w:pPr>
            <w:r w:rsidRPr="005A2667">
              <w:rPr>
                <w:b/>
                <w:bCs/>
                <w:noProof/>
                <w:sz w:val="22"/>
                <w:szCs w:val="22"/>
              </w:rPr>
              <w:t>Ref</w:t>
            </w:r>
            <w:r w:rsidRPr="008431B9">
              <w:rPr>
                <w:noProof/>
                <w:sz w:val="22"/>
                <w:szCs w:val="22"/>
              </w:rPr>
              <w:t>:</w:t>
            </w:r>
          </w:p>
          <w:p w14:paraId="2E54390C" w14:textId="77777777" w:rsidR="005A2667" w:rsidRPr="008431B9" w:rsidRDefault="005A2667" w:rsidP="005A2667">
            <w:pPr>
              <w:pStyle w:val="Tabletext"/>
              <w:ind w:left="-110"/>
              <w:rPr>
                <w:noProof/>
                <w:sz w:val="22"/>
                <w:szCs w:val="22"/>
              </w:rPr>
            </w:pPr>
          </w:p>
          <w:p w14:paraId="701D59FF" w14:textId="77777777" w:rsidR="005A2667" w:rsidRPr="008431B9" w:rsidRDefault="005A2667" w:rsidP="005A2667">
            <w:pPr>
              <w:pStyle w:val="Tabletext"/>
              <w:ind w:left="-110"/>
              <w:rPr>
                <w:noProof/>
                <w:sz w:val="22"/>
                <w:szCs w:val="22"/>
              </w:rPr>
            </w:pPr>
            <w:r w:rsidRPr="008431B9">
              <w:rPr>
                <w:noProof/>
                <w:sz w:val="22"/>
                <w:szCs w:val="22"/>
              </w:rPr>
              <w:br/>
              <w:t>Contact</w:t>
            </w:r>
          </w:p>
        </w:tc>
        <w:tc>
          <w:tcPr>
            <w:tcW w:w="3256" w:type="dxa"/>
            <w:gridSpan w:val="2"/>
          </w:tcPr>
          <w:p w14:paraId="3A003A83" w14:textId="77777777" w:rsidR="00C362DC" w:rsidRDefault="005A2667" w:rsidP="00C362DC">
            <w:pPr>
              <w:pStyle w:val="Tabletext"/>
              <w:rPr>
                <w:bCs/>
                <w:noProof/>
                <w:sz w:val="22"/>
                <w:szCs w:val="22"/>
                <w:lang w:val="pt-BR"/>
              </w:rPr>
            </w:pPr>
            <w:r w:rsidRPr="328A441A">
              <w:rPr>
                <w:b/>
                <w:bCs/>
                <w:noProof/>
                <w:sz w:val="22"/>
                <w:szCs w:val="22"/>
                <w:lang w:val="pt-BR"/>
              </w:rPr>
              <w:t xml:space="preserve">TSB Circular </w:t>
            </w:r>
            <w:r>
              <w:rPr>
                <w:b/>
                <w:bCs/>
                <w:noProof/>
                <w:sz w:val="22"/>
                <w:szCs w:val="22"/>
                <w:lang w:val="pt-BR"/>
              </w:rPr>
              <w:t>56</w:t>
            </w:r>
            <w:r>
              <w:br/>
            </w:r>
            <w:r w:rsidRPr="328A441A">
              <w:rPr>
                <w:noProof/>
                <w:sz w:val="22"/>
                <w:szCs w:val="22"/>
                <w:lang w:val="pt-BR"/>
              </w:rPr>
              <w:t>TSB Events/DA</w:t>
            </w:r>
            <w:r>
              <w:br/>
            </w:r>
          </w:p>
          <w:p w14:paraId="2EDC30D1" w14:textId="245DB547" w:rsidR="005A2667" w:rsidRPr="008431B9" w:rsidRDefault="005A2667" w:rsidP="00C362DC">
            <w:pPr>
              <w:pStyle w:val="Tabletext"/>
              <w:rPr>
                <w:bCs/>
                <w:noProof/>
                <w:sz w:val="22"/>
                <w:szCs w:val="22"/>
                <w:lang w:val="pt-BR"/>
              </w:rPr>
            </w:pPr>
            <w:r>
              <w:rPr>
                <w:bCs/>
                <w:noProof/>
                <w:sz w:val="22"/>
                <w:szCs w:val="22"/>
                <w:lang w:val="pt-BR"/>
              </w:rPr>
              <w:t>Denis Andreev</w:t>
            </w:r>
          </w:p>
        </w:tc>
        <w:tc>
          <w:tcPr>
            <w:tcW w:w="5265" w:type="dxa"/>
            <w:gridSpan w:val="2"/>
            <w:vMerge w:val="restart"/>
          </w:tcPr>
          <w:p w14:paraId="0271820F" w14:textId="2B892527" w:rsidR="005A2667" w:rsidRDefault="005A2667" w:rsidP="3A29DA54">
            <w:pPr>
              <w:spacing w:before="40" w:after="40"/>
              <w:ind w:left="283" w:hanging="283"/>
            </w:pPr>
            <w:r w:rsidRPr="3A29DA54">
              <w:rPr>
                <w:rFonts w:eastAsia="Calibri" w:cs="Calibri"/>
                <w:b/>
                <w:bCs/>
                <w:sz w:val="22"/>
                <w:szCs w:val="22"/>
              </w:rPr>
              <w:t>To:</w:t>
            </w:r>
          </w:p>
          <w:p w14:paraId="19437EA6" w14:textId="6F77D3E9" w:rsidR="005A2667" w:rsidRDefault="005A2667" w:rsidP="3A29DA54">
            <w:pPr>
              <w:spacing w:before="40" w:after="40"/>
              <w:ind w:left="283" w:hanging="283"/>
            </w:pPr>
            <w:r w:rsidRPr="3A29DA54">
              <w:rPr>
                <w:rFonts w:eastAsia="Calibri" w:cs="Calibri"/>
                <w:sz w:val="22"/>
                <w:szCs w:val="22"/>
              </w:rPr>
              <w:t>-</w:t>
            </w:r>
            <w:r>
              <w:tab/>
            </w:r>
            <w:r w:rsidRPr="3A29DA54">
              <w:rPr>
                <w:rFonts w:eastAsia="Calibri" w:cs="Calibri"/>
                <w:sz w:val="22"/>
                <w:szCs w:val="22"/>
              </w:rPr>
              <w:t xml:space="preserve"> Administrations of Member States of the </w:t>
            </w:r>
            <w:proofErr w:type="gramStart"/>
            <w:r w:rsidRPr="3A29DA54">
              <w:rPr>
                <w:rFonts w:eastAsia="Calibri" w:cs="Calibri"/>
                <w:sz w:val="22"/>
                <w:szCs w:val="22"/>
              </w:rPr>
              <w:t>Union;</w:t>
            </w:r>
            <w:proofErr w:type="gramEnd"/>
          </w:p>
          <w:p w14:paraId="73BDDC89" w14:textId="26E92729" w:rsidR="005A2667" w:rsidRDefault="005A2667" w:rsidP="3A29DA54">
            <w:pPr>
              <w:spacing w:before="40" w:after="40"/>
              <w:ind w:left="283" w:hanging="283"/>
            </w:pPr>
            <w:r w:rsidRPr="3A29DA54">
              <w:rPr>
                <w:rFonts w:eastAsia="Calibri" w:cs="Calibri"/>
                <w:sz w:val="22"/>
                <w:szCs w:val="22"/>
              </w:rPr>
              <w:t>-</w:t>
            </w:r>
            <w:r>
              <w:tab/>
            </w:r>
            <w:r w:rsidRPr="3A29DA54">
              <w:rPr>
                <w:rFonts w:eastAsia="Calibri" w:cs="Calibri"/>
                <w:sz w:val="22"/>
                <w:szCs w:val="22"/>
              </w:rPr>
              <w:t xml:space="preserve"> The State of Palestine (Res. 99 (Rev. Dubai, 2018)</w:t>
            </w:r>
            <w:proofErr w:type="gramStart"/>
            <w:r w:rsidRPr="3A29DA54">
              <w:rPr>
                <w:rFonts w:eastAsia="Calibri" w:cs="Calibri"/>
                <w:sz w:val="22"/>
                <w:szCs w:val="22"/>
              </w:rPr>
              <w:t>);</w:t>
            </w:r>
            <w:proofErr w:type="gramEnd"/>
          </w:p>
          <w:p w14:paraId="4C230838" w14:textId="1BCA31F2" w:rsidR="005A2667" w:rsidRPr="00D75E56" w:rsidRDefault="005A2667" w:rsidP="3A29DA54">
            <w:pPr>
              <w:spacing w:before="40" w:after="40"/>
              <w:ind w:left="283" w:hanging="283"/>
              <w:rPr>
                <w:lang w:val="fr-CH"/>
              </w:rPr>
            </w:pPr>
            <w:r w:rsidRPr="3A29DA54">
              <w:rPr>
                <w:rFonts w:eastAsia="Calibri" w:cs="Calibri"/>
                <w:sz w:val="22"/>
                <w:szCs w:val="22"/>
                <w:lang w:val="fr-CH"/>
              </w:rPr>
              <w:t>-</w:t>
            </w:r>
            <w:r w:rsidRPr="00D75E56">
              <w:rPr>
                <w:lang w:val="fr-CH"/>
              </w:rPr>
              <w:tab/>
            </w:r>
            <w:r w:rsidRPr="3A29DA54">
              <w:rPr>
                <w:rFonts w:eastAsia="Calibri" w:cs="Calibri"/>
                <w:sz w:val="22"/>
                <w:szCs w:val="22"/>
                <w:lang w:val="fr-CH"/>
              </w:rPr>
              <w:t xml:space="preserve"> </w:t>
            </w:r>
            <w:r w:rsidRPr="3A29DA54">
              <w:rPr>
                <w:rFonts w:eastAsia="Calibri" w:cs="Calibri"/>
                <w:color w:val="000000" w:themeColor="text1"/>
                <w:sz w:val="22"/>
                <w:szCs w:val="22"/>
                <w:lang w:val="fr-CH"/>
              </w:rPr>
              <w:t xml:space="preserve">ITU-T </w:t>
            </w:r>
            <w:proofErr w:type="spellStart"/>
            <w:r w:rsidRPr="3A29DA54">
              <w:rPr>
                <w:rFonts w:eastAsia="Calibri" w:cs="Calibri"/>
                <w:color w:val="000000" w:themeColor="text1"/>
                <w:sz w:val="22"/>
                <w:szCs w:val="22"/>
                <w:lang w:val="fr-CH"/>
              </w:rPr>
              <w:t>Sector</w:t>
            </w:r>
            <w:proofErr w:type="spellEnd"/>
            <w:r w:rsidRPr="3A29DA54">
              <w:rPr>
                <w:rFonts w:eastAsia="Calibri" w:cs="Calibri"/>
                <w:color w:val="000000" w:themeColor="text1"/>
                <w:sz w:val="22"/>
                <w:szCs w:val="22"/>
                <w:lang w:val="fr-CH"/>
              </w:rPr>
              <w:t xml:space="preserve"> Members;</w:t>
            </w:r>
          </w:p>
          <w:p w14:paraId="58FDF540" w14:textId="6A9A16DE" w:rsidR="005A2667" w:rsidRDefault="005A2667" w:rsidP="3A29DA54">
            <w:pPr>
              <w:spacing w:before="40" w:after="40"/>
              <w:ind w:left="283" w:hanging="283"/>
              <w:rPr>
                <w:rFonts w:eastAsia="Calibri" w:cs="Calibri"/>
                <w:color w:val="000000" w:themeColor="text1"/>
                <w:sz w:val="22"/>
                <w:szCs w:val="22"/>
                <w:lang w:val="fr-CH"/>
              </w:rPr>
            </w:pPr>
            <w:r w:rsidRPr="3A29DA54">
              <w:rPr>
                <w:rFonts w:eastAsia="Calibri" w:cs="Calibri"/>
                <w:sz w:val="22"/>
                <w:szCs w:val="22"/>
                <w:lang w:val="fr-CH"/>
              </w:rPr>
              <w:t>-</w:t>
            </w:r>
            <w:r w:rsidRPr="00D75E56">
              <w:rPr>
                <w:lang w:val="fr-CH"/>
              </w:rPr>
              <w:tab/>
            </w:r>
            <w:r w:rsidRPr="3A29DA54">
              <w:rPr>
                <w:rFonts w:eastAsia="Calibri" w:cs="Calibri"/>
                <w:sz w:val="22"/>
                <w:szCs w:val="22"/>
                <w:lang w:val="fr-CH"/>
              </w:rPr>
              <w:t xml:space="preserve"> </w:t>
            </w:r>
            <w:r w:rsidRPr="3A29DA54">
              <w:rPr>
                <w:rFonts w:eastAsia="Calibri" w:cs="Calibri"/>
                <w:color w:val="000000" w:themeColor="text1"/>
                <w:sz w:val="22"/>
                <w:szCs w:val="22"/>
                <w:lang w:val="fr-CH"/>
              </w:rPr>
              <w:t>ITU-T Associates;</w:t>
            </w:r>
          </w:p>
          <w:p w14:paraId="7235955E" w14:textId="745B6223" w:rsidR="005A2667" w:rsidRDefault="005A2667" w:rsidP="3A29DA54">
            <w:pPr>
              <w:spacing w:before="40"/>
              <w:ind w:left="283" w:hanging="283"/>
            </w:pPr>
            <w:r w:rsidRPr="3A29DA54">
              <w:rPr>
                <w:rFonts w:eastAsia="Calibri" w:cs="Calibri"/>
                <w:sz w:val="22"/>
                <w:szCs w:val="22"/>
              </w:rPr>
              <w:t>-</w:t>
            </w:r>
            <w:r>
              <w:tab/>
            </w:r>
            <w:r w:rsidRPr="3A29DA54">
              <w:rPr>
                <w:rFonts w:eastAsia="Calibri" w:cs="Calibri"/>
                <w:sz w:val="22"/>
                <w:szCs w:val="22"/>
              </w:rPr>
              <w:t xml:space="preserve"> </w:t>
            </w:r>
            <w:r w:rsidRPr="3A29DA54">
              <w:rPr>
                <w:rFonts w:eastAsia="Calibri" w:cs="Calibri"/>
                <w:color w:val="000000" w:themeColor="text1"/>
                <w:sz w:val="22"/>
                <w:szCs w:val="22"/>
              </w:rPr>
              <w:t>ITU Academia</w:t>
            </w:r>
          </w:p>
          <w:p w14:paraId="0CB01975" w14:textId="77777777" w:rsidR="005A2667" w:rsidRDefault="005A2667" w:rsidP="3A29DA54">
            <w:pPr>
              <w:spacing w:before="0" w:after="40"/>
            </w:pPr>
            <w:r w:rsidRPr="3A29DA54">
              <w:rPr>
                <w:rFonts w:eastAsia="Calibri" w:cs="Calibri"/>
                <w:b/>
                <w:bCs/>
                <w:sz w:val="22"/>
                <w:szCs w:val="22"/>
              </w:rPr>
              <w:t>Copy to:</w:t>
            </w:r>
          </w:p>
          <w:p w14:paraId="5ACD5CF8" w14:textId="77777777" w:rsidR="005A2667" w:rsidRDefault="005A2667" w:rsidP="3A29DA54">
            <w:pPr>
              <w:tabs>
                <w:tab w:val="left" w:pos="720"/>
              </w:tabs>
              <w:spacing w:before="40" w:after="40"/>
              <w:ind w:left="283" w:hanging="283"/>
            </w:pPr>
            <w:r w:rsidRPr="3A29DA54">
              <w:rPr>
                <w:rFonts w:eastAsia="Calibri" w:cs="Calibri"/>
                <w:sz w:val="22"/>
                <w:szCs w:val="22"/>
              </w:rPr>
              <w:t>-</w:t>
            </w:r>
            <w:r>
              <w:tab/>
            </w:r>
            <w:r w:rsidRPr="3A29DA54">
              <w:rPr>
                <w:rFonts w:eastAsia="Calibri" w:cs="Calibri"/>
                <w:sz w:val="22"/>
                <w:szCs w:val="22"/>
              </w:rPr>
              <w:t xml:space="preserve"> The Chairs and Vice-Chairs of ITU-T Study </w:t>
            </w:r>
            <w:proofErr w:type="gramStart"/>
            <w:r w:rsidRPr="3A29DA54">
              <w:rPr>
                <w:rFonts w:eastAsia="Calibri" w:cs="Calibri"/>
                <w:sz w:val="22"/>
                <w:szCs w:val="22"/>
              </w:rPr>
              <w:t>Groups;</w:t>
            </w:r>
            <w:proofErr w:type="gramEnd"/>
          </w:p>
          <w:p w14:paraId="13746A2B" w14:textId="77777777" w:rsidR="005A2667" w:rsidRDefault="005A2667" w:rsidP="3A29DA54">
            <w:pPr>
              <w:tabs>
                <w:tab w:val="left" w:pos="720"/>
              </w:tabs>
              <w:spacing w:before="40" w:after="40"/>
              <w:ind w:left="283" w:hanging="283"/>
            </w:pPr>
            <w:r w:rsidRPr="3A29DA54">
              <w:rPr>
                <w:rFonts w:eastAsia="Calibri" w:cs="Calibri"/>
                <w:sz w:val="22"/>
                <w:szCs w:val="22"/>
              </w:rPr>
              <w:t>-</w:t>
            </w:r>
            <w:r>
              <w:tab/>
            </w:r>
            <w:r w:rsidRPr="3A29DA54">
              <w:rPr>
                <w:rFonts w:eastAsia="Calibri" w:cs="Calibri"/>
                <w:sz w:val="22"/>
                <w:szCs w:val="22"/>
              </w:rPr>
              <w:t xml:space="preserve"> The Director of the Telecommunication Development </w:t>
            </w:r>
            <w:proofErr w:type="gramStart"/>
            <w:r w:rsidRPr="3A29DA54">
              <w:rPr>
                <w:rFonts w:eastAsia="Calibri" w:cs="Calibri"/>
                <w:sz w:val="22"/>
                <w:szCs w:val="22"/>
              </w:rPr>
              <w:t>Bureau;</w:t>
            </w:r>
            <w:proofErr w:type="gramEnd"/>
          </w:p>
          <w:p w14:paraId="5B084B79" w14:textId="70D0BE04" w:rsidR="005A2667" w:rsidRDefault="005A2667" w:rsidP="005A2667">
            <w:pPr>
              <w:tabs>
                <w:tab w:val="left" w:pos="720"/>
              </w:tabs>
              <w:spacing w:before="40" w:after="40"/>
              <w:ind w:left="283" w:hanging="283"/>
            </w:pPr>
            <w:r w:rsidRPr="3A29DA54">
              <w:rPr>
                <w:rFonts w:eastAsia="Calibri" w:cs="Calibri"/>
                <w:sz w:val="22"/>
                <w:szCs w:val="22"/>
              </w:rPr>
              <w:t>-</w:t>
            </w:r>
            <w:r>
              <w:tab/>
            </w:r>
            <w:r w:rsidRPr="3A29DA54">
              <w:rPr>
                <w:rFonts w:eastAsia="Calibri" w:cs="Calibri"/>
                <w:sz w:val="22"/>
                <w:szCs w:val="22"/>
              </w:rPr>
              <w:t xml:space="preserve"> The Director of the Radiocommunication Bureau</w:t>
            </w:r>
          </w:p>
        </w:tc>
      </w:tr>
      <w:tr w:rsidR="005A2667" w:rsidRPr="00170A94" w14:paraId="61E5A015" w14:textId="77777777" w:rsidTr="005A2667">
        <w:trPr>
          <w:cantSplit/>
          <w:trHeight w:val="221"/>
        </w:trPr>
        <w:tc>
          <w:tcPr>
            <w:tcW w:w="1260" w:type="dxa"/>
          </w:tcPr>
          <w:p w14:paraId="5F6DB6D1" w14:textId="77777777" w:rsidR="005A2667" w:rsidRPr="008431B9" w:rsidRDefault="005A2667" w:rsidP="005A2667">
            <w:pPr>
              <w:pStyle w:val="Tabletext"/>
              <w:ind w:left="-110"/>
              <w:rPr>
                <w:noProof/>
                <w:sz w:val="22"/>
                <w:szCs w:val="22"/>
              </w:rPr>
            </w:pPr>
            <w:r w:rsidRPr="008431B9">
              <w:rPr>
                <w:noProof/>
                <w:sz w:val="22"/>
                <w:szCs w:val="22"/>
              </w:rPr>
              <w:t>Tel:</w:t>
            </w:r>
          </w:p>
        </w:tc>
        <w:tc>
          <w:tcPr>
            <w:tcW w:w="3256" w:type="dxa"/>
            <w:gridSpan w:val="2"/>
          </w:tcPr>
          <w:p w14:paraId="0F0B5741" w14:textId="77777777" w:rsidR="005A2667" w:rsidRPr="008431B9" w:rsidRDefault="005A2667" w:rsidP="00C95BF6">
            <w:pPr>
              <w:pStyle w:val="Tabletext"/>
              <w:rPr>
                <w:b/>
                <w:noProof/>
                <w:sz w:val="22"/>
                <w:szCs w:val="22"/>
              </w:rPr>
            </w:pPr>
            <w:r w:rsidRPr="008431B9">
              <w:rPr>
                <w:noProof/>
                <w:sz w:val="22"/>
                <w:szCs w:val="22"/>
              </w:rPr>
              <w:t>+41 22 730 5858</w:t>
            </w:r>
          </w:p>
        </w:tc>
        <w:tc>
          <w:tcPr>
            <w:tcW w:w="5265" w:type="dxa"/>
            <w:gridSpan w:val="2"/>
            <w:vMerge/>
          </w:tcPr>
          <w:p w14:paraId="411F1E99" w14:textId="77777777" w:rsidR="005A2667" w:rsidRPr="008431B9" w:rsidRDefault="005A2667" w:rsidP="002B265B">
            <w:pPr>
              <w:tabs>
                <w:tab w:val="left" w:pos="720"/>
              </w:tabs>
              <w:spacing w:before="40" w:after="40"/>
              <w:rPr>
                <w:noProof/>
                <w:sz w:val="22"/>
                <w:szCs w:val="22"/>
              </w:rPr>
            </w:pPr>
          </w:p>
        </w:tc>
      </w:tr>
      <w:tr w:rsidR="005A2667" w:rsidRPr="00170A94" w14:paraId="5D479830" w14:textId="77777777" w:rsidTr="005A2667">
        <w:trPr>
          <w:cantSplit/>
          <w:trHeight w:val="282"/>
        </w:trPr>
        <w:tc>
          <w:tcPr>
            <w:tcW w:w="1260" w:type="dxa"/>
          </w:tcPr>
          <w:p w14:paraId="413B30ED" w14:textId="77777777" w:rsidR="005A2667" w:rsidRPr="008431B9" w:rsidRDefault="005A2667" w:rsidP="005A2667">
            <w:pPr>
              <w:pStyle w:val="Tabletext"/>
              <w:ind w:left="-110"/>
              <w:rPr>
                <w:noProof/>
                <w:sz w:val="22"/>
                <w:szCs w:val="22"/>
              </w:rPr>
            </w:pPr>
            <w:r w:rsidRPr="008431B9">
              <w:rPr>
                <w:noProof/>
                <w:sz w:val="22"/>
                <w:szCs w:val="22"/>
              </w:rPr>
              <w:t>Fax:</w:t>
            </w:r>
          </w:p>
        </w:tc>
        <w:tc>
          <w:tcPr>
            <w:tcW w:w="3256" w:type="dxa"/>
            <w:gridSpan w:val="2"/>
          </w:tcPr>
          <w:p w14:paraId="16D0D223" w14:textId="77777777" w:rsidR="005A2667" w:rsidRPr="008431B9" w:rsidRDefault="005A2667">
            <w:pPr>
              <w:pStyle w:val="Tabletext"/>
              <w:rPr>
                <w:b/>
                <w:noProof/>
                <w:sz w:val="22"/>
                <w:szCs w:val="22"/>
              </w:rPr>
            </w:pPr>
            <w:r w:rsidRPr="008431B9">
              <w:rPr>
                <w:noProof/>
                <w:sz w:val="22"/>
                <w:szCs w:val="22"/>
              </w:rPr>
              <w:t>+41 22 730 5853</w:t>
            </w:r>
          </w:p>
        </w:tc>
        <w:tc>
          <w:tcPr>
            <w:tcW w:w="5265" w:type="dxa"/>
            <w:gridSpan w:val="2"/>
            <w:vMerge/>
          </w:tcPr>
          <w:p w14:paraId="641A3A9D" w14:textId="77777777" w:rsidR="005A2667" w:rsidRPr="008431B9" w:rsidRDefault="005A2667" w:rsidP="002B265B">
            <w:pPr>
              <w:tabs>
                <w:tab w:val="left" w:pos="720"/>
              </w:tabs>
              <w:spacing w:before="40" w:after="40"/>
              <w:rPr>
                <w:noProof/>
                <w:sz w:val="22"/>
                <w:szCs w:val="22"/>
              </w:rPr>
            </w:pPr>
          </w:p>
        </w:tc>
      </w:tr>
      <w:tr w:rsidR="005A2667" w:rsidRPr="00F42CB1" w14:paraId="6856BDF7" w14:textId="77777777" w:rsidTr="005A2667">
        <w:trPr>
          <w:cantSplit/>
          <w:trHeight w:val="1581"/>
        </w:trPr>
        <w:tc>
          <w:tcPr>
            <w:tcW w:w="1260" w:type="dxa"/>
          </w:tcPr>
          <w:p w14:paraId="1EA64CA5" w14:textId="77777777" w:rsidR="005A2667" w:rsidRPr="008431B9" w:rsidRDefault="005A2667" w:rsidP="005A2667">
            <w:pPr>
              <w:pStyle w:val="Tabletext"/>
              <w:ind w:left="-110"/>
              <w:rPr>
                <w:noProof/>
                <w:sz w:val="22"/>
                <w:szCs w:val="22"/>
              </w:rPr>
            </w:pPr>
            <w:r w:rsidRPr="008431B9">
              <w:rPr>
                <w:noProof/>
                <w:sz w:val="22"/>
                <w:szCs w:val="22"/>
              </w:rPr>
              <w:t>E-mail:</w:t>
            </w:r>
          </w:p>
        </w:tc>
        <w:tc>
          <w:tcPr>
            <w:tcW w:w="3256" w:type="dxa"/>
            <w:gridSpan w:val="2"/>
          </w:tcPr>
          <w:p w14:paraId="6CD71C4C" w14:textId="7B2F5889" w:rsidR="005A2667" w:rsidRPr="008431B9" w:rsidRDefault="005A2667" w:rsidP="00FC1C19">
            <w:pPr>
              <w:pStyle w:val="Tabletext"/>
              <w:rPr>
                <w:noProof/>
                <w:sz w:val="22"/>
                <w:szCs w:val="22"/>
              </w:rPr>
            </w:pPr>
            <w:hyperlink r:id="rId11" w:history="1">
              <w:r w:rsidRPr="008431B9">
                <w:rPr>
                  <w:rStyle w:val="Hyperlink"/>
                  <w:noProof/>
                  <w:sz w:val="22"/>
                  <w:szCs w:val="22"/>
                </w:rPr>
                <w:t>tsbevents@itu.int</w:t>
              </w:r>
            </w:hyperlink>
          </w:p>
        </w:tc>
        <w:tc>
          <w:tcPr>
            <w:tcW w:w="5265" w:type="dxa"/>
            <w:gridSpan w:val="2"/>
            <w:vMerge/>
          </w:tcPr>
          <w:p w14:paraId="378700EC" w14:textId="4B4A595C" w:rsidR="005A2667" w:rsidRDefault="005A2667" w:rsidP="005A2667">
            <w:pPr>
              <w:tabs>
                <w:tab w:val="left" w:pos="720"/>
              </w:tabs>
              <w:spacing w:before="40" w:after="40"/>
              <w:rPr>
                <w:rFonts w:eastAsia="Calibri" w:cs="Calibri"/>
                <w:sz w:val="22"/>
                <w:szCs w:val="22"/>
              </w:rPr>
            </w:pPr>
          </w:p>
        </w:tc>
      </w:tr>
      <w:tr w:rsidR="00FA46A0" w:rsidRPr="00F42CB1" w14:paraId="0154FE49" w14:textId="77777777" w:rsidTr="005A2667">
        <w:trPr>
          <w:cantSplit/>
          <w:trHeight w:val="98"/>
        </w:trPr>
        <w:tc>
          <w:tcPr>
            <w:tcW w:w="1260" w:type="dxa"/>
          </w:tcPr>
          <w:p w14:paraId="62C2993A" w14:textId="2D0A25D7" w:rsidR="00FA46A0" w:rsidRPr="00F42CB1" w:rsidRDefault="00A71DAE" w:rsidP="005A2667">
            <w:pPr>
              <w:pStyle w:val="Tabletext"/>
              <w:spacing w:after="0"/>
              <w:ind w:left="-110"/>
              <w:rPr>
                <w:noProof/>
                <w:sz w:val="22"/>
                <w:szCs w:val="22"/>
              </w:rPr>
            </w:pPr>
            <w:r w:rsidRPr="00F42CB1">
              <w:rPr>
                <w:b/>
                <w:noProof/>
                <w:sz w:val="22"/>
                <w:szCs w:val="22"/>
              </w:rPr>
              <w:t>Subject:</w:t>
            </w:r>
          </w:p>
        </w:tc>
        <w:tc>
          <w:tcPr>
            <w:tcW w:w="8521" w:type="dxa"/>
            <w:gridSpan w:val="4"/>
          </w:tcPr>
          <w:p w14:paraId="5E7D2082" w14:textId="1B626EA2" w:rsidR="00D05C75" w:rsidRPr="00F42CB1" w:rsidRDefault="000A5DA7" w:rsidP="328A441A">
            <w:pPr>
              <w:pStyle w:val="Tabletext"/>
              <w:rPr>
                <w:b/>
                <w:bCs/>
                <w:noProof/>
                <w:sz w:val="22"/>
                <w:szCs w:val="22"/>
              </w:rPr>
            </w:pPr>
            <w:r>
              <w:rPr>
                <w:b/>
                <w:bCs/>
                <w:noProof/>
                <w:sz w:val="22"/>
                <w:szCs w:val="22"/>
              </w:rPr>
              <w:t>ITU Workshop “</w:t>
            </w:r>
            <w:r w:rsidR="00C867F7" w:rsidRPr="00C867F7">
              <w:rPr>
                <w:b/>
                <w:bCs/>
                <w:noProof/>
                <w:sz w:val="22"/>
                <w:szCs w:val="22"/>
              </w:rPr>
              <w:t>Securing Telephone Networks: Toward collaborative approach for combating fraudulent communications using Digital Certificate</w:t>
            </w:r>
            <w:r>
              <w:rPr>
                <w:b/>
                <w:bCs/>
                <w:noProof/>
                <w:sz w:val="22"/>
                <w:szCs w:val="22"/>
              </w:rPr>
              <w:t>”</w:t>
            </w:r>
            <w:r w:rsidR="6263A626" w:rsidRPr="328A441A">
              <w:rPr>
                <w:b/>
                <w:bCs/>
                <w:noProof/>
                <w:sz w:val="22"/>
                <w:szCs w:val="22"/>
              </w:rPr>
              <w:t xml:space="preserve"> </w:t>
            </w:r>
            <w:r w:rsidR="00EC447A">
              <w:rPr>
                <w:b/>
                <w:bCs/>
                <w:noProof/>
                <w:sz w:val="22"/>
                <w:szCs w:val="22"/>
              </w:rPr>
              <w:br/>
            </w:r>
            <w:r w:rsidR="00C867F7">
              <w:rPr>
                <w:b/>
                <w:bCs/>
                <w:noProof/>
                <w:sz w:val="22"/>
                <w:szCs w:val="22"/>
              </w:rPr>
              <w:t>(</w:t>
            </w:r>
            <w:r w:rsidR="00A80BCE" w:rsidRPr="00A80BCE">
              <w:rPr>
                <w:b/>
                <w:bCs/>
                <w:noProof/>
                <w:sz w:val="22"/>
                <w:szCs w:val="22"/>
              </w:rPr>
              <w:t>Geneva,</w:t>
            </w:r>
            <w:r w:rsidR="00007BE0">
              <w:rPr>
                <w:b/>
                <w:bCs/>
                <w:noProof/>
                <w:sz w:val="22"/>
                <w:szCs w:val="22"/>
              </w:rPr>
              <w:t xml:space="preserve"> Sw</w:t>
            </w:r>
            <w:r w:rsidR="00AE6DB2">
              <w:rPr>
                <w:b/>
                <w:bCs/>
                <w:noProof/>
                <w:sz w:val="22"/>
                <w:szCs w:val="22"/>
              </w:rPr>
              <w:t>i</w:t>
            </w:r>
            <w:r>
              <w:rPr>
                <w:b/>
                <w:bCs/>
                <w:noProof/>
                <w:sz w:val="22"/>
                <w:szCs w:val="22"/>
              </w:rPr>
              <w:t>t</w:t>
            </w:r>
            <w:r w:rsidR="00AE6DB2">
              <w:rPr>
                <w:b/>
                <w:bCs/>
                <w:noProof/>
                <w:sz w:val="22"/>
                <w:szCs w:val="22"/>
              </w:rPr>
              <w:t>zerland</w:t>
            </w:r>
            <w:r w:rsidR="00054FA2">
              <w:rPr>
                <w:b/>
                <w:bCs/>
                <w:noProof/>
                <w:sz w:val="22"/>
                <w:szCs w:val="22"/>
              </w:rPr>
              <w:t>,</w:t>
            </w:r>
            <w:r w:rsidR="00A80BCE" w:rsidRPr="00A80BCE">
              <w:rPr>
                <w:b/>
                <w:bCs/>
                <w:noProof/>
                <w:sz w:val="22"/>
                <w:szCs w:val="22"/>
              </w:rPr>
              <w:t xml:space="preserve"> 17 November 2025</w:t>
            </w:r>
            <w:r w:rsidR="00A80BCE">
              <w:rPr>
                <w:b/>
                <w:bCs/>
                <w:noProof/>
                <w:sz w:val="22"/>
                <w:szCs w:val="22"/>
              </w:rPr>
              <w:t>)</w:t>
            </w:r>
          </w:p>
        </w:tc>
      </w:tr>
    </w:tbl>
    <w:p w14:paraId="42FA64C6" w14:textId="77777777" w:rsidR="00FA46A0" w:rsidRPr="00F42CB1" w:rsidRDefault="00B61012" w:rsidP="005A2667">
      <w:pPr>
        <w:rPr>
          <w:noProof/>
          <w:sz w:val="22"/>
          <w:szCs w:val="22"/>
        </w:rPr>
      </w:pPr>
      <w:r w:rsidRPr="00F42CB1">
        <w:rPr>
          <w:noProof/>
          <w:sz w:val="22"/>
          <w:szCs w:val="22"/>
        </w:rPr>
        <w:t>Dear Sir/Madam,</w:t>
      </w:r>
    </w:p>
    <w:p w14:paraId="51045AC2" w14:textId="378F8A0C" w:rsidR="00F53E7D" w:rsidRPr="00F42CB1" w:rsidRDefault="00E61758" w:rsidP="00E0345C">
      <w:pPr>
        <w:rPr>
          <w:noProof/>
          <w:sz w:val="22"/>
          <w:szCs w:val="22"/>
        </w:rPr>
      </w:pPr>
      <w:r w:rsidRPr="00F42CB1">
        <w:rPr>
          <w:noProof/>
          <w:sz w:val="22"/>
          <w:szCs w:val="22"/>
        </w:rPr>
        <w:t>1</w:t>
      </w:r>
      <w:r w:rsidRPr="00F42CB1">
        <w:rPr>
          <w:noProof/>
          <w:sz w:val="22"/>
          <w:szCs w:val="22"/>
        </w:rPr>
        <w:tab/>
        <w:t xml:space="preserve">I </w:t>
      </w:r>
      <w:r w:rsidR="005940CC" w:rsidRPr="00F42CB1">
        <w:rPr>
          <w:noProof/>
          <w:sz w:val="22"/>
          <w:szCs w:val="22"/>
        </w:rPr>
        <w:t xml:space="preserve">am very pleased </w:t>
      </w:r>
      <w:r w:rsidRPr="00F42CB1">
        <w:rPr>
          <w:noProof/>
          <w:sz w:val="22"/>
          <w:szCs w:val="22"/>
        </w:rPr>
        <w:t xml:space="preserve">to inform you that </w:t>
      </w:r>
      <w:r w:rsidR="000D760B" w:rsidRPr="00F42CB1">
        <w:rPr>
          <w:noProof/>
          <w:sz w:val="22"/>
          <w:szCs w:val="22"/>
        </w:rPr>
        <w:t xml:space="preserve">the </w:t>
      </w:r>
      <w:r w:rsidR="002A736C" w:rsidRPr="00F42CB1">
        <w:rPr>
          <w:noProof/>
          <w:sz w:val="22"/>
          <w:szCs w:val="22"/>
        </w:rPr>
        <w:t xml:space="preserve">International Telecommunication Union (ITU) </w:t>
      </w:r>
      <w:r w:rsidRPr="00F42CB1">
        <w:rPr>
          <w:noProof/>
          <w:sz w:val="22"/>
          <w:szCs w:val="22"/>
        </w:rPr>
        <w:t xml:space="preserve">will </w:t>
      </w:r>
      <w:r w:rsidR="004F1F83">
        <w:rPr>
          <w:noProof/>
          <w:sz w:val="22"/>
          <w:szCs w:val="22"/>
        </w:rPr>
        <w:t>o</w:t>
      </w:r>
      <w:r w:rsidR="009F366E" w:rsidRPr="00F42CB1">
        <w:rPr>
          <w:noProof/>
          <w:sz w:val="22"/>
          <w:szCs w:val="22"/>
        </w:rPr>
        <w:t>rgani</w:t>
      </w:r>
      <w:r w:rsidR="004F1F83">
        <w:rPr>
          <w:noProof/>
          <w:sz w:val="22"/>
          <w:szCs w:val="22"/>
        </w:rPr>
        <w:t>ze</w:t>
      </w:r>
      <w:r w:rsidRPr="00F42CB1">
        <w:rPr>
          <w:noProof/>
          <w:sz w:val="22"/>
          <w:szCs w:val="22"/>
        </w:rPr>
        <w:t xml:space="preserve"> </w:t>
      </w:r>
      <w:r w:rsidR="00C362DC">
        <w:rPr>
          <w:noProof/>
          <w:sz w:val="22"/>
          <w:szCs w:val="22"/>
        </w:rPr>
        <w:t>a</w:t>
      </w:r>
      <w:r w:rsidR="00B32A56" w:rsidRPr="00B32A56">
        <w:rPr>
          <w:b/>
          <w:bCs/>
          <w:noProof/>
          <w:sz w:val="22"/>
          <w:szCs w:val="22"/>
        </w:rPr>
        <w:t xml:space="preserve"> “Securing Telephone Networks: Toward collaborative approach for combating fraudulent communications using Digital Certificate”</w:t>
      </w:r>
      <w:r w:rsidR="00CE0AC5" w:rsidRPr="00CE0AC5">
        <w:rPr>
          <w:noProof/>
          <w:sz w:val="22"/>
          <w:szCs w:val="22"/>
        </w:rPr>
        <w:t xml:space="preserve"> </w:t>
      </w:r>
      <w:r w:rsidR="007E2718">
        <w:rPr>
          <w:noProof/>
          <w:sz w:val="22"/>
          <w:szCs w:val="22"/>
        </w:rPr>
        <w:t>w</w:t>
      </w:r>
      <w:r w:rsidR="00C362DC" w:rsidRPr="00757980">
        <w:rPr>
          <w:noProof/>
          <w:sz w:val="22"/>
          <w:szCs w:val="22"/>
        </w:rPr>
        <w:t xml:space="preserve">orkshop </w:t>
      </w:r>
      <w:r w:rsidR="007E2718">
        <w:rPr>
          <w:noProof/>
          <w:sz w:val="22"/>
          <w:szCs w:val="22"/>
        </w:rPr>
        <w:t xml:space="preserve">on </w:t>
      </w:r>
      <w:r w:rsidR="007E2718" w:rsidRPr="00577670">
        <w:rPr>
          <w:b/>
          <w:bCs/>
          <w:noProof/>
          <w:sz w:val="22"/>
          <w:szCs w:val="22"/>
        </w:rPr>
        <w:t>17</w:t>
      </w:r>
      <w:r w:rsidR="007E2718">
        <w:rPr>
          <w:noProof/>
          <w:sz w:val="22"/>
          <w:szCs w:val="22"/>
        </w:rPr>
        <w:t xml:space="preserve"> </w:t>
      </w:r>
      <w:r w:rsidR="007E2718">
        <w:rPr>
          <w:b/>
          <w:bCs/>
          <w:noProof/>
          <w:sz w:val="22"/>
          <w:szCs w:val="22"/>
        </w:rPr>
        <w:t>November</w:t>
      </w:r>
      <w:r w:rsidR="007E2718" w:rsidRPr="00CE0AC5">
        <w:rPr>
          <w:b/>
          <w:bCs/>
          <w:noProof/>
          <w:sz w:val="22"/>
          <w:szCs w:val="22"/>
        </w:rPr>
        <w:t xml:space="preserve"> 2025 </w:t>
      </w:r>
      <w:r w:rsidR="007E2718" w:rsidRPr="00F42CB1">
        <w:rPr>
          <w:noProof/>
          <w:sz w:val="22"/>
          <w:szCs w:val="22"/>
        </w:rPr>
        <w:t xml:space="preserve">from </w:t>
      </w:r>
      <w:r w:rsidR="007E2718">
        <w:rPr>
          <w:b/>
          <w:bCs/>
          <w:noProof/>
          <w:sz w:val="22"/>
          <w:szCs w:val="22"/>
        </w:rPr>
        <w:t>11</w:t>
      </w:r>
      <w:r w:rsidR="007E2718" w:rsidRPr="00F42CB1">
        <w:rPr>
          <w:b/>
          <w:bCs/>
          <w:noProof/>
          <w:sz w:val="22"/>
          <w:szCs w:val="22"/>
        </w:rPr>
        <w:t>h</w:t>
      </w:r>
      <w:r w:rsidR="007E2718">
        <w:rPr>
          <w:b/>
          <w:bCs/>
          <w:noProof/>
          <w:sz w:val="22"/>
          <w:szCs w:val="22"/>
        </w:rPr>
        <w:t>45</w:t>
      </w:r>
      <w:r w:rsidR="007E2718" w:rsidRPr="00F42CB1">
        <w:rPr>
          <w:b/>
          <w:bCs/>
          <w:noProof/>
          <w:sz w:val="22"/>
          <w:szCs w:val="22"/>
        </w:rPr>
        <w:t xml:space="preserve"> to </w:t>
      </w:r>
      <w:r w:rsidR="007E2718">
        <w:rPr>
          <w:b/>
          <w:bCs/>
          <w:noProof/>
          <w:sz w:val="22"/>
          <w:szCs w:val="22"/>
        </w:rPr>
        <w:t>18</w:t>
      </w:r>
      <w:r w:rsidR="007E2718" w:rsidRPr="00F42CB1">
        <w:rPr>
          <w:b/>
          <w:bCs/>
          <w:noProof/>
          <w:sz w:val="22"/>
          <w:szCs w:val="22"/>
        </w:rPr>
        <w:t>h00</w:t>
      </w:r>
      <w:r w:rsidR="007E2718">
        <w:rPr>
          <w:b/>
          <w:bCs/>
          <w:noProof/>
          <w:sz w:val="22"/>
          <w:szCs w:val="22"/>
        </w:rPr>
        <w:t xml:space="preserve"> CET</w:t>
      </w:r>
      <w:r w:rsidR="007E2718" w:rsidRPr="00F42CB1">
        <w:rPr>
          <w:noProof/>
          <w:sz w:val="22"/>
          <w:szCs w:val="22"/>
        </w:rPr>
        <w:t xml:space="preserve"> </w:t>
      </w:r>
      <w:r w:rsidR="007E7746" w:rsidRPr="00F42CB1">
        <w:rPr>
          <w:noProof/>
          <w:sz w:val="22"/>
          <w:szCs w:val="22"/>
        </w:rPr>
        <w:t>taking place</w:t>
      </w:r>
      <w:r w:rsidR="00CE0AC5">
        <w:rPr>
          <w:noProof/>
          <w:sz w:val="22"/>
          <w:szCs w:val="22"/>
        </w:rPr>
        <w:t xml:space="preserve"> </w:t>
      </w:r>
      <w:r w:rsidR="008351AB" w:rsidRPr="008351AB">
        <w:rPr>
          <w:noProof/>
          <w:sz w:val="22"/>
          <w:szCs w:val="22"/>
        </w:rPr>
        <w:t xml:space="preserve">at </w:t>
      </w:r>
      <w:r w:rsidR="008351AB" w:rsidRPr="00E156DA">
        <w:rPr>
          <w:sz w:val="22"/>
          <w:szCs w:val="22"/>
        </w:rPr>
        <w:t xml:space="preserve">ITU </w:t>
      </w:r>
      <w:r w:rsidR="00585738" w:rsidRPr="00E156DA">
        <w:rPr>
          <w:sz w:val="22"/>
          <w:szCs w:val="22"/>
        </w:rPr>
        <w:t>H</w:t>
      </w:r>
      <w:r w:rsidR="008351AB" w:rsidRPr="00E156DA">
        <w:rPr>
          <w:sz w:val="22"/>
          <w:szCs w:val="22"/>
        </w:rPr>
        <w:t>eadquarters in</w:t>
      </w:r>
      <w:r w:rsidR="008351AB" w:rsidRPr="008351AB">
        <w:rPr>
          <w:b/>
          <w:bCs/>
          <w:noProof/>
          <w:sz w:val="22"/>
          <w:szCs w:val="22"/>
        </w:rPr>
        <w:t xml:space="preserve"> Geneva</w:t>
      </w:r>
      <w:r w:rsidR="008351AB">
        <w:rPr>
          <w:b/>
          <w:bCs/>
          <w:noProof/>
          <w:sz w:val="22"/>
          <w:szCs w:val="22"/>
        </w:rPr>
        <w:t>, Switzerland</w:t>
      </w:r>
      <w:r w:rsidR="000A7DAB" w:rsidRPr="00F42CB1">
        <w:rPr>
          <w:noProof/>
          <w:sz w:val="22"/>
          <w:szCs w:val="22"/>
        </w:rPr>
        <w:t>.</w:t>
      </w:r>
    </w:p>
    <w:p w14:paraId="5F75F537" w14:textId="77777777" w:rsidR="00245BBC" w:rsidRPr="007510B3" w:rsidRDefault="00CA407B" w:rsidP="007510B3">
      <w:pPr>
        <w:rPr>
          <w:rFonts w:eastAsia="SimSun" w:cs="Arial"/>
          <w:sz w:val="22"/>
          <w:szCs w:val="22"/>
          <w:lang w:eastAsia="zh-CN"/>
        </w:rPr>
      </w:pPr>
      <w:r w:rsidRPr="00F42CB1">
        <w:rPr>
          <w:rFonts w:eastAsia="SimSun" w:cs="Arial"/>
          <w:noProof/>
          <w:sz w:val="22"/>
          <w:szCs w:val="22"/>
          <w:lang w:eastAsia="zh-CN"/>
        </w:rPr>
        <w:t>2</w:t>
      </w:r>
      <w:r w:rsidRPr="00F42CB1">
        <w:rPr>
          <w:rFonts w:eastAsia="SimSun" w:cs="Arial"/>
          <w:noProof/>
          <w:sz w:val="22"/>
          <w:szCs w:val="22"/>
          <w:lang w:eastAsia="zh-CN"/>
        </w:rPr>
        <w:tab/>
      </w:r>
      <w:r w:rsidR="00245BBC" w:rsidRPr="007510B3">
        <w:rPr>
          <w:rFonts w:eastAsia="SimSun" w:cs="Arial"/>
          <w:sz w:val="22"/>
          <w:szCs w:val="22"/>
          <w:lang w:eastAsia="zh-CN"/>
        </w:rPr>
        <w:t>As fraudulent communications such as spoofing numbers, scam calls, and illegitimate caller ID manipulation continue to pose significant threats to users and networks worldwide, it is critical to implement robust, trustworthy security mechanisms across existing and future telephone networks.</w:t>
      </w:r>
    </w:p>
    <w:p w14:paraId="4B4D299A" w14:textId="2BCDF09F" w:rsidR="00245BBC" w:rsidRPr="00DD071E" w:rsidRDefault="00245BBC" w:rsidP="007510B3">
      <w:pPr>
        <w:rPr>
          <w:rFonts w:eastAsia="SimSun" w:cs="Arial"/>
          <w:sz w:val="22"/>
          <w:szCs w:val="22"/>
          <w:lang w:eastAsia="zh-CN"/>
        </w:rPr>
      </w:pPr>
      <w:r w:rsidRPr="007510B3">
        <w:rPr>
          <w:rFonts w:eastAsia="SimSun" w:cs="Arial"/>
          <w:sz w:val="22"/>
          <w:szCs w:val="22"/>
          <w:lang w:eastAsia="zh-CN"/>
        </w:rPr>
        <w:t>The ITU is at the forefront of developing international standards that leverage digital public-key certificates to authenticate Calling Line Identification (CLI) and strengthen the security of existing telephone networks.</w:t>
      </w:r>
      <w:r w:rsidR="00072A10" w:rsidRPr="008770BD">
        <w:rPr>
          <w:rFonts w:eastAsia="SimSun" w:cs="Arial"/>
          <w:sz w:val="22"/>
          <w:szCs w:val="22"/>
          <w:lang w:eastAsia="zh-CN"/>
        </w:rPr>
        <w:t xml:space="preserve"> </w:t>
      </w:r>
      <w:r w:rsidR="009A169C" w:rsidRPr="00DD071E">
        <w:rPr>
          <w:rFonts w:eastAsia="SimSun" w:cs="Arial"/>
          <w:sz w:val="22"/>
          <w:szCs w:val="22"/>
          <w:lang w:eastAsia="zh-CN"/>
        </w:rPr>
        <w:t>The s</w:t>
      </w:r>
      <w:r w:rsidR="00072A10" w:rsidRPr="00DD071E">
        <w:rPr>
          <w:noProof/>
          <w:sz w:val="22"/>
          <w:szCs w:val="22"/>
        </w:rPr>
        <w:t>ummary of ITU</w:t>
      </w:r>
      <w:r w:rsidR="009A169C" w:rsidRPr="00DD071E">
        <w:rPr>
          <w:noProof/>
          <w:sz w:val="22"/>
          <w:szCs w:val="22"/>
        </w:rPr>
        <w:t>-T</w:t>
      </w:r>
      <w:r w:rsidR="00072A10" w:rsidRPr="00DD071E">
        <w:rPr>
          <w:noProof/>
          <w:sz w:val="22"/>
          <w:szCs w:val="22"/>
        </w:rPr>
        <w:t xml:space="preserve"> activities on signalling security</w:t>
      </w:r>
      <w:r w:rsidR="009A169C" w:rsidRPr="00DD071E">
        <w:rPr>
          <w:noProof/>
          <w:sz w:val="22"/>
          <w:szCs w:val="22"/>
        </w:rPr>
        <w:t xml:space="preserve"> </w:t>
      </w:r>
      <w:r w:rsidR="009A169C" w:rsidRPr="00DD071E">
        <w:rPr>
          <w:noProof/>
          <w:sz w:val="22"/>
          <w:szCs w:val="22"/>
          <w:lang w:val="en-US"/>
        </w:rPr>
        <w:t xml:space="preserve">issues </w:t>
      </w:r>
      <w:r w:rsidR="00470CC0" w:rsidRPr="00DD071E">
        <w:rPr>
          <w:noProof/>
          <w:sz w:val="22"/>
          <w:szCs w:val="22"/>
          <w:lang w:val="en-US"/>
        </w:rPr>
        <w:t xml:space="preserve">is </w:t>
      </w:r>
      <w:r w:rsidR="009A169C" w:rsidRPr="00DD071E">
        <w:rPr>
          <w:noProof/>
          <w:sz w:val="22"/>
          <w:szCs w:val="22"/>
          <w:lang w:val="en-US"/>
        </w:rPr>
        <w:t>available at</w:t>
      </w:r>
      <w:r w:rsidR="00072A10" w:rsidRPr="00DD071E">
        <w:rPr>
          <w:noProof/>
          <w:sz w:val="22"/>
          <w:szCs w:val="22"/>
        </w:rPr>
        <w:t xml:space="preserve">: </w:t>
      </w:r>
      <w:hyperlink r:id="rId12" w:history="1">
        <w:r w:rsidR="00072A10" w:rsidRPr="00DD071E">
          <w:rPr>
            <w:rStyle w:val="Hyperlink"/>
            <w:noProof/>
            <w:sz w:val="22"/>
            <w:szCs w:val="22"/>
          </w:rPr>
          <w:t>https://itu.int/go/SIG-SECURITY</w:t>
        </w:r>
      </w:hyperlink>
      <w:r w:rsidR="00072A10" w:rsidRPr="00DD071E">
        <w:rPr>
          <w:noProof/>
          <w:sz w:val="22"/>
          <w:szCs w:val="22"/>
        </w:rPr>
        <w:t>.</w:t>
      </w:r>
    </w:p>
    <w:p w14:paraId="6A41E4FD" w14:textId="09A8D573" w:rsidR="00245BBC" w:rsidRDefault="0022558F" w:rsidP="007510B3">
      <w:pPr>
        <w:rPr>
          <w:rFonts w:eastAsia="SimSun" w:cs="Arial"/>
          <w:sz w:val="22"/>
          <w:szCs w:val="22"/>
          <w:lang w:eastAsia="zh-CN"/>
        </w:rPr>
      </w:pPr>
      <w:r>
        <w:rPr>
          <w:rFonts w:eastAsia="SimSun" w:cs="Arial"/>
          <w:noProof/>
          <w:sz w:val="22"/>
          <w:szCs w:val="22"/>
          <w:lang w:eastAsia="zh-CN"/>
        </w:rPr>
        <w:t>3</w:t>
      </w:r>
      <w:r w:rsidRPr="00F42CB1">
        <w:rPr>
          <w:rFonts w:eastAsia="SimSun" w:cs="Arial"/>
          <w:noProof/>
          <w:sz w:val="22"/>
          <w:szCs w:val="22"/>
          <w:lang w:eastAsia="zh-CN"/>
        </w:rPr>
        <w:tab/>
      </w:r>
      <w:r w:rsidR="00245BBC" w:rsidRPr="007510B3">
        <w:rPr>
          <w:rFonts w:eastAsia="SimSun" w:cs="Arial"/>
          <w:sz w:val="22"/>
          <w:szCs w:val="22"/>
          <w:lang w:eastAsia="zh-CN"/>
        </w:rPr>
        <w:t xml:space="preserve">This </w:t>
      </w:r>
      <w:r w:rsidR="00C362DC">
        <w:rPr>
          <w:rFonts w:eastAsia="SimSun" w:cs="Arial"/>
          <w:sz w:val="22"/>
          <w:szCs w:val="22"/>
          <w:lang w:eastAsia="zh-CN"/>
        </w:rPr>
        <w:t>W</w:t>
      </w:r>
      <w:r w:rsidR="00245BBC" w:rsidRPr="007510B3">
        <w:rPr>
          <w:rFonts w:eastAsia="SimSun" w:cs="Arial"/>
          <w:sz w:val="22"/>
          <w:szCs w:val="22"/>
          <w:lang w:eastAsia="zh-CN"/>
        </w:rPr>
        <w:t xml:space="preserve">orkshop aims to bring together regulators, operators, vendors, and other stakeholders to explore the current challenges, </w:t>
      </w:r>
      <w:r w:rsidR="00514D4C">
        <w:rPr>
          <w:rFonts w:eastAsia="SimSun" w:cs="Arial"/>
          <w:sz w:val="22"/>
          <w:szCs w:val="22"/>
          <w:lang w:eastAsia="zh-CN"/>
        </w:rPr>
        <w:t>review existing</w:t>
      </w:r>
      <w:r w:rsidR="00514D4C" w:rsidRPr="007510B3">
        <w:rPr>
          <w:rFonts w:eastAsia="SimSun" w:cs="Arial"/>
          <w:sz w:val="22"/>
          <w:szCs w:val="22"/>
          <w:lang w:eastAsia="zh-CN"/>
        </w:rPr>
        <w:t xml:space="preserve"> </w:t>
      </w:r>
      <w:r w:rsidR="00245BBC" w:rsidRPr="007510B3">
        <w:rPr>
          <w:rFonts w:eastAsia="SimSun" w:cs="Arial"/>
          <w:sz w:val="22"/>
          <w:szCs w:val="22"/>
          <w:lang w:eastAsia="zh-CN"/>
        </w:rPr>
        <w:t xml:space="preserve">countermeasures, and explore innovative solutions </w:t>
      </w:r>
      <w:r w:rsidR="00514D4C">
        <w:rPr>
          <w:rFonts w:eastAsia="SimSun" w:cs="Arial"/>
          <w:sz w:val="22"/>
          <w:szCs w:val="22"/>
          <w:lang w:eastAsia="zh-CN"/>
        </w:rPr>
        <w:t xml:space="preserve">being </w:t>
      </w:r>
      <w:r w:rsidR="00245BBC" w:rsidRPr="007510B3">
        <w:rPr>
          <w:rFonts w:eastAsia="SimSun" w:cs="Arial"/>
          <w:sz w:val="22"/>
          <w:szCs w:val="22"/>
          <w:lang w:eastAsia="zh-CN"/>
        </w:rPr>
        <w:t>consider</w:t>
      </w:r>
      <w:r w:rsidR="00514D4C">
        <w:rPr>
          <w:rFonts w:eastAsia="SimSun" w:cs="Arial"/>
          <w:sz w:val="22"/>
          <w:szCs w:val="22"/>
          <w:lang w:eastAsia="zh-CN"/>
        </w:rPr>
        <w:t>ed by</w:t>
      </w:r>
      <w:r w:rsidR="00245BBC" w:rsidRPr="007510B3">
        <w:rPr>
          <w:rFonts w:eastAsia="SimSun" w:cs="Arial"/>
          <w:sz w:val="22"/>
          <w:szCs w:val="22"/>
          <w:lang w:eastAsia="zh-CN"/>
        </w:rPr>
        <w:t xml:space="preserve"> ITU.</w:t>
      </w:r>
    </w:p>
    <w:p w14:paraId="15AC69AC" w14:textId="3F1C5266" w:rsidR="00B86D23" w:rsidRPr="007510B3" w:rsidRDefault="004329B5" w:rsidP="007510B3">
      <w:pPr>
        <w:rPr>
          <w:rFonts w:eastAsia="SimSun" w:cs="Arial"/>
          <w:sz w:val="22"/>
          <w:szCs w:val="22"/>
          <w:lang w:eastAsia="zh-CN"/>
        </w:rPr>
      </w:pPr>
      <w:r>
        <w:rPr>
          <w:rFonts w:eastAsia="SimSun" w:cs="Arial"/>
          <w:sz w:val="22"/>
          <w:szCs w:val="22"/>
          <w:lang w:eastAsia="zh-CN"/>
        </w:rPr>
        <w:t>4</w:t>
      </w:r>
      <w:r>
        <w:rPr>
          <w:rFonts w:eastAsia="SimSun" w:cs="Arial"/>
          <w:sz w:val="22"/>
          <w:szCs w:val="22"/>
          <w:lang w:eastAsia="zh-CN"/>
        </w:rPr>
        <w:tab/>
      </w:r>
      <w:r w:rsidR="00B86D23">
        <w:rPr>
          <w:rFonts w:eastAsia="SimSun" w:cs="Arial"/>
          <w:sz w:val="22"/>
          <w:szCs w:val="22"/>
          <w:lang w:eastAsia="zh-CN"/>
        </w:rPr>
        <w:t>The</w:t>
      </w:r>
      <w:r w:rsidR="002F379F">
        <w:rPr>
          <w:rFonts w:eastAsia="SimSun" w:cs="Arial"/>
          <w:sz w:val="22"/>
          <w:szCs w:val="22"/>
          <w:lang w:eastAsia="zh-CN"/>
        </w:rPr>
        <w:t xml:space="preserve"> key </w:t>
      </w:r>
      <w:r w:rsidR="004164AF">
        <w:rPr>
          <w:rFonts w:eastAsia="SimSun" w:cs="Arial"/>
          <w:sz w:val="22"/>
          <w:szCs w:val="22"/>
          <w:lang w:eastAsia="zh-CN"/>
        </w:rPr>
        <w:t xml:space="preserve">objectives of </w:t>
      </w:r>
      <w:r w:rsidR="00C362DC">
        <w:rPr>
          <w:rFonts w:eastAsia="SimSun" w:cs="Arial"/>
          <w:sz w:val="22"/>
          <w:szCs w:val="22"/>
          <w:lang w:eastAsia="zh-CN"/>
        </w:rPr>
        <w:t>the</w:t>
      </w:r>
      <w:r>
        <w:rPr>
          <w:rFonts w:eastAsia="SimSun" w:cs="Arial"/>
          <w:sz w:val="22"/>
          <w:szCs w:val="22"/>
          <w:lang w:eastAsia="zh-CN"/>
        </w:rPr>
        <w:t xml:space="preserve"> </w:t>
      </w:r>
      <w:r w:rsidR="00C362DC">
        <w:rPr>
          <w:rFonts w:eastAsia="SimSun" w:cs="Arial"/>
          <w:sz w:val="22"/>
          <w:szCs w:val="22"/>
          <w:lang w:eastAsia="zh-CN"/>
        </w:rPr>
        <w:t>W</w:t>
      </w:r>
      <w:r>
        <w:rPr>
          <w:rFonts w:eastAsia="SimSun" w:cs="Arial"/>
          <w:sz w:val="22"/>
          <w:szCs w:val="22"/>
          <w:lang w:eastAsia="zh-CN"/>
        </w:rPr>
        <w:t xml:space="preserve">orkshop </w:t>
      </w:r>
      <w:r w:rsidR="004164AF">
        <w:rPr>
          <w:rFonts w:eastAsia="SimSun" w:cs="Arial"/>
          <w:sz w:val="22"/>
          <w:szCs w:val="22"/>
          <w:lang w:eastAsia="zh-CN"/>
        </w:rPr>
        <w:t>are to</w:t>
      </w:r>
      <w:r>
        <w:rPr>
          <w:rFonts w:eastAsia="SimSun" w:cs="Arial"/>
          <w:sz w:val="22"/>
          <w:szCs w:val="22"/>
          <w:lang w:eastAsia="zh-CN"/>
        </w:rPr>
        <w:t xml:space="preserve"> </w:t>
      </w:r>
      <w:r>
        <w:rPr>
          <w:rFonts w:eastAsia="SimSun" w:cs="Arial"/>
          <w:noProof/>
          <w:sz w:val="22"/>
          <w:szCs w:val="22"/>
          <w:lang w:eastAsia="zh-CN"/>
        </w:rPr>
        <w:t>r</w:t>
      </w:r>
      <w:r w:rsidRPr="3A29DA54">
        <w:rPr>
          <w:rFonts w:eastAsia="SimSun" w:cs="Arial"/>
          <w:noProof/>
          <w:sz w:val="22"/>
          <w:szCs w:val="22"/>
          <w:lang w:eastAsia="zh-CN"/>
        </w:rPr>
        <w:t>aise awareness about the growing threats posed by fraudulent communications</w:t>
      </w:r>
      <w:r w:rsidR="00783892">
        <w:rPr>
          <w:rFonts w:eastAsia="SimSun" w:cs="Arial"/>
          <w:noProof/>
          <w:sz w:val="22"/>
          <w:szCs w:val="22"/>
          <w:lang w:eastAsia="zh-CN"/>
        </w:rPr>
        <w:t>, p</w:t>
      </w:r>
      <w:r w:rsidR="00783892" w:rsidRPr="002E6D3B">
        <w:rPr>
          <w:rFonts w:eastAsia="SimSun" w:cs="Arial"/>
          <w:noProof/>
          <w:sz w:val="22"/>
          <w:szCs w:val="22"/>
          <w:lang w:eastAsia="zh-CN"/>
        </w:rPr>
        <w:t>resent current ITU initiatives related to the use of digital public-key certificates for authenticating Calling Line Identification (CLI)</w:t>
      </w:r>
      <w:r w:rsidR="00C362DC">
        <w:rPr>
          <w:rFonts w:eastAsia="SimSun" w:cs="Arial"/>
          <w:noProof/>
          <w:sz w:val="22"/>
          <w:szCs w:val="22"/>
          <w:lang w:eastAsia="zh-CN"/>
        </w:rPr>
        <w:t>,</w:t>
      </w:r>
      <w:r w:rsidR="00E44499">
        <w:rPr>
          <w:rFonts w:eastAsia="SimSun" w:cs="Arial"/>
          <w:noProof/>
          <w:sz w:val="22"/>
          <w:szCs w:val="22"/>
          <w:lang w:eastAsia="zh-CN"/>
        </w:rPr>
        <w:t xml:space="preserve"> </w:t>
      </w:r>
      <w:r w:rsidR="009D177B">
        <w:rPr>
          <w:rFonts w:eastAsia="SimSun" w:cs="Arial"/>
          <w:noProof/>
          <w:sz w:val="22"/>
          <w:szCs w:val="22"/>
          <w:lang w:eastAsia="zh-CN"/>
        </w:rPr>
        <w:t xml:space="preserve">and </w:t>
      </w:r>
      <w:r w:rsidR="006D3B6C">
        <w:rPr>
          <w:rFonts w:eastAsia="SimSun" w:cs="Arial"/>
          <w:noProof/>
          <w:sz w:val="22"/>
          <w:szCs w:val="22"/>
          <w:lang w:eastAsia="zh-CN"/>
        </w:rPr>
        <w:t xml:space="preserve">facilitate </w:t>
      </w:r>
      <w:r w:rsidR="00E622D2" w:rsidRPr="00E56A34">
        <w:rPr>
          <w:rFonts w:eastAsia="SimSun" w:cs="Arial"/>
          <w:noProof/>
          <w:sz w:val="22"/>
          <w:szCs w:val="22"/>
          <w:lang w:eastAsia="zh-CN"/>
        </w:rPr>
        <w:t xml:space="preserve">international collaboration among </w:t>
      </w:r>
      <w:r w:rsidR="00577AD4">
        <w:rPr>
          <w:rFonts w:eastAsia="SimSun" w:cs="Arial"/>
          <w:noProof/>
          <w:sz w:val="22"/>
          <w:szCs w:val="22"/>
          <w:lang w:eastAsia="zh-CN"/>
        </w:rPr>
        <w:t>all inter</w:t>
      </w:r>
      <w:r w:rsidR="00514D4C">
        <w:rPr>
          <w:rFonts w:eastAsia="SimSun" w:cs="Arial"/>
          <w:noProof/>
          <w:sz w:val="22"/>
          <w:szCs w:val="22"/>
          <w:lang w:eastAsia="zh-CN"/>
        </w:rPr>
        <w:t>e</w:t>
      </w:r>
      <w:r w:rsidR="00577AD4">
        <w:rPr>
          <w:rFonts w:eastAsia="SimSun" w:cs="Arial"/>
          <w:noProof/>
          <w:sz w:val="22"/>
          <w:szCs w:val="22"/>
          <w:lang w:eastAsia="zh-CN"/>
        </w:rPr>
        <w:t xml:space="preserve">sted </w:t>
      </w:r>
      <w:r w:rsidR="00E622D2" w:rsidRPr="00E56A34">
        <w:rPr>
          <w:rFonts w:eastAsia="SimSun" w:cs="Arial"/>
          <w:noProof/>
          <w:sz w:val="22"/>
          <w:szCs w:val="22"/>
          <w:lang w:eastAsia="zh-CN"/>
        </w:rPr>
        <w:t xml:space="preserve">stakeholders to address </w:t>
      </w:r>
      <w:r w:rsidR="006D3B6C">
        <w:rPr>
          <w:rFonts w:eastAsia="SimSun" w:cs="Arial"/>
          <w:noProof/>
          <w:sz w:val="22"/>
          <w:szCs w:val="22"/>
          <w:lang w:eastAsia="zh-CN"/>
        </w:rPr>
        <w:t>this global issue.</w:t>
      </w:r>
    </w:p>
    <w:p w14:paraId="17AA0EFA" w14:textId="08679960" w:rsidR="00DB4036" w:rsidRDefault="006D3B6C" w:rsidP="00E0345C">
      <w:pPr>
        <w:rPr>
          <w:rFonts w:eastAsia="SimSun" w:cs="Arial"/>
          <w:noProof/>
          <w:sz w:val="22"/>
          <w:szCs w:val="22"/>
          <w:lang w:eastAsia="zh-CN"/>
        </w:rPr>
      </w:pPr>
      <w:r>
        <w:rPr>
          <w:rFonts w:eastAsia="SimSun" w:cs="Arial"/>
          <w:noProof/>
          <w:sz w:val="22"/>
          <w:szCs w:val="22"/>
          <w:lang w:eastAsia="zh-CN"/>
        </w:rPr>
        <w:t>5</w:t>
      </w:r>
      <w:r w:rsidR="0022558F" w:rsidRPr="00F42CB1">
        <w:rPr>
          <w:rFonts w:eastAsia="SimSun" w:cs="Arial"/>
          <w:noProof/>
          <w:sz w:val="22"/>
          <w:szCs w:val="22"/>
          <w:lang w:eastAsia="zh-CN"/>
        </w:rPr>
        <w:tab/>
      </w:r>
      <w:r w:rsidR="00B000F6">
        <w:rPr>
          <w:rFonts w:eastAsia="SimSun" w:cs="Arial"/>
          <w:sz w:val="22"/>
          <w:szCs w:val="22"/>
          <w:lang w:eastAsia="zh-CN"/>
        </w:rPr>
        <w:t xml:space="preserve">A dedicated </w:t>
      </w:r>
      <w:r w:rsidR="00DB4036" w:rsidRPr="00B000F6">
        <w:rPr>
          <w:rFonts w:eastAsia="SimSun" w:cs="Arial"/>
          <w:sz w:val="22"/>
          <w:szCs w:val="22"/>
          <w:lang w:eastAsia="zh-CN"/>
        </w:rPr>
        <w:t>roundtable discussion will bring together key stakeholders from government agencies, telecom operators, financial institutions, standards bodies, and cybersecurity experts to engage in an open and solutions-oriented dialogue. Participants will explore the potential for stronger cross-sector collaboration, policy alignment, and global adoption of digital certificate standards. The discussion will also seek to outline a shared vision and actionable roadmap for enhancing trust in telephone communications through technological innovation and cooperative frameworks. This session will be critical for generating consensus and fostering commitment toward a collective action.</w:t>
      </w:r>
    </w:p>
    <w:p w14:paraId="00354073" w14:textId="3C91F62F" w:rsidR="003F381D" w:rsidRPr="00996232" w:rsidRDefault="00275613" w:rsidP="00996232">
      <w:pPr>
        <w:rPr>
          <w:sz w:val="22"/>
          <w:szCs w:val="22"/>
        </w:rPr>
      </w:pPr>
      <w:r>
        <w:rPr>
          <w:rFonts w:cstheme="majorBidi"/>
          <w:noProof/>
          <w:sz w:val="22"/>
          <w:szCs w:val="22"/>
        </w:rPr>
        <w:t>6</w:t>
      </w:r>
      <w:r w:rsidR="003F381D" w:rsidRPr="00DD505C">
        <w:rPr>
          <w:rFonts w:cstheme="majorBidi"/>
          <w:noProof/>
          <w:sz w:val="22"/>
          <w:szCs w:val="22"/>
        </w:rPr>
        <w:tab/>
      </w:r>
      <w:r w:rsidR="003F381D" w:rsidRPr="00177993">
        <w:rPr>
          <w:sz w:val="22"/>
          <w:szCs w:val="22"/>
        </w:rPr>
        <w:t xml:space="preserve">The </w:t>
      </w:r>
      <w:r w:rsidR="001B355A">
        <w:rPr>
          <w:noProof/>
          <w:sz w:val="22"/>
          <w:szCs w:val="22"/>
        </w:rPr>
        <w:t>W</w:t>
      </w:r>
      <w:r w:rsidR="00996232" w:rsidRPr="00177993">
        <w:rPr>
          <w:noProof/>
          <w:sz w:val="22"/>
          <w:szCs w:val="22"/>
        </w:rPr>
        <w:t>orkshop is collocated with</w:t>
      </w:r>
      <w:r w:rsidR="003F381D" w:rsidRPr="00F42CB1">
        <w:rPr>
          <w:noProof/>
          <w:sz w:val="22"/>
          <w:szCs w:val="22"/>
        </w:rPr>
        <w:t xml:space="preserve"> the </w:t>
      </w:r>
      <w:r w:rsidR="003F381D" w:rsidRPr="00177993">
        <w:rPr>
          <w:sz w:val="22"/>
          <w:szCs w:val="22"/>
        </w:rPr>
        <w:t xml:space="preserve">ITU-T Study Group 11 </w:t>
      </w:r>
      <w:r w:rsidR="00996232" w:rsidRPr="00177993">
        <w:rPr>
          <w:noProof/>
          <w:sz w:val="22"/>
          <w:szCs w:val="22"/>
        </w:rPr>
        <w:t xml:space="preserve">meeting </w:t>
      </w:r>
      <w:r w:rsidR="003F381D" w:rsidRPr="00F42CB1">
        <w:rPr>
          <w:noProof/>
          <w:sz w:val="22"/>
          <w:szCs w:val="22"/>
        </w:rPr>
        <w:t xml:space="preserve">taking place </w:t>
      </w:r>
      <w:r w:rsidR="00996232" w:rsidRPr="00177993">
        <w:rPr>
          <w:noProof/>
          <w:sz w:val="22"/>
          <w:szCs w:val="22"/>
        </w:rPr>
        <w:t>at the same venue from 17 to 26 November</w:t>
      </w:r>
      <w:r w:rsidR="003F381D" w:rsidRPr="00177993">
        <w:rPr>
          <w:sz w:val="22"/>
          <w:szCs w:val="22"/>
        </w:rPr>
        <w:t xml:space="preserve"> 2025</w:t>
      </w:r>
      <w:r w:rsidR="003F381D" w:rsidRPr="00757980">
        <w:rPr>
          <w:noProof/>
          <w:sz w:val="22"/>
          <w:szCs w:val="22"/>
        </w:rPr>
        <w:t>.</w:t>
      </w:r>
      <w:r w:rsidR="003F381D" w:rsidRPr="00757980">
        <w:rPr>
          <w:sz w:val="22"/>
          <w:szCs w:val="22"/>
        </w:rPr>
        <w:t xml:space="preserve"> </w:t>
      </w:r>
      <w:r w:rsidR="003F381D">
        <w:rPr>
          <w:noProof/>
          <w:sz w:val="22"/>
          <w:szCs w:val="22"/>
        </w:rPr>
        <w:t>For more information</w:t>
      </w:r>
      <w:r w:rsidR="007B1AA1">
        <w:rPr>
          <w:noProof/>
          <w:sz w:val="22"/>
          <w:szCs w:val="22"/>
        </w:rPr>
        <w:t xml:space="preserve"> on S</w:t>
      </w:r>
      <w:r w:rsidR="00363D08">
        <w:rPr>
          <w:noProof/>
          <w:sz w:val="22"/>
          <w:szCs w:val="22"/>
        </w:rPr>
        <w:t>t</w:t>
      </w:r>
      <w:r w:rsidR="007B1AA1">
        <w:rPr>
          <w:noProof/>
          <w:sz w:val="22"/>
          <w:szCs w:val="22"/>
        </w:rPr>
        <w:t>udy Group 11</w:t>
      </w:r>
      <w:r w:rsidR="003F381D">
        <w:rPr>
          <w:noProof/>
          <w:sz w:val="22"/>
          <w:szCs w:val="22"/>
        </w:rPr>
        <w:t xml:space="preserve">, please visit: </w:t>
      </w:r>
      <w:hyperlink r:id="rId13" w:history="1">
        <w:r w:rsidR="0074179A">
          <w:rPr>
            <w:rStyle w:val="Hyperlink"/>
            <w:noProof/>
            <w:sz w:val="22"/>
            <w:szCs w:val="22"/>
          </w:rPr>
          <w:t>https://itu.int/go/tsg11</w:t>
        </w:r>
      </w:hyperlink>
      <w:r w:rsidR="004A5CE9">
        <w:rPr>
          <w:noProof/>
          <w:sz w:val="22"/>
          <w:szCs w:val="22"/>
        </w:rPr>
        <w:t>.</w:t>
      </w:r>
    </w:p>
    <w:p w14:paraId="0B65A1F8" w14:textId="4242E81E" w:rsidR="008D46EA" w:rsidRDefault="00275613" w:rsidP="00DD071E">
      <w:pPr>
        <w:rPr>
          <w:rFonts w:cstheme="majorBidi"/>
          <w:noProof/>
          <w:sz w:val="22"/>
          <w:szCs w:val="22"/>
        </w:rPr>
      </w:pPr>
      <w:r>
        <w:rPr>
          <w:rFonts w:cstheme="majorBidi"/>
          <w:noProof/>
          <w:sz w:val="22"/>
          <w:szCs w:val="22"/>
        </w:rPr>
        <w:lastRenderedPageBreak/>
        <w:t>7</w:t>
      </w:r>
      <w:r w:rsidR="00B150EB" w:rsidRPr="00DD505C">
        <w:rPr>
          <w:rFonts w:cstheme="majorBidi"/>
          <w:noProof/>
          <w:sz w:val="22"/>
          <w:szCs w:val="22"/>
        </w:rPr>
        <w:tab/>
      </w:r>
      <w:r w:rsidR="003F381D" w:rsidRPr="00170A94">
        <w:rPr>
          <w:rFonts w:cstheme="majorBidi"/>
          <w:noProof/>
          <w:sz w:val="22"/>
          <w:szCs w:val="22"/>
        </w:rPr>
        <w:t xml:space="preserve">Participation is open to ITU Member States, Sector Members, Associates and Academic Institutions and to any individual from a country </w:t>
      </w:r>
      <w:r w:rsidR="00573BB6" w:rsidRPr="00573BB6">
        <w:rPr>
          <w:rFonts w:cstheme="majorBidi"/>
          <w:noProof/>
          <w:sz w:val="22"/>
          <w:szCs w:val="22"/>
        </w:rPr>
        <w:t>that</w:t>
      </w:r>
      <w:r w:rsidR="003F381D" w:rsidRPr="00170A94">
        <w:rPr>
          <w:rFonts w:cstheme="majorBidi"/>
          <w:noProof/>
          <w:sz w:val="22"/>
          <w:szCs w:val="22"/>
        </w:rPr>
        <w:t xml:space="preserve"> is a member of </w:t>
      </w:r>
      <w:r w:rsidR="00573BB6" w:rsidRPr="00573BB6">
        <w:rPr>
          <w:rFonts w:cstheme="majorBidi"/>
          <w:noProof/>
          <w:sz w:val="22"/>
          <w:szCs w:val="22"/>
        </w:rPr>
        <w:t>ITU,</w:t>
      </w:r>
      <w:r w:rsidR="003F381D" w:rsidRPr="00170A94">
        <w:rPr>
          <w:rFonts w:cstheme="majorBidi"/>
          <w:noProof/>
          <w:sz w:val="22"/>
          <w:szCs w:val="22"/>
        </w:rPr>
        <w:t xml:space="preserve"> who wish to contribute</w:t>
      </w:r>
      <w:r w:rsidR="00573BB6" w:rsidRPr="00573BB6">
        <w:rPr>
          <w:rFonts w:cstheme="majorBidi"/>
          <w:noProof/>
          <w:sz w:val="22"/>
          <w:szCs w:val="22"/>
        </w:rPr>
        <w:t xml:space="preserve"> to the work.</w:t>
      </w:r>
      <w:r w:rsidR="003F381D" w:rsidRPr="00170A94">
        <w:rPr>
          <w:rFonts w:cstheme="majorBidi"/>
          <w:noProof/>
          <w:sz w:val="22"/>
          <w:szCs w:val="22"/>
        </w:rPr>
        <w:t xml:space="preserve"> This includes individuals who are also members of international, regional and national </w:t>
      </w:r>
      <w:r w:rsidR="00573BB6" w:rsidRPr="00573BB6">
        <w:rPr>
          <w:rFonts w:cstheme="majorBidi"/>
          <w:noProof/>
          <w:sz w:val="22"/>
          <w:szCs w:val="22"/>
        </w:rPr>
        <w:t>organizations, interested stakeholders, including telecom operators, regulators, Standard Development Organizations</w:t>
      </w:r>
      <w:r w:rsidR="00C362DC">
        <w:rPr>
          <w:rFonts w:cstheme="majorBidi"/>
          <w:noProof/>
          <w:sz w:val="22"/>
          <w:szCs w:val="22"/>
        </w:rPr>
        <w:t>,</w:t>
      </w:r>
      <w:r w:rsidR="00573BB6" w:rsidRPr="00573BB6">
        <w:rPr>
          <w:rFonts w:cstheme="majorBidi"/>
          <w:noProof/>
          <w:sz w:val="22"/>
          <w:szCs w:val="22"/>
        </w:rPr>
        <w:t xml:space="preserve"> and financial institutions.</w:t>
      </w:r>
    </w:p>
    <w:p w14:paraId="3C7D0270" w14:textId="559F700E" w:rsidR="00170A94" w:rsidRDefault="007E2718" w:rsidP="00DD071E">
      <w:pPr>
        <w:tabs>
          <w:tab w:val="clear" w:pos="794"/>
          <w:tab w:val="clear" w:pos="1191"/>
          <w:tab w:val="clear" w:pos="1588"/>
          <w:tab w:val="clear" w:pos="1985"/>
        </w:tabs>
        <w:overflowPunct/>
        <w:autoSpaceDE/>
        <w:autoSpaceDN/>
        <w:adjustRightInd/>
        <w:textAlignment w:val="auto"/>
        <w:rPr>
          <w:rFonts w:cstheme="majorBidi"/>
          <w:noProof/>
          <w:sz w:val="22"/>
          <w:szCs w:val="22"/>
        </w:rPr>
      </w:pPr>
      <w:r>
        <w:rPr>
          <w:rFonts w:cstheme="majorBidi"/>
          <w:noProof/>
          <w:sz w:val="22"/>
          <w:szCs w:val="22"/>
        </w:rPr>
        <w:t>8</w:t>
      </w:r>
      <w:r w:rsidR="00CA407B" w:rsidRPr="00DD505C">
        <w:rPr>
          <w:rFonts w:cstheme="majorBidi"/>
          <w:noProof/>
          <w:sz w:val="22"/>
          <w:szCs w:val="22"/>
        </w:rPr>
        <w:tab/>
      </w:r>
      <w:r w:rsidR="003D27F9" w:rsidRPr="00AC073D">
        <w:rPr>
          <w:sz w:val="22"/>
          <w:szCs w:val="22"/>
        </w:rPr>
        <w:t xml:space="preserve">All relevant Information pertaining to the </w:t>
      </w:r>
      <w:r>
        <w:rPr>
          <w:sz w:val="22"/>
          <w:szCs w:val="22"/>
        </w:rPr>
        <w:t>W</w:t>
      </w:r>
      <w:r w:rsidR="003D27F9" w:rsidRPr="00AC073D">
        <w:rPr>
          <w:sz w:val="22"/>
          <w:szCs w:val="22"/>
        </w:rPr>
        <w:t>orkshop including the draft programme will be made available on the event website at</w:t>
      </w:r>
      <w:r w:rsidR="003D27F9">
        <w:rPr>
          <w:sz w:val="22"/>
          <w:szCs w:val="22"/>
        </w:rPr>
        <w:t xml:space="preserve"> </w:t>
      </w:r>
      <w:hyperlink r:id="rId14" w:history="1">
        <w:r w:rsidR="00430721" w:rsidRPr="00430721">
          <w:rPr>
            <w:rStyle w:val="Hyperlink"/>
            <w:sz w:val="22"/>
            <w:szCs w:val="22"/>
          </w:rPr>
          <w:t>https://www.itu.int/en/ITU-T/Workshops-and-Seminars/2025/1117/Pages/default.aspx</w:t>
        </w:r>
      </w:hyperlink>
      <w:r w:rsidR="003D27F9" w:rsidRPr="00430721">
        <w:rPr>
          <w:sz w:val="22"/>
          <w:szCs w:val="22"/>
        </w:rPr>
        <w:t>.</w:t>
      </w:r>
      <w:r w:rsidR="003D27F9" w:rsidRPr="00AC073D">
        <w:rPr>
          <w:sz w:val="22"/>
          <w:szCs w:val="22"/>
        </w:rPr>
        <w:t xml:space="preserve"> The event webpage will be updated regularly as more information becomes available. Participants are encouraged to check periodically for updates</w:t>
      </w:r>
      <w:r>
        <w:rPr>
          <w:sz w:val="22"/>
          <w:szCs w:val="22"/>
        </w:rPr>
        <w:t>.</w:t>
      </w:r>
    </w:p>
    <w:p w14:paraId="6B67E916" w14:textId="5D5206E2" w:rsidR="003D27F9" w:rsidRPr="00AC073D" w:rsidRDefault="007E2718" w:rsidP="003D27F9">
      <w:pPr>
        <w:tabs>
          <w:tab w:val="left" w:pos="990"/>
        </w:tabs>
        <w:rPr>
          <w:b/>
          <w:bCs/>
          <w:sz w:val="22"/>
          <w:szCs w:val="22"/>
        </w:rPr>
      </w:pPr>
      <w:bookmarkStart w:id="0" w:name="_Hlk153275870"/>
      <w:r>
        <w:rPr>
          <w:rFonts w:cstheme="majorBidi"/>
          <w:noProof/>
          <w:sz w:val="22"/>
          <w:szCs w:val="22"/>
        </w:rPr>
        <w:t>9</w:t>
      </w:r>
      <w:r w:rsidR="00275613">
        <w:tab/>
      </w:r>
      <w:bookmarkEnd w:id="0"/>
      <w:r w:rsidR="003D27F9" w:rsidRPr="3A29DA54">
        <w:rPr>
          <w:sz w:val="22"/>
          <w:szCs w:val="22"/>
        </w:rPr>
        <w:t xml:space="preserve">To enable </w:t>
      </w:r>
      <w:r>
        <w:rPr>
          <w:sz w:val="22"/>
          <w:szCs w:val="22"/>
        </w:rPr>
        <w:t>the team</w:t>
      </w:r>
      <w:r w:rsidRPr="3A29DA54">
        <w:rPr>
          <w:sz w:val="22"/>
          <w:szCs w:val="22"/>
        </w:rPr>
        <w:t xml:space="preserve"> </w:t>
      </w:r>
      <w:r w:rsidR="003D27F9" w:rsidRPr="3A29DA54">
        <w:rPr>
          <w:sz w:val="22"/>
          <w:szCs w:val="22"/>
        </w:rPr>
        <w:t>to make the necessary arrangements I</w:t>
      </w:r>
      <w:r>
        <w:rPr>
          <w:sz w:val="22"/>
          <w:szCs w:val="22"/>
        </w:rPr>
        <w:t xml:space="preserve"> would</w:t>
      </w:r>
      <w:r w:rsidR="003D27F9" w:rsidRPr="3A29DA54">
        <w:rPr>
          <w:sz w:val="22"/>
          <w:szCs w:val="22"/>
        </w:rPr>
        <w:t xml:space="preserve"> be grateful if you </w:t>
      </w:r>
      <w:r>
        <w:rPr>
          <w:sz w:val="22"/>
          <w:szCs w:val="22"/>
        </w:rPr>
        <w:t>could</w:t>
      </w:r>
      <w:r w:rsidRPr="3A29DA54">
        <w:rPr>
          <w:sz w:val="22"/>
          <w:szCs w:val="22"/>
        </w:rPr>
        <w:t xml:space="preserve"> </w:t>
      </w:r>
      <w:r w:rsidR="003D27F9" w:rsidRPr="3A29DA54">
        <w:rPr>
          <w:sz w:val="22"/>
          <w:szCs w:val="22"/>
        </w:rPr>
        <w:t xml:space="preserve">register as soon as possible at </w:t>
      </w:r>
      <w:hyperlink r:id="rId15">
        <w:r w:rsidR="008E67AD" w:rsidRPr="3A29DA54">
          <w:rPr>
            <w:rStyle w:val="Hyperlink"/>
            <w:sz w:val="22"/>
            <w:szCs w:val="22"/>
          </w:rPr>
          <w:t>https://www.itu.int/net4/CRM/xreg/web/Registration.aspx?Event=C-00015464</w:t>
        </w:r>
      </w:hyperlink>
      <w:r w:rsidR="003D27F9" w:rsidRPr="3A29DA54">
        <w:rPr>
          <w:sz w:val="22"/>
          <w:szCs w:val="22"/>
        </w:rPr>
        <w:t xml:space="preserve">. </w:t>
      </w:r>
      <w:r w:rsidR="003D27F9" w:rsidRPr="3A29DA54">
        <w:rPr>
          <w:b/>
          <w:bCs/>
          <w:sz w:val="22"/>
          <w:szCs w:val="22"/>
        </w:rPr>
        <w:t xml:space="preserve">Please note that pre-registration for </w:t>
      </w:r>
      <w:r>
        <w:rPr>
          <w:b/>
          <w:bCs/>
          <w:sz w:val="22"/>
          <w:szCs w:val="22"/>
        </w:rPr>
        <w:t xml:space="preserve">ITU </w:t>
      </w:r>
      <w:r w:rsidR="003D27F9" w:rsidRPr="3A29DA54">
        <w:rPr>
          <w:b/>
          <w:bCs/>
          <w:sz w:val="22"/>
          <w:szCs w:val="22"/>
        </w:rPr>
        <w:t xml:space="preserve">workshops is mandatory and carried out </w:t>
      </w:r>
      <w:r>
        <w:rPr>
          <w:b/>
          <w:bCs/>
          <w:sz w:val="22"/>
          <w:szCs w:val="22"/>
        </w:rPr>
        <w:t xml:space="preserve">exclusively </w:t>
      </w:r>
      <w:r w:rsidR="003D27F9" w:rsidRPr="3A29DA54">
        <w:rPr>
          <w:b/>
          <w:bCs/>
          <w:sz w:val="22"/>
          <w:szCs w:val="22"/>
        </w:rPr>
        <w:t>online.</w:t>
      </w:r>
      <w:r>
        <w:rPr>
          <w:b/>
          <w:bCs/>
          <w:sz w:val="22"/>
          <w:szCs w:val="22"/>
        </w:rPr>
        <w:t xml:space="preserve"> </w:t>
      </w:r>
      <w:r w:rsidRPr="00AC073D">
        <w:rPr>
          <w:sz w:val="22"/>
          <w:szCs w:val="22"/>
        </w:rPr>
        <w:t xml:space="preserve">Participation </w:t>
      </w:r>
      <w:r>
        <w:rPr>
          <w:sz w:val="22"/>
          <w:szCs w:val="22"/>
        </w:rPr>
        <w:t xml:space="preserve">in this event </w:t>
      </w:r>
      <w:r w:rsidRPr="00AC073D">
        <w:rPr>
          <w:sz w:val="22"/>
          <w:szCs w:val="22"/>
        </w:rPr>
        <w:t>is free of charge</w:t>
      </w:r>
      <w:r>
        <w:rPr>
          <w:sz w:val="22"/>
          <w:szCs w:val="22"/>
        </w:rPr>
        <w:t>.</w:t>
      </w:r>
    </w:p>
    <w:p w14:paraId="2F8AA151" w14:textId="2EDEECC3" w:rsidR="005A2667" w:rsidRPr="00757980" w:rsidRDefault="007E2718" w:rsidP="005A2667">
      <w:pPr>
        <w:rPr>
          <w:rFonts w:cstheme="majorBidi"/>
          <w:bCs/>
          <w:noProof/>
          <w:sz w:val="22"/>
          <w:szCs w:val="22"/>
          <w:u w:val="single"/>
        </w:rPr>
      </w:pPr>
      <w:r>
        <w:rPr>
          <w:rFonts w:cstheme="majorBidi"/>
          <w:bCs/>
          <w:noProof/>
          <w:sz w:val="22"/>
          <w:szCs w:val="22"/>
        </w:rPr>
        <w:t>10</w:t>
      </w:r>
      <w:r w:rsidR="00CA407B">
        <w:rPr>
          <w:rFonts w:cstheme="majorBidi"/>
          <w:b/>
          <w:noProof/>
          <w:sz w:val="22"/>
          <w:szCs w:val="22"/>
        </w:rPr>
        <w:tab/>
      </w:r>
      <w:r w:rsidR="003D27F9" w:rsidRPr="00AC073D">
        <w:rPr>
          <w:rStyle w:val="normaltextrun"/>
          <w:rFonts w:eastAsiaTheme="majorEastAsia" w:cs="Calibri"/>
          <w:color w:val="000000"/>
          <w:sz w:val="22"/>
          <w:szCs w:val="22"/>
          <w:shd w:val="clear" w:color="auto" w:fill="FFFFFF"/>
        </w:rPr>
        <w:t xml:space="preserve">I would </w:t>
      </w:r>
      <w:r w:rsidR="00677EF1" w:rsidRPr="00677EF1">
        <w:rPr>
          <w:rStyle w:val="normaltextrun"/>
          <w:rFonts w:eastAsiaTheme="majorEastAsia" w:cs="Calibri"/>
          <w:color w:val="000000"/>
          <w:sz w:val="22"/>
          <w:szCs w:val="22"/>
          <w:shd w:val="clear" w:color="auto" w:fill="FFFFFF"/>
        </w:rPr>
        <w:t xml:space="preserve">like to </w:t>
      </w:r>
      <w:r w:rsidR="003D27F9" w:rsidRPr="00AC073D">
        <w:rPr>
          <w:rStyle w:val="normaltextrun"/>
          <w:rFonts w:eastAsiaTheme="majorEastAsia" w:cs="Calibri"/>
          <w:color w:val="000000"/>
          <w:sz w:val="22"/>
          <w:szCs w:val="22"/>
          <w:shd w:val="clear" w:color="auto" w:fill="FFFFFF"/>
        </w:rPr>
        <w:t xml:space="preserve">remind you that citizens of some countries are required to obtain a visa </w:t>
      </w:r>
      <w:proofErr w:type="gramStart"/>
      <w:r w:rsidR="00677EF1" w:rsidRPr="00677EF1">
        <w:rPr>
          <w:rStyle w:val="normaltextrun"/>
          <w:rFonts w:eastAsiaTheme="majorEastAsia" w:cs="Calibri"/>
          <w:color w:val="000000"/>
          <w:sz w:val="22"/>
          <w:szCs w:val="22"/>
          <w:shd w:val="clear" w:color="auto" w:fill="FFFFFF"/>
        </w:rPr>
        <w:t xml:space="preserve">in order </w:t>
      </w:r>
      <w:r w:rsidR="003D27F9" w:rsidRPr="00AC073D">
        <w:rPr>
          <w:rStyle w:val="normaltextrun"/>
          <w:rFonts w:eastAsiaTheme="majorEastAsia" w:cs="Calibri"/>
          <w:color w:val="000000"/>
          <w:sz w:val="22"/>
          <w:szCs w:val="22"/>
          <w:shd w:val="clear" w:color="auto" w:fill="FFFFFF"/>
        </w:rPr>
        <w:t>to</w:t>
      </w:r>
      <w:proofErr w:type="gramEnd"/>
      <w:r w:rsidR="003D27F9" w:rsidRPr="00AC073D">
        <w:rPr>
          <w:rStyle w:val="normaltextrun"/>
          <w:rFonts w:eastAsiaTheme="majorEastAsia" w:cs="Calibri"/>
          <w:color w:val="000000"/>
          <w:sz w:val="22"/>
          <w:szCs w:val="22"/>
          <w:shd w:val="clear" w:color="auto" w:fill="FFFFFF"/>
        </w:rPr>
        <w:t xml:space="preserve"> enter and spend any time in </w:t>
      </w:r>
      <w:r w:rsidR="00677EF1" w:rsidRPr="00677EF1">
        <w:rPr>
          <w:rStyle w:val="normaltextrun"/>
          <w:rFonts w:eastAsiaTheme="majorEastAsia" w:cs="Calibri"/>
          <w:color w:val="000000"/>
          <w:sz w:val="22"/>
          <w:szCs w:val="22"/>
          <w:shd w:val="clear" w:color="auto" w:fill="FFFFFF"/>
        </w:rPr>
        <w:t>Switzerland.</w:t>
      </w:r>
      <w:r w:rsidR="003D27F9" w:rsidRPr="00AC073D">
        <w:rPr>
          <w:rStyle w:val="normaltextrun"/>
          <w:rFonts w:eastAsiaTheme="majorEastAsia" w:cs="Calibri"/>
          <w:color w:val="000000"/>
          <w:sz w:val="22"/>
          <w:szCs w:val="22"/>
          <w:shd w:val="clear" w:color="auto" w:fill="FFFFFF"/>
        </w:rPr>
        <w:t xml:space="preserve"> The visa must be obtained from the office (embassy or consulate) representing </w:t>
      </w:r>
      <w:r w:rsidR="00677EF1" w:rsidRPr="00677EF1">
        <w:rPr>
          <w:rStyle w:val="normaltextrun"/>
          <w:rFonts w:eastAsiaTheme="majorEastAsia" w:cs="Calibri"/>
          <w:color w:val="000000"/>
          <w:sz w:val="22"/>
          <w:szCs w:val="22"/>
          <w:shd w:val="clear" w:color="auto" w:fill="FFFFFF"/>
        </w:rPr>
        <w:t>Switzerland</w:t>
      </w:r>
      <w:r w:rsidR="003D27F9" w:rsidRPr="00AC073D">
        <w:rPr>
          <w:rStyle w:val="normaltextrun"/>
          <w:rFonts w:eastAsiaTheme="majorEastAsia" w:cs="Calibri"/>
          <w:color w:val="000000"/>
          <w:sz w:val="22"/>
          <w:szCs w:val="22"/>
          <w:shd w:val="clear" w:color="auto" w:fill="FFFFFF"/>
        </w:rPr>
        <w:t xml:space="preserve"> in your country or, if there is no such office in your country, from the one that is closest to the country of departure. </w:t>
      </w:r>
      <w:r w:rsidR="00677EF1" w:rsidRPr="00677EF1">
        <w:rPr>
          <w:rStyle w:val="normaltextrun"/>
          <w:rFonts w:eastAsiaTheme="majorEastAsia" w:cs="Calibri"/>
          <w:color w:val="000000"/>
          <w:sz w:val="22"/>
          <w:szCs w:val="22"/>
          <w:shd w:val="clear" w:color="auto" w:fill="FFFFFF"/>
        </w:rPr>
        <w:t>Visa processing and approval may take some time, it is therefore suggested to check directly with the appropriate representation and apply early.</w:t>
      </w:r>
    </w:p>
    <w:p w14:paraId="2F5F9C2E" w14:textId="4E6625C1" w:rsidR="00041916" w:rsidRDefault="00B61012" w:rsidP="005A2667">
      <w:pPr>
        <w:rPr>
          <w:noProof/>
          <w:sz w:val="22"/>
          <w:szCs w:val="22"/>
        </w:rPr>
      </w:pPr>
      <w:r w:rsidRPr="00170A94">
        <w:rPr>
          <w:noProof/>
          <w:sz w:val="22"/>
          <w:szCs w:val="22"/>
        </w:rPr>
        <w:t>Yours faithfully,</w:t>
      </w:r>
    </w:p>
    <w:p w14:paraId="30F44D4D" w14:textId="3FC3421E" w:rsidR="00CA407B" w:rsidRDefault="008408E7" w:rsidP="005A2667">
      <w:pPr>
        <w:spacing w:before="720"/>
        <w:rPr>
          <w:noProof/>
          <w:sz w:val="22"/>
          <w:szCs w:val="22"/>
        </w:rPr>
      </w:pPr>
      <w:r>
        <w:rPr>
          <w:noProof/>
          <w:sz w:val="22"/>
          <w:szCs w:val="22"/>
        </w:rPr>
        <w:drawing>
          <wp:anchor distT="0" distB="0" distL="114300" distR="114300" simplePos="0" relativeHeight="251659264" behindDoc="1" locked="0" layoutInCell="1" allowOverlap="1" wp14:anchorId="675A5071" wp14:editId="40CC4D0B">
            <wp:simplePos x="0" y="0"/>
            <wp:positionH relativeFrom="margin">
              <wp:align>left</wp:align>
            </wp:positionH>
            <wp:positionV relativeFrom="paragraph">
              <wp:posOffset>57785</wp:posOffset>
            </wp:positionV>
            <wp:extent cx="711237" cy="368319"/>
            <wp:effectExtent l="0" t="0" r="0" b="0"/>
            <wp:wrapNone/>
            <wp:docPr id="734484439"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484439" name="Picture 2" descr="A black text on a white background&#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711237" cy="368319"/>
                    </a:xfrm>
                    <a:prstGeom prst="rect">
                      <a:avLst/>
                    </a:prstGeom>
                  </pic:spPr>
                </pic:pic>
              </a:graphicData>
            </a:graphic>
          </wp:anchor>
        </w:drawing>
      </w:r>
      <w:r w:rsidR="00CA407B">
        <w:rPr>
          <w:noProof/>
          <w:sz w:val="22"/>
          <w:szCs w:val="22"/>
        </w:rPr>
        <w:t>Seizo Onoe</w:t>
      </w:r>
    </w:p>
    <w:p w14:paraId="5D7080BA" w14:textId="3E66894A" w:rsidR="00063830" w:rsidRPr="003D27F9" w:rsidRDefault="00CA407B" w:rsidP="003D27F9">
      <w:pPr>
        <w:spacing w:before="0"/>
        <w:rPr>
          <w:noProof/>
          <w:sz w:val="22"/>
          <w:szCs w:val="22"/>
        </w:rPr>
      </w:pPr>
      <w:r w:rsidRPr="00170A94">
        <w:rPr>
          <w:noProof/>
          <w:sz w:val="22"/>
          <w:szCs w:val="22"/>
        </w:rPr>
        <w:t>Director of the Telecommunication</w:t>
      </w:r>
      <w:r w:rsidRPr="00170A94">
        <w:rPr>
          <w:noProof/>
          <w:sz w:val="22"/>
          <w:szCs w:val="22"/>
        </w:rPr>
        <w:br/>
        <w:t>Standardization Bureau</w:t>
      </w:r>
    </w:p>
    <w:sectPr w:rsidR="00063830" w:rsidRPr="003D27F9" w:rsidSect="00DA1F03">
      <w:headerReference w:type="default" r:id="rId17"/>
      <w:footerReference w:type="first" r:id="rId18"/>
      <w:type w:val="oddPage"/>
      <w:pgSz w:w="11907" w:h="16834" w:code="9"/>
      <w:pgMar w:top="567" w:right="1089" w:bottom="567" w:left="1089" w:header="567" w:footer="432"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A7B8B" w14:textId="77777777" w:rsidR="003A79F5" w:rsidRDefault="003A79F5">
      <w:r>
        <w:separator/>
      </w:r>
    </w:p>
    <w:p w14:paraId="69727742" w14:textId="77777777" w:rsidR="003A79F5" w:rsidRDefault="003A79F5"/>
  </w:endnote>
  <w:endnote w:type="continuationSeparator" w:id="0">
    <w:p w14:paraId="6BDD7190" w14:textId="77777777" w:rsidR="003A79F5" w:rsidRDefault="003A79F5">
      <w:r>
        <w:continuationSeparator/>
      </w:r>
    </w:p>
    <w:p w14:paraId="295AA470" w14:textId="77777777" w:rsidR="003A79F5" w:rsidRDefault="003A79F5"/>
  </w:endnote>
  <w:endnote w:type="continuationNotice" w:id="1">
    <w:p w14:paraId="1977B2FF" w14:textId="77777777" w:rsidR="003A79F5" w:rsidRDefault="003A79F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E23EB" w14:textId="2A213E1B" w:rsidR="00FA46A0" w:rsidRPr="00333A08" w:rsidRDefault="00170A94" w:rsidP="00170A94">
    <w:pPr>
      <w:pStyle w:val="FirstFooter"/>
      <w:ind w:left="-397" w:right="-397"/>
      <w:jc w:val="center"/>
      <w:rPr>
        <w:color w:val="3E8EDE"/>
        <w:sz w:val="18"/>
        <w:szCs w:val="18"/>
      </w:rPr>
    </w:pPr>
    <w:r w:rsidRPr="00333A08">
      <w:rPr>
        <w:color w:val="3E8EDE"/>
        <w:sz w:val="18"/>
        <w:szCs w:val="18"/>
      </w:rPr>
      <w:t>International Telecommunication Union • Place des Nations, CH</w:t>
    </w:r>
    <w:r w:rsidRPr="00333A08">
      <w:rPr>
        <w:color w:val="3E8EDE"/>
        <w:sz w:val="18"/>
        <w:szCs w:val="18"/>
      </w:rPr>
      <w:noBreakHyphen/>
      <w:t xml:space="preserve">1211 Geneva 20, Switzerland </w:t>
    </w:r>
    <w:r w:rsidRPr="00333A08">
      <w:rPr>
        <w:color w:val="3E8EDE"/>
        <w:sz w:val="18"/>
        <w:szCs w:val="18"/>
      </w:rPr>
      <w:br/>
      <w:t xml:space="preserve">Tel: +41 22 730 5111 • Fax: +41 22 733 7256 • E-mail: </w:t>
    </w:r>
    <w:hyperlink r:id="rId1" w:history="1">
      <w:r w:rsidRPr="00333A08">
        <w:rPr>
          <w:color w:val="3E8EDE"/>
          <w:sz w:val="18"/>
          <w:szCs w:val="18"/>
        </w:rPr>
        <w:t>itumail@itu.int</w:t>
      </w:r>
    </w:hyperlink>
    <w:r w:rsidRPr="00333A08">
      <w:rPr>
        <w:color w:val="3E8EDE"/>
        <w:sz w:val="18"/>
        <w:szCs w:val="18"/>
      </w:rPr>
      <w:t xml:space="preserve"> • </w:t>
    </w:r>
    <w:hyperlink r:id="rId2" w:history="1">
      <w:r w:rsidRPr="00333A08">
        <w:rPr>
          <w:color w:val="3E8EDE"/>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A1188" w14:textId="77777777" w:rsidR="003A79F5" w:rsidRDefault="003A79F5">
      <w:r>
        <w:t>____________________</w:t>
      </w:r>
    </w:p>
    <w:p w14:paraId="593F4494" w14:textId="77777777" w:rsidR="003A79F5" w:rsidRDefault="003A79F5"/>
  </w:footnote>
  <w:footnote w:type="continuationSeparator" w:id="0">
    <w:p w14:paraId="2FA80562" w14:textId="77777777" w:rsidR="003A79F5" w:rsidRDefault="003A79F5">
      <w:r>
        <w:continuationSeparator/>
      </w:r>
    </w:p>
    <w:p w14:paraId="5BE35C63" w14:textId="77777777" w:rsidR="003A79F5" w:rsidRDefault="003A79F5"/>
  </w:footnote>
  <w:footnote w:type="continuationNotice" w:id="1">
    <w:p w14:paraId="3791BDC1" w14:textId="77777777" w:rsidR="003A79F5" w:rsidRDefault="003A79F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4DCBA" w14:textId="636AC3D7" w:rsidR="00754231" w:rsidRDefault="00B61012" w:rsidP="00754231">
    <w:pPr>
      <w:pStyle w:val="Header"/>
      <w:rPr>
        <w:noProof/>
      </w:rPr>
    </w:pPr>
    <w:r>
      <w:t xml:space="preserve">- </w:t>
    </w:r>
    <w:r w:rsidR="00FA46A0">
      <w:fldChar w:fldCharType="begin"/>
    </w:r>
    <w:r>
      <w:instrText xml:space="preserve"> PAGE   \* MERGEFORMAT </w:instrText>
    </w:r>
    <w:r w:rsidR="00FA46A0">
      <w:fldChar w:fldCharType="separate"/>
    </w:r>
    <w:r w:rsidR="0045246D">
      <w:rPr>
        <w:noProof/>
      </w:rPr>
      <w:t>4</w:t>
    </w:r>
    <w:r w:rsidR="00FA46A0">
      <w:rPr>
        <w:noProof/>
      </w:rPr>
      <w:fldChar w:fldCharType="end"/>
    </w:r>
    <w:r>
      <w:rPr>
        <w:noProof/>
      </w:rPr>
      <w:t xml:space="preserve"> -</w:t>
    </w:r>
    <w:r w:rsidR="00503ADB">
      <w:rPr>
        <w:noProof/>
      </w:rPr>
      <w:br/>
      <w:t xml:space="preserve">TSB Circular </w:t>
    </w:r>
    <w:r w:rsidR="004366F8">
      <w:rPr>
        <w:noProof/>
      </w:rPr>
      <w:t>56</w:t>
    </w:r>
  </w:p>
  <w:p w14:paraId="59C2738D" w14:textId="77777777" w:rsidR="00A71DAE" w:rsidRDefault="00A71DAE" w:rsidP="00A71D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72493"/>
    <w:multiLevelType w:val="hybridMultilevel"/>
    <w:tmpl w:val="B9080250"/>
    <w:lvl w:ilvl="0" w:tplc="8D2EC340">
      <w:numFmt w:val="bullet"/>
      <w:lvlText w:val="−"/>
      <w:lvlJc w:val="left"/>
      <w:pPr>
        <w:ind w:left="360" w:hanging="360"/>
      </w:pPr>
      <w:rPr>
        <w:rFonts w:ascii="Garamond" w:eastAsia="MS Mincho" w:hAnsi="Garamond"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C067E0A"/>
    <w:multiLevelType w:val="hybridMultilevel"/>
    <w:tmpl w:val="7CDEF55E"/>
    <w:lvl w:ilvl="0" w:tplc="DB4A49D2">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4969EE"/>
    <w:multiLevelType w:val="hybridMultilevel"/>
    <w:tmpl w:val="272AC004"/>
    <w:lvl w:ilvl="0" w:tplc="38A80AD2">
      <w:numFmt w:val="bullet"/>
      <w:lvlText w:val="–"/>
      <w:lvlJc w:val="left"/>
      <w:pPr>
        <w:ind w:left="720" w:hanging="360"/>
      </w:pPr>
      <w:rPr>
        <w:rFonts w:ascii="Calibri" w:eastAsiaTheme="majorEastAsia"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C630AA"/>
    <w:multiLevelType w:val="hybridMultilevel"/>
    <w:tmpl w:val="62641F9A"/>
    <w:lvl w:ilvl="0" w:tplc="8D2EC340">
      <w:numFmt w:val="bullet"/>
      <w:lvlText w:val="−"/>
      <w:lvlJc w:val="left"/>
      <w:pPr>
        <w:ind w:left="360" w:hanging="360"/>
      </w:pPr>
      <w:rPr>
        <w:rFonts w:ascii="Garamond" w:eastAsia="MS Mincho" w:hAnsi="Garamond"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840D92"/>
    <w:multiLevelType w:val="hybridMultilevel"/>
    <w:tmpl w:val="9DE87ED0"/>
    <w:lvl w:ilvl="0" w:tplc="8D2EC340">
      <w:numFmt w:val="bullet"/>
      <w:lvlText w:val="−"/>
      <w:lvlJc w:val="left"/>
      <w:pPr>
        <w:ind w:left="360" w:hanging="360"/>
      </w:pPr>
      <w:rPr>
        <w:rFonts w:ascii="Garamond" w:eastAsia="MS Mincho" w:hAnsi="Garamond"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856B71"/>
    <w:multiLevelType w:val="hybridMultilevel"/>
    <w:tmpl w:val="417EF47A"/>
    <w:lvl w:ilvl="0" w:tplc="8D2EC340">
      <w:numFmt w:val="bullet"/>
      <w:lvlText w:val="−"/>
      <w:lvlJc w:val="left"/>
      <w:pPr>
        <w:ind w:left="360" w:hanging="360"/>
      </w:pPr>
      <w:rPr>
        <w:rFonts w:ascii="Garamond" w:eastAsia="MS Mincho" w:hAnsi="Garamond"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4092DBF"/>
    <w:multiLevelType w:val="hybridMultilevel"/>
    <w:tmpl w:val="6C44F96E"/>
    <w:lvl w:ilvl="0" w:tplc="6AA24326">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7C76447"/>
    <w:multiLevelType w:val="hybridMultilevel"/>
    <w:tmpl w:val="9B6E758A"/>
    <w:lvl w:ilvl="0" w:tplc="8D2EC340">
      <w:numFmt w:val="bullet"/>
      <w:lvlText w:val="−"/>
      <w:lvlJc w:val="left"/>
      <w:pPr>
        <w:ind w:left="360" w:hanging="360"/>
      </w:pPr>
      <w:rPr>
        <w:rFonts w:ascii="Garamond" w:eastAsia="MS Mincho" w:hAnsi="Garamond"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99A4F18"/>
    <w:multiLevelType w:val="hybridMultilevel"/>
    <w:tmpl w:val="0072769A"/>
    <w:lvl w:ilvl="0" w:tplc="58D69F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9A3784"/>
    <w:multiLevelType w:val="hybridMultilevel"/>
    <w:tmpl w:val="0F8CB136"/>
    <w:lvl w:ilvl="0" w:tplc="8BE6A14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1521034">
    <w:abstractNumId w:val="9"/>
  </w:num>
  <w:num w:numId="2" w16cid:durableId="693380142">
    <w:abstractNumId w:val="7"/>
  </w:num>
  <w:num w:numId="3" w16cid:durableId="1110930127">
    <w:abstractNumId w:val="6"/>
  </w:num>
  <w:num w:numId="4" w16cid:durableId="1079667940">
    <w:abstractNumId w:val="5"/>
  </w:num>
  <w:num w:numId="5" w16cid:durableId="208802095">
    <w:abstractNumId w:val="4"/>
  </w:num>
  <w:num w:numId="6" w16cid:durableId="1422066917">
    <w:abstractNumId w:val="8"/>
  </w:num>
  <w:num w:numId="7" w16cid:durableId="1228761073">
    <w:abstractNumId w:val="3"/>
  </w:num>
  <w:num w:numId="8" w16cid:durableId="1829784147">
    <w:abstractNumId w:val="2"/>
  </w:num>
  <w:num w:numId="9" w16cid:durableId="1870793785">
    <w:abstractNumId w:val="1"/>
  </w:num>
  <w:num w:numId="10" w16cid:durableId="2005086503">
    <w:abstractNumId w:val="0"/>
  </w:num>
  <w:num w:numId="11" w16cid:durableId="296574453">
    <w:abstractNumId w:val="16"/>
  </w:num>
  <w:num w:numId="12" w16cid:durableId="784158620">
    <w:abstractNumId w:val="15"/>
  </w:num>
  <w:num w:numId="13" w16cid:durableId="54937095">
    <w:abstractNumId w:val="13"/>
  </w:num>
  <w:num w:numId="14" w16cid:durableId="1728411435">
    <w:abstractNumId w:val="17"/>
  </w:num>
  <w:num w:numId="15" w16cid:durableId="2107653338">
    <w:abstractNumId w:val="14"/>
  </w:num>
  <w:num w:numId="16" w16cid:durableId="1151409221">
    <w:abstractNumId w:val="10"/>
  </w:num>
  <w:num w:numId="17" w16cid:durableId="766921568">
    <w:abstractNumId w:val="18"/>
  </w:num>
  <w:num w:numId="18" w16cid:durableId="759712952">
    <w:abstractNumId w:val="11"/>
  </w:num>
  <w:num w:numId="19" w16cid:durableId="1450734024">
    <w:abstractNumId w:val="12"/>
  </w:num>
  <w:num w:numId="20" w16cid:durableId="4397668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GB"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223"/>
    <w:rsid w:val="00003B62"/>
    <w:rsid w:val="00007BE0"/>
    <w:rsid w:val="000119F4"/>
    <w:rsid w:val="00016891"/>
    <w:rsid w:val="00022E6B"/>
    <w:rsid w:val="00023C58"/>
    <w:rsid w:val="000273AE"/>
    <w:rsid w:val="000324F2"/>
    <w:rsid w:val="00040C30"/>
    <w:rsid w:val="00041916"/>
    <w:rsid w:val="000439DD"/>
    <w:rsid w:val="00050654"/>
    <w:rsid w:val="00054FA2"/>
    <w:rsid w:val="00056832"/>
    <w:rsid w:val="000628F9"/>
    <w:rsid w:val="00063830"/>
    <w:rsid w:val="00072A10"/>
    <w:rsid w:val="0009074B"/>
    <w:rsid w:val="000920A3"/>
    <w:rsid w:val="0009402B"/>
    <w:rsid w:val="00097A65"/>
    <w:rsid w:val="000A2051"/>
    <w:rsid w:val="000A5DA7"/>
    <w:rsid w:val="000A7DAB"/>
    <w:rsid w:val="000B15C8"/>
    <w:rsid w:val="000C344C"/>
    <w:rsid w:val="000D760B"/>
    <w:rsid w:val="000E0A56"/>
    <w:rsid w:val="000E6505"/>
    <w:rsid w:val="000F051E"/>
    <w:rsid w:val="000F190C"/>
    <w:rsid w:val="000F5994"/>
    <w:rsid w:val="000F7601"/>
    <w:rsid w:val="001018E1"/>
    <w:rsid w:val="00102DFE"/>
    <w:rsid w:val="0010334A"/>
    <w:rsid w:val="00110A35"/>
    <w:rsid w:val="0011107F"/>
    <w:rsid w:val="00112F37"/>
    <w:rsid w:val="00122F45"/>
    <w:rsid w:val="00130DCD"/>
    <w:rsid w:val="00136358"/>
    <w:rsid w:val="00153514"/>
    <w:rsid w:val="001614A6"/>
    <w:rsid w:val="00163AFC"/>
    <w:rsid w:val="0017051B"/>
    <w:rsid w:val="00170A94"/>
    <w:rsid w:val="00177816"/>
    <w:rsid w:val="00177993"/>
    <w:rsid w:val="00187741"/>
    <w:rsid w:val="00193B81"/>
    <w:rsid w:val="00194FC7"/>
    <w:rsid w:val="001951CA"/>
    <w:rsid w:val="001A34EC"/>
    <w:rsid w:val="001A5D2E"/>
    <w:rsid w:val="001B109E"/>
    <w:rsid w:val="001B355A"/>
    <w:rsid w:val="001B4BCB"/>
    <w:rsid w:val="001C19AD"/>
    <w:rsid w:val="001D17C7"/>
    <w:rsid w:val="001D421E"/>
    <w:rsid w:val="001E0FD0"/>
    <w:rsid w:val="001E11A2"/>
    <w:rsid w:val="001E5CC8"/>
    <w:rsid w:val="001F0F81"/>
    <w:rsid w:val="001F2731"/>
    <w:rsid w:val="001F45D5"/>
    <w:rsid w:val="002015F7"/>
    <w:rsid w:val="002046EC"/>
    <w:rsid w:val="002047B9"/>
    <w:rsid w:val="00220A00"/>
    <w:rsid w:val="0022558F"/>
    <w:rsid w:val="002264FB"/>
    <w:rsid w:val="00226BA2"/>
    <w:rsid w:val="0023244F"/>
    <w:rsid w:val="002334C9"/>
    <w:rsid w:val="00236E3A"/>
    <w:rsid w:val="00243019"/>
    <w:rsid w:val="002437CB"/>
    <w:rsid w:val="00245BBC"/>
    <w:rsid w:val="00250580"/>
    <w:rsid w:val="0026606B"/>
    <w:rsid w:val="00271A86"/>
    <w:rsid w:val="00275613"/>
    <w:rsid w:val="00282E94"/>
    <w:rsid w:val="00291B20"/>
    <w:rsid w:val="002A1FC9"/>
    <w:rsid w:val="002A736C"/>
    <w:rsid w:val="002A7510"/>
    <w:rsid w:val="002B23F7"/>
    <w:rsid w:val="002B69FB"/>
    <w:rsid w:val="002C3CA7"/>
    <w:rsid w:val="002C5A86"/>
    <w:rsid w:val="002C5F3C"/>
    <w:rsid w:val="002C7D3E"/>
    <w:rsid w:val="002E1225"/>
    <w:rsid w:val="002E586B"/>
    <w:rsid w:val="002E6D3B"/>
    <w:rsid w:val="002F1EF1"/>
    <w:rsid w:val="002F379F"/>
    <w:rsid w:val="002F6874"/>
    <w:rsid w:val="00310777"/>
    <w:rsid w:val="003217B2"/>
    <w:rsid w:val="00324405"/>
    <w:rsid w:val="0032532C"/>
    <w:rsid w:val="00325401"/>
    <w:rsid w:val="00333A08"/>
    <w:rsid w:val="003357EF"/>
    <w:rsid w:val="003420E2"/>
    <w:rsid w:val="003507E1"/>
    <w:rsid w:val="00356B73"/>
    <w:rsid w:val="003631DA"/>
    <w:rsid w:val="00363D08"/>
    <w:rsid w:val="00366134"/>
    <w:rsid w:val="00372BAB"/>
    <w:rsid w:val="003746A5"/>
    <w:rsid w:val="00381A11"/>
    <w:rsid w:val="00383F3F"/>
    <w:rsid w:val="00397217"/>
    <w:rsid w:val="00397498"/>
    <w:rsid w:val="003A327E"/>
    <w:rsid w:val="003A79F5"/>
    <w:rsid w:val="003C2CFC"/>
    <w:rsid w:val="003C59DC"/>
    <w:rsid w:val="003D27F9"/>
    <w:rsid w:val="003D37B7"/>
    <w:rsid w:val="003D4476"/>
    <w:rsid w:val="003D4690"/>
    <w:rsid w:val="003D57BF"/>
    <w:rsid w:val="003E4E47"/>
    <w:rsid w:val="003F381D"/>
    <w:rsid w:val="004038A2"/>
    <w:rsid w:val="0041231B"/>
    <w:rsid w:val="00412628"/>
    <w:rsid w:val="00414C69"/>
    <w:rsid w:val="004164AF"/>
    <w:rsid w:val="00421C21"/>
    <w:rsid w:val="00425B90"/>
    <w:rsid w:val="0042674B"/>
    <w:rsid w:val="00430721"/>
    <w:rsid w:val="004329B5"/>
    <w:rsid w:val="00434E83"/>
    <w:rsid w:val="004366F8"/>
    <w:rsid w:val="0043709F"/>
    <w:rsid w:val="004402A5"/>
    <w:rsid w:val="0044133E"/>
    <w:rsid w:val="00446454"/>
    <w:rsid w:val="00446C07"/>
    <w:rsid w:val="0045246D"/>
    <w:rsid w:val="00453CEA"/>
    <w:rsid w:val="00454A77"/>
    <w:rsid w:val="004666B9"/>
    <w:rsid w:val="00470CC0"/>
    <w:rsid w:val="00471FFC"/>
    <w:rsid w:val="00474701"/>
    <w:rsid w:val="004805B8"/>
    <w:rsid w:val="00486F25"/>
    <w:rsid w:val="00487330"/>
    <w:rsid w:val="00493D95"/>
    <w:rsid w:val="004A5CE9"/>
    <w:rsid w:val="004A614B"/>
    <w:rsid w:val="004B10CC"/>
    <w:rsid w:val="004B2191"/>
    <w:rsid w:val="004B2A7C"/>
    <w:rsid w:val="004B2C90"/>
    <w:rsid w:val="004B47CB"/>
    <w:rsid w:val="004B72DD"/>
    <w:rsid w:val="004B7656"/>
    <w:rsid w:val="004C7BF1"/>
    <w:rsid w:val="004D5CC5"/>
    <w:rsid w:val="004D6455"/>
    <w:rsid w:val="004F1A19"/>
    <w:rsid w:val="004F1F83"/>
    <w:rsid w:val="004F3A64"/>
    <w:rsid w:val="004F7311"/>
    <w:rsid w:val="00503ADB"/>
    <w:rsid w:val="00504255"/>
    <w:rsid w:val="00514D4C"/>
    <w:rsid w:val="005161FE"/>
    <w:rsid w:val="00537C20"/>
    <w:rsid w:val="00540A03"/>
    <w:rsid w:val="0057035E"/>
    <w:rsid w:val="00573BB6"/>
    <w:rsid w:val="00575E40"/>
    <w:rsid w:val="00577670"/>
    <w:rsid w:val="00577AD4"/>
    <w:rsid w:val="00585738"/>
    <w:rsid w:val="00592DE3"/>
    <w:rsid w:val="005940CC"/>
    <w:rsid w:val="0059574D"/>
    <w:rsid w:val="005A1672"/>
    <w:rsid w:val="005A2667"/>
    <w:rsid w:val="005A4F7C"/>
    <w:rsid w:val="005B0C99"/>
    <w:rsid w:val="005B4CEC"/>
    <w:rsid w:val="005C6AD5"/>
    <w:rsid w:val="005D235E"/>
    <w:rsid w:val="005E003C"/>
    <w:rsid w:val="005F14C5"/>
    <w:rsid w:val="005F2F66"/>
    <w:rsid w:val="00607110"/>
    <w:rsid w:val="0061551B"/>
    <w:rsid w:val="00624BB6"/>
    <w:rsid w:val="00626094"/>
    <w:rsid w:val="006365C1"/>
    <w:rsid w:val="0063667E"/>
    <w:rsid w:val="00644981"/>
    <w:rsid w:val="00651532"/>
    <w:rsid w:val="006520A5"/>
    <w:rsid w:val="0065675C"/>
    <w:rsid w:val="006766D0"/>
    <w:rsid w:val="00676E95"/>
    <w:rsid w:val="00677EF1"/>
    <w:rsid w:val="00682925"/>
    <w:rsid w:val="0069038A"/>
    <w:rsid w:val="00697CBF"/>
    <w:rsid w:val="006A32FB"/>
    <w:rsid w:val="006A4D9C"/>
    <w:rsid w:val="006A77DC"/>
    <w:rsid w:val="006B3734"/>
    <w:rsid w:val="006B6355"/>
    <w:rsid w:val="006B74FB"/>
    <w:rsid w:val="006C0F75"/>
    <w:rsid w:val="006D324F"/>
    <w:rsid w:val="006D35E0"/>
    <w:rsid w:val="006D3B6C"/>
    <w:rsid w:val="006E7BE2"/>
    <w:rsid w:val="0072731A"/>
    <w:rsid w:val="00727403"/>
    <w:rsid w:val="00727C98"/>
    <w:rsid w:val="00730A58"/>
    <w:rsid w:val="00731A92"/>
    <w:rsid w:val="0074179A"/>
    <w:rsid w:val="007510B3"/>
    <w:rsid w:val="0075295C"/>
    <w:rsid w:val="00754231"/>
    <w:rsid w:val="00757980"/>
    <w:rsid w:val="00760FF7"/>
    <w:rsid w:val="00783892"/>
    <w:rsid w:val="00784C19"/>
    <w:rsid w:val="0079034D"/>
    <w:rsid w:val="00791AC6"/>
    <w:rsid w:val="0079387E"/>
    <w:rsid w:val="00796F93"/>
    <w:rsid w:val="0079763E"/>
    <w:rsid w:val="007A0060"/>
    <w:rsid w:val="007A65E8"/>
    <w:rsid w:val="007A7E2B"/>
    <w:rsid w:val="007B061E"/>
    <w:rsid w:val="007B1AA1"/>
    <w:rsid w:val="007D2FFA"/>
    <w:rsid w:val="007D5060"/>
    <w:rsid w:val="007E0A1D"/>
    <w:rsid w:val="007E2718"/>
    <w:rsid w:val="007E3F7A"/>
    <w:rsid w:val="007E4344"/>
    <w:rsid w:val="007E5FFE"/>
    <w:rsid w:val="007E746B"/>
    <w:rsid w:val="007E7746"/>
    <w:rsid w:val="007F0F7E"/>
    <w:rsid w:val="007F5049"/>
    <w:rsid w:val="00810E3D"/>
    <w:rsid w:val="00813057"/>
    <w:rsid w:val="008143BC"/>
    <w:rsid w:val="00815A14"/>
    <w:rsid w:val="008351AB"/>
    <w:rsid w:val="008408E7"/>
    <w:rsid w:val="008431B9"/>
    <w:rsid w:val="0085237A"/>
    <w:rsid w:val="00855EBC"/>
    <w:rsid w:val="008770BD"/>
    <w:rsid w:val="0088540D"/>
    <w:rsid w:val="00886738"/>
    <w:rsid w:val="008968E7"/>
    <w:rsid w:val="008A1227"/>
    <w:rsid w:val="008A53AC"/>
    <w:rsid w:val="008B0EF2"/>
    <w:rsid w:val="008B4A61"/>
    <w:rsid w:val="008B575E"/>
    <w:rsid w:val="008C064D"/>
    <w:rsid w:val="008D46EA"/>
    <w:rsid w:val="008E67AD"/>
    <w:rsid w:val="008E6C50"/>
    <w:rsid w:val="008F6490"/>
    <w:rsid w:val="009000C8"/>
    <w:rsid w:val="00901998"/>
    <w:rsid w:val="00906316"/>
    <w:rsid w:val="00930D6B"/>
    <w:rsid w:val="00931F6D"/>
    <w:rsid w:val="0093291A"/>
    <w:rsid w:val="009374E3"/>
    <w:rsid w:val="00944D95"/>
    <w:rsid w:val="00955C4C"/>
    <w:rsid w:val="0096162A"/>
    <w:rsid w:val="00963900"/>
    <w:rsid w:val="00967998"/>
    <w:rsid w:val="009746C8"/>
    <w:rsid w:val="009747C5"/>
    <w:rsid w:val="00977646"/>
    <w:rsid w:val="00981E4A"/>
    <w:rsid w:val="00990152"/>
    <w:rsid w:val="00996232"/>
    <w:rsid w:val="009978A4"/>
    <w:rsid w:val="009A169C"/>
    <w:rsid w:val="009A42CB"/>
    <w:rsid w:val="009B2EB5"/>
    <w:rsid w:val="009B4FB2"/>
    <w:rsid w:val="009B7320"/>
    <w:rsid w:val="009C6BEB"/>
    <w:rsid w:val="009D177B"/>
    <w:rsid w:val="009D328D"/>
    <w:rsid w:val="009E3D06"/>
    <w:rsid w:val="009E5629"/>
    <w:rsid w:val="009E5708"/>
    <w:rsid w:val="009E653A"/>
    <w:rsid w:val="009E7AEB"/>
    <w:rsid w:val="009E7FE5"/>
    <w:rsid w:val="009F366E"/>
    <w:rsid w:val="009F36AE"/>
    <w:rsid w:val="009F6510"/>
    <w:rsid w:val="009F6F82"/>
    <w:rsid w:val="009F75CD"/>
    <w:rsid w:val="00A0137E"/>
    <w:rsid w:val="00A2062E"/>
    <w:rsid w:val="00A25CE9"/>
    <w:rsid w:val="00A31E79"/>
    <w:rsid w:val="00A502AC"/>
    <w:rsid w:val="00A55962"/>
    <w:rsid w:val="00A64202"/>
    <w:rsid w:val="00A659CF"/>
    <w:rsid w:val="00A71DAE"/>
    <w:rsid w:val="00A72C30"/>
    <w:rsid w:val="00A75DCA"/>
    <w:rsid w:val="00A80BCE"/>
    <w:rsid w:val="00A84016"/>
    <w:rsid w:val="00A86937"/>
    <w:rsid w:val="00AA06AE"/>
    <w:rsid w:val="00AA7D33"/>
    <w:rsid w:val="00AB2295"/>
    <w:rsid w:val="00AC023E"/>
    <w:rsid w:val="00AC1ECA"/>
    <w:rsid w:val="00AC37AB"/>
    <w:rsid w:val="00AC405E"/>
    <w:rsid w:val="00AE1A1B"/>
    <w:rsid w:val="00AE2BCA"/>
    <w:rsid w:val="00AE6DB2"/>
    <w:rsid w:val="00AF2C1A"/>
    <w:rsid w:val="00AF3289"/>
    <w:rsid w:val="00AF35C5"/>
    <w:rsid w:val="00AF7720"/>
    <w:rsid w:val="00B000F6"/>
    <w:rsid w:val="00B02171"/>
    <w:rsid w:val="00B06135"/>
    <w:rsid w:val="00B0644D"/>
    <w:rsid w:val="00B150EB"/>
    <w:rsid w:val="00B2488F"/>
    <w:rsid w:val="00B25321"/>
    <w:rsid w:val="00B26617"/>
    <w:rsid w:val="00B3069F"/>
    <w:rsid w:val="00B313F8"/>
    <w:rsid w:val="00B32A56"/>
    <w:rsid w:val="00B338C9"/>
    <w:rsid w:val="00B40040"/>
    <w:rsid w:val="00B442CC"/>
    <w:rsid w:val="00B4669D"/>
    <w:rsid w:val="00B50DCF"/>
    <w:rsid w:val="00B5600A"/>
    <w:rsid w:val="00B577E7"/>
    <w:rsid w:val="00B61012"/>
    <w:rsid w:val="00B63CDB"/>
    <w:rsid w:val="00B674AA"/>
    <w:rsid w:val="00B86D23"/>
    <w:rsid w:val="00B97A1C"/>
    <w:rsid w:val="00BA0C76"/>
    <w:rsid w:val="00BB1504"/>
    <w:rsid w:val="00BB2B76"/>
    <w:rsid w:val="00BB448C"/>
    <w:rsid w:val="00BB7A46"/>
    <w:rsid w:val="00BC5FF6"/>
    <w:rsid w:val="00BD08C0"/>
    <w:rsid w:val="00BD1182"/>
    <w:rsid w:val="00BD3301"/>
    <w:rsid w:val="00BE5491"/>
    <w:rsid w:val="00C01D57"/>
    <w:rsid w:val="00C1320C"/>
    <w:rsid w:val="00C1380C"/>
    <w:rsid w:val="00C272F6"/>
    <w:rsid w:val="00C275F1"/>
    <w:rsid w:val="00C279CB"/>
    <w:rsid w:val="00C27B3F"/>
    <w:rsid w:val="00C303F6"/>
    <w:rsid w:val="00C341AB"/>
    <w:rsid w:val="00C344D6"/>
    <w:rsid w:val="00C362DC"/>
    <w:rsid w:val="00C36CF9"/>
    <w:rsid w:val="00C415F2"/>
    <w:rsid w:val="00C4359F"/>
    <w:rsid w:val="00C45B91"/>
    <w:rsid w:val="00C47CC8"/>
    <w:rsid w:val="00C50C03"/>
    <w:rsid w:val="00C60964"/>
    <w:rsid w:val="00C61B09"/>
    <w:rsid w:val="00C763F6"/>
    <w:rsid w:val="00C774F9"/>
    <w:rsid w:val="00C85F50"/>
    <w:rsid w:val="00C867F7"/>
    <w:rsid w:val="00C9495A"/>
    <w:rsid w:val="00C95BF6"/>
    <w:rsid w:val="00C97A61"/>
    <w:rsid w:val="00CA407B"/>
    <w:rsid w:val="00CA41C4"/>
    <w:rsid w:val="00CA4365"/>
    <w:rsid w:val="00CB1009"/>
    <w:rsid w:val="00CB2C33"/>
    <w:rsid w:val="00CB2DDC"/>
    <w:rsid w:val="00CD3924"/>
    <w:rsid w:val="00CD54A7"/>
    <w:rsid w:val="00CE0AC5"/>
    <w:rsid w:val="00CE0E5E"/>
    <w:rsid w:val="00CE3503"/>
    <w:rsid w:val="00CE706B"/>
    <w:rsid w:val="00D0014B"/>
    <w:rsid w:val="00D024B1"/>
    <w:rsid w:val="00D04819"/>
    <w:rsid w:val="00D05C75"/>
    <w:rsid w:val="00D0718F"/>
    <w:rsid w:val="00D25E0D"/>
    <w:rsid w:val="00D33BAB"/>
    <w:rsid w:val="00D33C15"/>
    <w:rsid w:val="00D36925"/>
    <w:rsid w:val="00D406CB"/>
    <w:rsid w:val="00D43550"/>
    <w:rsid w:val="00D45E44"/>
    <w:rsid w:val="00D501F6"/>
    <w:rsid w:val="00D55EF1"/>
    <w:rsid w:val="00D561D2"/>
    <w:rsid w:val="00D570CF"/>
    <w:rsid w:val="00D57B43"/>
    <w:rsid w:val="00D62702"/>
    <w:rsid w:val="00D66F06"/>
    <w:rsid w:val="00D70956"/>
    <w:rsid w:val="00D7309F"/>
    <w:rsid w:val="00D75CE3"/>
    <w:rsid w:val="00D75E56"/>
    <w:rsid w:val="00D80D2B"/>
    <w:rsid w:val="00D82F9D"/>
    <w:rsid w:val="00D8766F"/>
    <w:rsid w:val="00D90363"/>
    <w:rsid w:val="00D92C72"/>
    <w:rsid w:val="00D968D7"/>
    <w:rsid w:val="00D96F48"/>
    <w:rsid w:val="00DA1F03"/>
    <w:rsid w:val="00DB195D"/>
    <w:rsid w:val="00DB4036"/>
    <w:rsid w:val="00DB709A"/>
    <w:rsid w:val="00DC197A"/>
    <w:rsid w:val="00DC4625"/>
    <w:rsid w:val="00DD071E"/>
    <w:rsid w:val="00DD25C8"/>
    <w:rsid w:val="00DD505C"/>
    <w:rsid w:val="00DE66FE"/>
    <w:rsid w:val="00E0149A"/>
    <w:rsid w:val="00E0345C"/>
    <w:rsid w:val="00E156DA"/>
    <w:rsid w:val="00E219AC"/>
    <w:rsid w:val="00E26223"/>
    <w:rsid w:val="00E3156A"/>
    <w:rsid w:val="00E351F4"/>
    <w:rsid w:val="00E3550D"/>
    <w:rsid w:val="00E44499"/>
    <w:rsid w:val="00E5027C"/>
    <w:rsid w:val="00E53D26"/>
    <w:rsid w:val="00E55C36"/>
    <w:rsid w:val="00E56A34"/>
    <w:rsid w:val="00E57D17"/>
    <w:rsid w:val="00E606BF"/>
    <w:rsid w:val="00E61758"/>
    <w:rsid w:val="00E622D2"/>
    <w:rsid w:val="00E6300C"/>
    <w:rsid w:val="00E66207"/>
    <w:rsid w:val="00E663EC"/>
    <w:rsid w:val="00E71A9C"/>
    <w:rsid w:val="00E71B88"/>
    <w:rsid w:val="00E82CC7"/>
    <w:rsid w:val="00E8771B"/>
    <w:rsid w:val="00E9258E"/>
    <w:rsid w:val="00E9524B"/>
    <w:rsid w:val="00E965DE"/>
    <w:rsid w:val="00EA2114"/>
    <w:rsid w:val="00EA2391"/>
    <w:rsid w:val="00EB082F"/>
    <w:rsid w:val="00EB0AAF"/>
    <w:rsid w:val="00EB48B7"/>
    <w:rsid w:val="00EC15F4"/>
    <w:rsid w:val="00EC1C00"/>
    <w:rsid w:val="00EC357C"/>
    <w:rsid w:val="00EC447A"/>
    <w:rsid w:val="00ED1A32"/>
    <w:rsid w:val="00ED7504"/>
    <w:rsid w:val="00EE041C"/>
    <w:rsid w:val="00EE7975"/>
    <w:rsid w:val="00F0003D"/>
    <w:rsid w:val="00F0556F"/>
    <w:rsid w:val="00F13372"/>
    <w:rsid w:val="00F16E89"/>
    <w:rsid w:val="00F22314"/>
    <w:rsid w:val="00F26E9E"/>
    <w:rsid w:val="00F30DD2"/>
    <w:rsid w:val="00F3186C"/>
    <w:rsid w:val="00F379B3"/>
    <w:rsid w:val="00F409C2"/>
    <w:rsid w:val="00F41510"/>
    <w:rsid w:val="00F4187C"/>
    <w:rsid w:val="00F425E6"/>
    <w:rsid w:val="00F42CB1"/>
    <w:rsid w:val="00F44806"/>
    <w:rsid w:val="00F44859"/>
    <w:rsid w:val="00F52D74"/>
    <w:rsid w:val="00F53E7D"/>
    <w:rsid w:val="00F53F48"/>
    <w:rsid w:val="00F540CF"/>
    <w:rsid w:val="00F567F5"/>
    <w:rsid w:val="00F63ABC"/>
    <w:rsid w:val="00F70552"/>
    <w:rsid w:val="00F83BE1"/>
    <w:rsid w:val="00F86F0E"/>
    <w:rsid w:val="00FA46A0"/>
    <w:rsid w:val="00FA7B74"/>
    <w:rsid w:val="00FB6123"/>
    <w:rsid w:val="00FB7A6F"/>
    <w:rsid w:val="00FC1C19"/>
    <w:rsid w:val="00FC2566"/>
    <w:rsid w:val="00FD40CA"/>
    <w:rsid w:val="00FD68CB"/>
    <w:rsid w:val="00FE3518"/>
    <w:rsid w:val="00FE37EC"/>
    <w:rsid w:val="00FE6AE0"/>
    <w:rsid w:val="00FF5729"/>
    <w:rsid w:val="02EAECB0"/>
    <w:rsid w:val="041B50B9"/>
    <w:rsid w:val="048D82D9"/>
    <w:rsid w:val="0A0B69DB"/>
    <w:rsid w:val="0C284D77"/>
    <w:rsid w:val="0FBB6AFA"/>
    <w:rsid w:val="12B856D3"/>
    <w:rsid w:val="1469176B"/>
    <w:rsid w:val="19EE9D33"/>
    <w:rsid w:val="1B66F55C"/>
    <w:rsid w:val="2244C92E"/>
    <w:rsid w:val="24C4660F"/>
    <w:rsid w:val="2A035444"/>
    <w:rsid w:val="2AE3A43B"/>
    <w:rsid w:val="2F1AEEB9"/>
    <w:rsid w:val="328A441A"/>
    <w:rsid w:val="32CA1618"/>
    <w:rsid w:val="339680C3"/>
    <w:rsid w:val="35E5B050"/>
    <w:rsid w:val="398F78D5"/>
    <w:rsid w:val="3A29DA54"/>
    <w:rsid w:val="3CEFBE5D"/>
    <w:rsid w:val="3DBA4E9A"/>
    <w:rsid w:val="44128E24"/>
    <w:rsid w:val="52CF558F"/>
    <w:rsid w:val="57C0DFD9"/>
    <w:rsid w:val="5CC5C160"/>
    <w:rsid w:val="5E7F5A30"/>
    <w:rsid w:val="6263A626"/>
    <w:rsid w:val="6D41F52B"/>
    <w:rsid w:val="706AD8EE"/>
    <w:rsid w:val="72AA3D82"/>
    <w:rsid w:val="777E6CFD"/>
    <w:rsid w:val="796CDE39"/>
    <w:rsid w:val="7A520536"/>
    <w:rsid w:val="7BFEF25E"/>
    <w:rsid w:val="7C9D1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8BADB0"/>
  <w15:docId w15:val="{5B313853-332B-479E-813F-E21FB131E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uiPriority w:val="99"/>
    <w:rsid w:val="007275B8"/>
    <w:rPr>
      <w:sz w:val="16"/>
      <w:szCs w:val="16"/>
    </w:rPr>
  </w:style>
  <w:style w:type="paragraph" w:styleId="CommentText">
    <w:name w:val="annotation text"/>
    <w:basedOn w:val="Normal"/>
    <w:link w:val="CommentTextChar"/>
    <w:uiPriority w:val="99"/>
    <w:rsid w:val="007275B8"/>
    <w:rPr>
      <w:sz w:val="20"/>
    </w:rPr>
  </w:style>
  <w:style w:type="character" w:customStyle="1" w:styleId="CommentTextChar">
    <w:name w:val="Comment Text Char"/>
    <w:link w:val="CommentText"/>
    <w:uiPriority w:val="99"/>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paragraph" w:styleId="Revision">
    <w:name w:val="Revision"/>
    <w:hidden/>
    <w:rsid w:val="00B0644D"/>
    <w:rPr>
      <w:rFonts w:ascii="Calibri" w:hAnsi="Calibri"/>
      <w:sz w:val="24"/>
      <w:lang w:val="en-GB" w:eastAsia="en-US"/>
    </w:rPr>
  </w:style>
  <w:style w:type="character" w:styleId="UnresolvedMention">
    <w:name w:val="Unresolved Mention"/>
    <w:basedOn w:val="DefaultParagraphFont"/>
    <w:uiPriority w:val="99"/>
    <w:semiHidden/>
    <w:unhideWhenUsed/>
    <w:rsid w:val="00D45E44"/>
    <w:rPr>
      <w:color w:val="605E5C"/>
      <w:shd w:val="clear" w:color="auto" w:fill="E1DFDD"/>
    </w:rPr>
  </w:style>
  <w:style w:type="table" w:styleId="TableGrid">
    <w:name w:val="Table Grid"/>
    <w:basedOn w:val="TableNormal"/>
    <w:uiPriority w:val="39"/>
    <w:rsid w:val="0069038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038A"/>
    <w:pPr>
      <w:ind w:left="720"/>
      <w:contextualSpacing/>
    </w:pPr>
  </w:style>
  <w:style w:type="table" w:customStyle="1" w:styleId="TableGrid1">
    <w:name w:val="Table Grid1"/>
    <w:basedOn w:val="TableNormal"/>
    <w:next w:val="TableGrid"/>
    <w:uiPriority w:val="39"/>
    <w:rsid w:val="007A0060"/>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D2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559972612">
      <w:bodyDiv w:val="1"/>
      <w:marLeft w:val="0"/>
      <w:marRight w:val="0"/>
      <w:marTop w:val="0"/>
      <w:marBottom w:val="0"/>
      <w:divBdr>
        <w:top w:val="none" w:sz="0" w:space="0" w:color="auto"/>
        <w:left w:val="none" w:sz="0" w:space="0" w:color="auto"/>
        <w:bottom w:val="none" w:sz="0" w:space="0" w:color="auto"/>
        <w:right w:val="none" w:sz="0" w:space="0" w:color="auto"/>
      </w:divBdr>
    </w:div>
    <w:div w:id="1915428615">
      <w:bodyDiv w:val="1"/>
      <w:marLeft w:val="0"/>
      <w:marRight w:val="0"/>
      <w:marTop w:val="0"/>
      <w:marBottom w:val="0"/>
      <w:divBdr>
        <w:top w:val="none" w:sz="0" w:space="0" w:color="auto"/>
        <w:left w:val="none" w:sz="0" w:space="0" w:color="auto"/>
        <w:bottom w:val="none" w:sz="0" w:space="0" w:color="auto"/>
        <w:right w:val="none" w:sz="0" w:space="0" w:color="auto"/>
      </w:divBdr>
    </w:div>
    <w:div w:id="210464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studygroups/2025-2028/11/Pages/default.asp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tu.int/go/SIG-SECURIT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events@itu.int" TargetMode="External"/><Relationship Id="rId5" Type="http://schemas.openxmlformats.org/officeDocument/2006/relationships/styles" Target="styles.xml"/><Relationship Id="rId15" Type="http://schemas.openxmlformats.org/officeDocument/2006/relationships/hyperlink" Target="https://www.itu.int/net4/CRM/xreg/web/Registration.aspx?Event=C-00015464"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Workshops-and-Seminars/2025/1117/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oahgif\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ecfbc6-16ba-4348-96d4-7b09f2f75cd9" xsi:nil="true"/>
    <lcf76f155ced4ddcb4097134ff3c332f xmlns="8c683b18-f2fb-4b6f-9052-787ae4e7014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CECE09D1232E468002275F25FCAE42" ma:contentTypeVersion="19" ma:contentTypeDescription="Create a new document." ma:contentTypeScope="" ma:versionID="bdd2cc3e81dd0adb1d8d9a39508ba24a">
  <xsd:schema xmlns:xsd="http://www.w3.org/2001/XMLSchema" xmlns:xs="http://www.w3.org/2001/XMLSchema" xmlns:p="http://schemas.microsoft.com/office/2006/metadata/properties" xmlns:ns2="8c683b18-f2fb-4b6f-9052-787ae4e70144" xmlns:ns3="b4ecfbc6-16ba-4348-96d4-7b09f2f75cd9" targetNamespace="http://schemas.microsoft.com/office/2006/metadata/properties" ma:root="true" ma:fieldsID="f1a807b2f63ac0ed811a8a3961eee0c7" ns2:_="" ns3:_="">
    <xsd:import namespace="8c683b18-f2fb-4b6f-9052-787ae4e70144"/>
    <xsd:import namespace="b4ecfbc6-16ba-4348-96d4-7b09f2f75c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83b18-f2fb-4b6f-9052-787ae4e70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cfbc6-16ba-4348-96d4-7b09f2f75c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67ca53-b332-4738-a34d-8ba8fed11394}" ma:internalName="TaxCatchAll" ma:showField="CatchAllData" ma:web="b4ecfbc6-16ba-4348-96d4-7b09f2f75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ACD7A1-E87D-447F-B36A-4AFBCBF0B929}">
  <ds:schemaRefs>
    <ds:schemaRef ds:uri="http://schemas.microsoft.com/office/2006/metadata/properties"/>
    <ds:schemaRef ds:uri="http://schemas.microsoft.com/office/infopath/2007/PartnerControls"/>
    <ds:schemaRef ds:uri="b4ecfbc6-16ba-4348-96d4-7b09f2f75cd9"/>
    <ds:schemaRef ds:uri="8c683b18-f2fb-4b6f-9052-787ae4e70144"/>
  </ds:schemaRefs>
</ds:datastoreItem>
</file>

<file path=customXml/itemProps2.xml><?xml version="1.0" encoding="utf-8"?>
<ds:datastoreItem xmlns:ds="http://schemas.openxmlformats.org/officeDocument/2006/customXml" ds:itemID="{67CC3584-E9F1-4895-9C89-CEB02F203B1A}">
  <ds:schemaRefs>
    <ds:schemaRef ds:uri="http://schemas.microsoft.com/sharepoint/v3/contenttype/forms"/>
  </ds:schemaRefs>
</ds:datastoreItem>
</file>

<file path=customXml/itemProps3.xml><?xml version="1.0" encoding="utf-8"?>
<ds:datastoreItem xmlns:ds="http://schemas.openxmlformats.org/officeDocument/2006/customXml" ds:itemID="{C494DA3E-8612-428A-B746-B8D052BC3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83b18-f2fb-4b6f-9052-787ae4e70144"/>
    <ds:schemaRef ds:uri="b4ecfbc6-16ba-4348-96d4-7b09f2f75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TSB_Circular-E.dotx</Template>
  <TotalTime>31</TotalTime>
  <Pages>2</Pages>
  <Words>684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Amoah, Gifty Adjo</dc:creator>
  <cp:keywords/>
  <dc:description/>
  <cp:lastModifiedBy>Braud, Olivia</cp:lastModifiedBy>
  <cp:revision>8</cp:revision>
  <cp:lastPrinted>2025-05-29T06:24:00Z</cp:lastPrinted>
  <dcterms:created xsi:type="dcterms:W3CDTF">2025-05-27T14:28:00Z</dcterms:created>
  <dcterms:modified xsi:type="dcterms:W3CDTF">2025-05-29T06:25:00Z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0x01010016CECE09D1232E468002275F25FCAE42</vt:lpwstr>
  </property>
  <property fmtid="{D5CDD505-2E9C-101B-9397-08002B2CF9AE}" pid="6" name="MediaServiceImageTags">
    <vt:lpwstr/>
  </property>
</Properties>
</file>