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00"/>
        <w:tblW w:w="10304" w:type="dxa"/>
        <w:tblLayout w:type="fixed"/>
        <w:tblLook w:val="0000" w:firstRow="0" w:lastRow="0" w:firstColumn="0" w:lastColumn="0" w:noHBand="0" w:noVBand="0"/>
      </w:tblPr>
      <w:tblGrid>
        <w:gridCol w:w="1507"/>
        <w:gridCol w:w="3263"/>
        <w:gridCol w:w="5534"/>
      </w:tblGrid>
      <w:tr w:rsidR="007B6316" w14:paraId="57C19FE3" w14:textId="77777777" w:rsidTr="00160FEB">
        <w:trPr>
          <w:cantSplit/>
          <w:trHeight w:val="340"/>
        </w:trPr>
        <w:tc>
          <w:tcPr>
            <w:tcW w:w="1507" w:type="dxa"/>
          </w:tcPr>
          <w:p w14:paraId="4073FDEF" w14:textId="77777777" w:rsidR="007B6316" w:rsidRDefault="007B6316" w:rsidP="00160FEB">
            <w:pPr>
              <w:tabs>
                <w:tab w:val="left" w:pos="4111"/>
              </w:tabs>
              <w:spacing w:before="10"/>
              <w:ind w:left="57"/>
              <w:rPr>
                <w:sz w:val="22"/>
              </w:rPr>
            </w:pPr>
            <w:r w:rsidRPr="00F1238A">
              <w:rPr>
                <w:noProof/>
                <w:lang w:val="en-US" w:eastAsia="zh-CN"/>
              </w:rPr>
              <w:drawing>
                <wp:inline distT="0" distB="0" distL="0" distR="0" wp14:anchorId="7AF7EF1A" wp14:editId="149CAE9C">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7" w:type="dxa"/>
            <w:gridSpan w:val="2"/>
            <w:vAlign w:val="center"/>
          </w:tcPr>
          <w:p w14:paraId="3CE1A100" w14:textId="77777777" w:rsidR="007B6316" w:rsidRPr="00081FE5" w:rsidRDefault="007B6316" w:rsidP="00160FEB">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6EA5B69" w14:textId="77777777" w:rsidR="007B6316" w:rsidRDefault="007B6316" w:rsidP="00160FEB">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81473C" w14:paraId="29942F58" w14:textId="77777777" w:rsidTr="00160FEB">
        <w:trPr>
          <w:cantSplit/>
          <w:trHeight w:val="340"/>
        </w:trPr>
        <w:tc>
          <w:tcPr>
            <w:tcW w:w="1507" w:type="dxa"/>
          </w:tcPr>
          <w:p w14:paraId="3A1FB203" w14:textId="77777777" w:rsidR="007B6316" w:rsidRPr="0081473C" w:rsidRDefault="007B6316" w:rsidP="00160FEB">
            <w:pPr>
              <w:spacing w:after="120"/>
              <w:rPr>
                <w:sz w:val="22"/>
                <w:szCs w:val="18"/>
              </w:rPr>
            </w:pPr>
          </w:p>
        </w:tc>
        <w:tc>
          <w:tcPr>
            <w:tcW w:w="3263" w:type="dxa"/>
          </w:tcPr>
          <w:p w14:paraId="6CFD022A" w14:textId="77777777" w:rsidR="007B6316" w:rsidRPr="0081473C" w:rsidRDefault="007B6316" w:rsidP="00160FEB">
            <w:pPr>
              <w:rPr>
                <w:sz w:val="22"/>
                <w:szCs w:val="18"/>
              </w:rPr>
            </w:pPr>
          </w:p>
        </w:tc>
        <w:tc>
          <w:tcPr>
            <w:tcW w:w="5534" w:type="dxa"/>
          </w:tcPr>
          <w:p w14:paraId="414906BC" w14:textId="55E03D00" w:rsidR="007B6316" w:rsidRPr="0081473C" w:rsidRDefault="007B6316" w:rsidP="00160FEB">
            <w:pPr>
              <w:rPr>
                <w:sz w:val="22"/>
                <w:szCs w:val="18"/>
              </w:rPr>
            </w:pPr>
            <w:r w:rsidRPr="0081473C">
              <w:rPr>
                <w:sz w:val="22"/>
                <w:szCs w:val="18"/>
              </w:rPr>
              <w:t>Ginebra,</w:t>
            </w:r>
            <w:r w:rsidR="00BA6F31" w:rsidRPr="0081473C">
              <w:rPr>
                <w:sz w:val="22"/>
                <w:szCs w:val="18"/>
              </w:rPr>
              <w:t xml:space="preserve"> </w:t>
            </w:r>
            <w:r w:rsidR="00042EFD" w:rsidRPr="0081473C">
              <w:rPr>
                <w:sz w:val="22"/>
                <w:szCs w:val="18"/>
              </w:rPr>
              <w:t>23 de julio de 2025</w:t>
            </w:r>
          </w:p>
        </w:tc>
      </w:tr>
      <w:tr w:rsidR="001350B9" w:rsidRPr="0081473C" w14:paraId="2099D7D1" w14:textId="77777777" w:rsidTr="00160FEB">
        <w:trPr>
          <w:cantSplit/>
          <w:trHeight w:val="340"/>
        </w:trPr>
        <w:tc>
          <w:tcPr>
            <w:tcW w:w="1507" w:type="dxa"/>
          </w:tcPr>
          <w:p w14:paraId="6931DA5A" w14:textId="1C97CDAF" w:rsidR="001350B9" w:rsidRPr="0081473C" w:rsidRDefault="001350B9" w:rsidP="00160FEB">
            <w:pPr>
              <w:spacing w:before="40" w:after="40"/>
              <w:ind w:left="-110"/>
              <w:rPr>
                <w:sz w:val="22"/>
                <w:szCs w:val="18"/>
              </w:rPr>
            </w:pPr>
            <w:r w:rsidRPr="0081473C">
              <w:rPr>
                <w:b/>
                <w:bCs/>
                <w:sz w:val="22"/>
                <w:szCs w:val="18"/>
              </w:rPr>
              <w:t>Ref</w:t>
            </w:r>
            <w:r w:rsidRPr="0081473C">
              <w:rPr>
                <w:sz w:val="22"/>
                <w:szCs w:val="18"/>
              </w:rPr>
              <w:t>.:</w:t>
            </w:r>
          </w:p>
        </w:tc>
        <w:tc>
          <w:tcPr>
            <w:tcW w:w="3263" w:type="dxa"/>
          </w:tcPr>
          <w:p w14:paraId="38928B4F" w14:textId="3D1CC982" w:rsidR="001350B9" w:rsidRPr="0081473C" w:rsidRDefault="001350B9" w:rsidP="00160FEB">
            <w:pPr>
              <w:spacing w:before="40"/>
              <w:rPr>
                <w:b/>
                <w:bCs/>
                <w:sz w:val="22"/>
                <w:szCs w:val="18"/>
              </w:rPr>
            </w:pPr>
            <w:r w:rsidRPr="0081473C">
              <w:rPr>
                <w:b/>
                <w:bCs/>
                <w:sz w:val="22"/>
                <w:szCs w:val="18"/>
              </w:rPr>
              <w:t xml:space="preserve">Circular TSB </w:t>
            </w:r>
            <w:r w:rsidR="00042EFD" w:rsidRPr="0081473C">
              <w:rPr>
                <w:b/>
                <w:bCs/>
                <w:sz w:val="22"/>
                <w:szCs w:val="18"/>
              </w:rPr>
              <w:t>50</w:t>
            </w:r>
          </w:p>
          <w:p w14:paraId="6B133364" w14:textId="377230F5" w:rsidR="001350B9" w:rsidRPr="0081473C" w:rsidRDefault="00042EFD" w:rsidP="00160FEB">
            <w:pPr>
              <w:spacing w:before="0" w:after="40"/>
              <w:rPr>
                <w:sz w:val="22"/>
                <w:szCs w:val="18"/>
              </w:rPr>
            </w:pPr>
            <w:r w:rsidRPr="0081473C">
              <w:rPr>
                <w:sz w:val="22"/>
                <w:szCs w:val="18"/>
              </w:rPr>
              <w:t>CE</w:t>
            </w:r>
            <w:r w:rsidR="000311AF" w:rsidRPr="0081473C">
              <w:rPr>
                <w:sz w:val="22"/>
                <w:szCs w:val="18"/>
              </w:rPr>
              <w:t> </w:t>
            </w:r>
            <w:r w:rsidRPr="0081473C">
              <w:rPr>
                <w:sz w:val="22"/>
                <w:szCs w:val="18"/>
              </w:rPr>
              <w:t>17</w:t>
            </w:r>
            <w:r w:rsidR="001350B9" w:rsidRPr="0081473C">
              <w:rPr>
                <w:sz w:val="22"/>
                <w:szCs w:val="18"/>
              </w:rPr>
              <w:t>/</w:t>
            </w:r>
            <w:r w:rsidRPr="0081473C">
              <w:rPr>
                <w:sz w:val="22"/>
                <w:szCs w:val="18"/>
              </w:rPr>
              <w:t>XY</w:t>
            </w:r>
          </w:p>
        </w:tc>
        <w:tc>
          <w:tcPr>
            <w:tcW w:w="5534" w:type="dxa"/>
            <w:vMerge w:val="restart"/>
          </w:tcPr>
          <w:p w14:paraId="43F6A64B" w14:textId="77777777" w:rsidR="00101541" w:rsidRPr="0081473C" w:rsidRDefault="00101541" w:rsidP="00160FEB">
            <w:pPr>
              <w:spacing w:before="0"/>
              <w:rPr>
                <w:b/>
                <w:bCs/>
                <w:sz w:val="22"/>
                <w:szCs w:val="18"/>
              </w:rPr>
            </w:pPr>
            <w:bookmarkStart w:id="0" w:name="Addressee_S"/>
            <w:bookmarkEnd w:id="0"/>
            <w:r w:rsidRPr="0081473C">
              <w:rPr>
                <w:b/>
                <w:bCs/>
                <w:sz w:val="22"/>
                <w:szCs w:val="18"/>
              </w:rPr>
              <w:t>A:</w:t>
            </w:r>
          </w:p>
          <w:p w14:paraId="5AA785C7" w14:textId="32CCEEA3" w:rsidR="001350B9" w:rsidRPr="0081473C" w:rsidRDefault="00101541" w:rsidP="00160FEB">
            <w:pPr>
              <w:tabs>
                <w:tab w:val="clear" w:pos="794"/>
                <w:tab w:val="left" w:pos="390"/>
              </w:tabs>
              <w:spacing w:before="0"/>
              <w:ind w:left="390" w:hanging="390"/>
              <w:rPr>
                <w:sz w:val="22"/>
                <w:szCs w:val="18"/>
              </w:rPr>
            </w:pPr>
            <w:r w:rsidRPr="0081473C">
              <w:rPr>
                <w:sz w:val="22"/>
                <w:szCs w:val="18"/>
              </w:rPr>
              <w:t>–</w:t>
            </w:r>
            <w:r w:rsidR="001350B9" w:rsidRPr="0081473C">
              <w:rPr>
                <w:sz w:val="22"/>
                <w:szCs w:val="18"/>
              </w:rPr>
              <w:tab/>
              <w:t>las Administraciones de los Estados Miembros de la Unión</w:t>
            </w:r>
          </w:p>
          <w:p w14:paraId="4B96C6AA" w14:textId="20799BCD" w:rsidR="00042EFD" w:rsidRPr="0081473C" w:rsidRDefault="00042EFD" w:rsidP="00160FEB">
            <w:pPr>
              <w:spacing w:before="0"/>
              <w:rPr>
                <w:b/>
                <w:bCs/>
                <w:sz w:val="22"/>
                <w:szCs w:val="18"/>
              </w:rPr>
            </w:pPr>
            <w:r w:rsidRPr="0081473C">
              <w:rPr>
                <w:b/>
                <w:bCs/>
                <w:sz w:val="22"/>
                <w:szCs w:val="18"/>
              </w:rPr>
              <w:t>Copia a:</w:t>
            </w:r>
          </w:p>
          <w:p w14:paraId="6631833E" w14:textId="1162381F" w:rsidR="001350B9" w:rsidRPr="0081473C" w:rsidRDefault="00101541" w:rsidP="00160FEB">
            <w:pPr>
              <w:tabs>
                <w:tab w:val="clear" w:pos="794"/>
                <w:tab w:val="left" w:pos="390"/>
              </w:tabs>
              <w:spacing w:before="0"/>
              <w:rPr>
                <w:sz w:val="22"/>
                <w:szCs w:val="18"/>
              </w:rPr>
            </w:pPr>
            <w:r w:rsidRPr="0081473C">
              <w:rPr>
                <w:sz w:val="22"/>
                <w:szCs w:val="18"/>
              </w:rPr>
              <w:t>–</w:t>
            </w:r>
            <w:r w:rsidR="001350B9" w:rsidRPr="0081473C">
              <w:rPr>
                <w:sz w:val="22"/>
                <w:szCs w:val="18"/>
              </w:rPr>
              <w:tab/>
              <w:t xml:space="preserve">los Miembros de Sector </w:t>
            </w:r>
            <w:r w:rsidR="00BA6F31" w:rsidRPr="0081473C">
              <w:rPr>
                <w:sz w:val="22"/>
                <w:szCs w:val="18"/>
              </w:rPr>
              <w:t>del</w:t>
            </w:r>
            <w:r w:rsidR="000311AF" w:rsidRPr="0081473C">
              <w:rPr>
                <w:sz w:val="22"/>
                <w:szCs w:val="18"/>
              </w:rPr>
              <w:t> </w:t>
            </w:r>
            <w:r w:rsidR="001350B9" w:rsidRPr="0081473C">
              <w:rPr>
                <w:sz w:val="22"/>
                <w:szCs w:val="18"/>
              </w:rPr>
              <w:t>UIT</w:t>
            </w:r>
            <w:r w:rsidR="001350B9" w:rsidRPr="0081473C">
              <w:rPr>
                <w:sz w:val="22"/>
                <w:szCs w:val="18"/>
              </w:rPr>
              <w:noBreakHyphen/>
              <w:t>T;</w:t>
            </w:r>
          </w:p>
          <w:p w14:paraId="1484DD3C" w14:textId="74A5D835" w:rsidR="001350B9" w:rsidRPr="0081473C" w:rsidRDefault="00101541" w:rsidP="00160FEB">
            <w:pPr>
              <w:tabs>
                <w:tab w:val="clear" w:pos="794"/>
                <w:tab w:val="left" w:pos="390"/>
              </w:tabs>
              <w:spacing w:before="0"/>
              <w:ind w:left="390" w:hanging="390"/>
              <w:rPr>
                <w:sz w:val="22"/>
                <w:szCs w:val="18"/>
              </w:rPr>
            </w:pPr>
            <w:r w:rsidRPr="0081473C">
              <w:rPr>
                <w:sz w:val="22"/>
                <w:szCs w:val="18"/>
              </w:rPr>
              <w:t>–</w:t>
            </w:r>
            <w:r w:rsidR="001350B9" w:rsidRPr="0081473C">
              <w:rPr>
                <w:sz w:val="22"/>
                <w:szCs w:val="18"/>
              </w:rPr>
              <w:tab/>
            </w:r>
            <w:r w:rsidR="00042EFD" w:rsidRPr="0081473C">
              <w:rPr>
                <w:sz w:val="22"/>
                <w:szCs w:val="18"/>
                <w:lang w:val="es-ES"/>
              </w:rPr>
              <w:t>los Asociados de la Comisión de Estudio</w:t>
            </w:r>
            <w:r w:rsidR="000311AF" w:rsidRPr="0081473C">
              <w:rPr>
                <w:sz w:val="22"/>
                <w:szCs w:val="18"/>
                <w:lang w:val="es-ES"/>
              </w:rPr>
              <w:t> </w:t>
            </w:r>
            <w:r w:rsidR="00042EFD" w:rsidRPr="0081473C">
              <w:rPr>
                <w:sz w:val="22"/>
                <w:szCs w:val="18"/>
                <w:lang w:val="es-ES"/>
              </w:rPr>
              <w:t>17 del UIT-T</w:t>
            </w:r>
            <w:r w:rsidR="001350B9" w:rsidRPr="0081473C">
              <w:rPr>
                <w:sz w:val="22"/>
                <w:szCs w:val="18"/>
              </w:rPr>
              <w:t>;</w:t>
            </w:r>
          </w:p>
          <w:p w14:paraId="4827F600" w14:textId="3D64FEEC" w:rsidR="001350B9" w:rsidRPr="0081473C" w:rsidRDefault="00101541" w:rsidP="00160FEB">
            <w:pPr>
              <w:tabs>
                <w:tab w:val="clear" w:pos="794"/>
                <w:tab w:val="left" w:pos="390"/>
              </w:tabs>
              <w:spacing w:before="0"/>
              <w:rPr>
                <w:sz w:val="22"/>
                <w:szCs w:val="18"/>
              </w:rPr>
            </w:pPr>
            <w:r w:rsidRPr="0081473C">
              <w:rPr>
                <w:sz w:val="22"/>
                <w:szCs w:val="18"/>
              </w:rPr>
              <w:t>–</w:t>
            </w:r>
            <w:r w:rsidR="001350B9" w:rsidRPr="0081473C">
              <w:rPr>
                <w:sz w:val="22"/>
                <w:szCs w:val="18"/>
              </w:rPr>
              <w:tab/>
              <w:t>las Instituciones Académicas de</w:t>
            </w:r>
            <w:r w:rsidR="00BA6F31" w:rsidRPr="0081473C">
              <w:rPr>
                <w:sz w:val="22"/>
                <w:szCs w:val="18"/>
              </w:rPr>
              <w:t xml:space="preserve"> </w:t>
            </w:r>
            <w:r w:rsidR="001350B9" w:rsidRPr="0081473C">
              <w:rPr>
                <w:sz w:val="22"/>
                <w:szCs w:val="18"/>
              </w:rPr>
              <w:t>l</w:t>
            </w:r>
            <w:r w:rsidR="00BA6F31" w:rsidRPr="0081473C">
              <w:rPr>
                <w:sz w:val="22"/>
                <w:szCs w:val="18"/>
              </w:rPr>
              <w:t>a</w:t>
            </w:r>
            <w:r w:rsidR="000311AF" w:rsidRPr="0081473C">
              <w:rPr>
                <w:sz w:val="22"/>
                <w:szCs w:val="18"/>
              </w:rPr>
              <w:t> </w:t>
            </w:r>
            <w:r w:rsidR="001350B9" w:rsidRPr="0081473C">
              <w:rPr>
                <w:sz w:val="22"/>
                <w:szCs w:val="18"/>
              </w:rPr>
              <w:t>UIT;</w:t>
            </w:r>
          </w:p>
          <w:p w14:paraId="40154879" w14:textId="3EBB2B09" w:rsidR="001350B9" w:rsidRPr="0081473C" w:rsidRDefault="00101541" w:rsidP="00160FEB">
            <w:pPr>
              <w:tabs>
                <w:tab w:val="clear" w:pos="794"/>
                <w:tab w:val="left" w:pos="390"/>
              </w:tabs>
              <w:spacing w:before="0"/>
              <w:ind w:left="390" w:hanging="390"/>
              <w:rPr>
                <w:sz w:val="22"/>
                <w:szCs w:val="18"/>
              </w:rPr>
            </w:pPr>
            <w:r w:rsidRPr="0081473C">
              <w:rPr>
                <w:sz w:val="22"/>
                <w:szCs w:val="18"/>
              </w:rPr>
              <w:t>–</w:t>
            </w:r>
            <w:r w:rsidR="001350B9" w:rsidRPr="0081473C">
              <w:rPr>
                <w:sz w:val="22"/>
                <w:szCs w:val="18"/>
              </w:rPr>
              <w:tab/>
            </w:r>
            <w:r w:rsidR="00042EFD" w:rsidRPr="0081473C">
              <w:rPr>
                <w:sz w:val="22"/>
                <w:szCs w:val="18"/>
                <w:lang w:val="es-ES"/>
              </w:rPr>
              <w:t xml:space="preserve">el </w:t>
            </w:r>
            <w:proofErr w:type="gramStart"/>
            <w:r w:rsidR="00042EFD" w:rsidRPr="0081473C">
              <w:rPr>
                <w:sz w:val="22"/>
                <w:szCs w:val="18"/>
                <w:lang w:val="es-ES"/>
              </w:rPr>
              <w:t>Presidente</w:t>
            </w:r>
            <w:proofErr w:type="gramEnd"/>
            <w:r w:rsidR="00042EFD" w:rsidRPr="0081473C">
              <w:rPr>
                <w:sz w:val="22"/>
                <w:szCs w:val="18"/>
                <w:lang w:val="es-ES"/>
              </w:rPr>
              <w:t xml:space="preserve"> y el </w:t>
            </w:r>
            <w:proofErr w:type="gramStart"/>
            <w:r w:rsidR="00042EFD" w:rsidRPr="0081473C">
              <w:rPr>
                <w:sz w:val="22"/>
                <w:szCs w:val="18"/>
                <w:lang w:val="es-ES"/>
              </w:rPr>
              <w:t>Vicepresidente</w:t>
            </w:r>
            <w:proofErr w:type="gramEnd"/>
            <w:r w:rsidR="00042EFD" w:rsidRPr="0081473C">
              <w:rPr>
                <w:sz w:val="22"/>
                <w:szCs w:val="18"/>
                <w:lang w:val="es-ES"/>
              </w:rPr>
              <w:t xml:space="preserve"> de la Comisión de Estudio</w:t>
            </w:r>
            <w:r w:rsidR="000311AF" w:rsidRPr="0081473C">
              <w:rPr>
                <w:sz w:val="22"/>
                <w:szCs w:val="18"/>
                <w:lang w:val="es-ES"/>
              </w:rPr>
              <w:t> </w:t>
            </w:r>
            <w:r w:rsidR="00042EFD" w:rsidRPr="0081473C">
              <w:rPr>
                <w:sz w:val="22"/>
                <w:szCs w:val="18"/>
                <w:lang w:val="es-ES"/>
              </w:rPr>
              <w:t>17 del UIT-T</w:t>
            </w:r>
            <w:r w:rsidR="001350B9" w:rsidRPr="0081473C">
              <w:rPr>
                <w:sz w:val="22"/>
                <w:szCs w:val="18"/>
              </w:rPr>
              <w:t>;</w:t>
            </w:r>
          </w:p>
          <w:p w14:paraId="0B8A2812" w14:textId="59AED901" w:rsidR="001350B9" w:rsidRPr="0081473C" w:rsidRDefault="00101541" w:rsidP="00160FEB">
            <w:pPr>
              <w:tabs>
                <w:tab w:val="clear" w:pos="794"/>
                <w:tab w:val="left" w:pos="390"/>
              </w:tabs>
              <w:spacing w:before="0"/>
              <w:ind w:left="390" w:hanging="390"/>
              <w:rPr>
                <w:sz w:val="22"/>
                <w:szCs w:val="18"/>
              </w:rPr>
            </w:pPr>
            <w:r w:rsidRPr="0081473C">
              <w:rPr>
                <w:sz w:val="22"/>
                <w:szCs w:val="18"/>
              </w:rPr>
              <w:t>–</w:t>
            </w:r>
            <w:r w:rsidR="001350B9" w:rsidRPr="0081473C">
              <w:rPr>
                <w:sz w:val="22"/>
                <w:szCs w:val="18"/>
              </w:rPr>
              <w:tab/>
            </w:r>
            <w:r w:rsidR="00766C41" w:rsidRPr="0081473C">
              <w:rPr>
                <w:sz w:val="22"/>
                <w:szCs w:val="18"/>
              </w:rPr>
              <w:t>el</w:t>
            </w:r>
            <w:r w:rsidR="001350B9" w:rsidRPr="0081473C">
              <w:rPr>
                <w:sz w:val="22"/>
                <w:szCs w:val="18"/>
              </w:rPr>
              <w:t xml:space="preserve"> </w:t>
            </w:r>
            <w:proofErr w:type="gramStart"/>
            <w:r w:rsidR="001350B9" w:rsidRPr="0081473C">
              <w:rPr>
                <w:sz w:val="22"/>
                <w:szCs w:val="18"/>
              </w:rPr>
              <w:t>Director</w:t>
            </w:r>
            <w:proofErr w:type="gramEnd"/>
            <w:r w:rsidR="001350B9" w:rsidRPr="0081473C">
              <w:rPr>
                <w:sz w:val="22"/>
                <w:szCs w:val="18"/>
              </w:rPr>
              <w:t xml:space="preserve"> de la Oficina de Desarrollo de las Telecomunicaciones;</w:t>
            </w:r>
          </w:p>
          <w:p w14:paraId="4E2FF369" w14:textId="70B87030" w:rsidR="001350B9" w:rsidRPr="0081473C" w:rsidRDefault="00101541" w:rsidP="00160FEB">
            <w:pPr>
              <w:tabs>
                <w:tab w:val="clear" w:pos="794"/>
                <w:tab w:val="left" w:pos="390"/>
              </w:tabs>
              <w:spacing w:before="0"/>
              <w:ind w:left="390" w:hanging="390"/>
              <w:rPr>
                <w:sz w:val="22"/>
                <w:szCs w:val="18"/>
              </w:rPr>
            </w:pPr>
            <w:r w:rsidRPr="0081473C">
              <w:rPr>
                <w:sz w:val="22"/>
                <w:szCs w:val="18"/>
              </w:rPr>
              <w:t>–</w:t>
            </w:r>
            <w:r w:rsidR="001350B9" w:rsidRPr="0081473C">
              <w:rPr>
                <w:sz w:val="22"/>
                <w:szCs w:val="18"/>
              </w:rPr>
              <w:tab/>
            </w:r>
            <w:r w:rsidRPr="0081473C">
              <w:rPr>
                <w:sz w:val="22"/>
                <w:szCs w:val="18"/>
              </w:rPr>
              <w:t>e</w:t>
            </w:r>
            <w:r w:rsidR="001350B9" w:rsidRPr="0081473C">
              <w:rPr>
                <w:sz w:val="22"/>
                <w:szCs w:val="18"/>
              </w:rPr>
              <w:t xml:space="preserve">l </w:t>
            </w:r>
            <w:proofErr w:type="gramStart"/>
            <w:r w:rsidR="001350B9" w:rsidRPr="0081473C">
              <w:rPr>
                <w:sz w:val="22"/>
                <w:szCs w:val="18"/>
              </w:rPr>
              <w:t>Director</w:t>
            </w:r>
            <w:proofErr w:type="gramEnd"/>
            <w:r w:rsidR="001350B9" w:rsidRPr="0081473C">
              <w:rPr>
                <w:sz w:val="22"/>
                <w:szCs w:val="18"/>
              </w:rPr>
              <w:t xml:space="preserve"> de la Oficina de Radiocomunicaciones</w:t>
            </w:r>
          </w:p>
        </w:tc>
      </w:tr>
      <w:tr w:rsidR="001350B9" w:rsidRPr="0081473C" w14:paraId="1A010FF9" w14:textId="77777777" w:rsidTr="00160FEB">
        <w:trPr>
          <w:cantSplit/>
        </w:trPr>
        <w:tc>
          <w:tcPr>
            <w:tcW w:w="1507" w:type="dxa"/>
          </w:tcPr>
          <w:p w14:paraId="48F92A24" w14:textId="77777777" w:rsidR="001350B9" w:rsidRPr="0081473C" w:rsidRDefault="001350B9" w:rsidP="00160FEB">
            <w:pPr>
              <w:spacing w:before="40" w:after="40"/>
              <w:ind w:left="-110"/>
              <w:rPr>
                <w:sz w:val="22"/>
                <w:szCs w:val="18"/>
              </w:rPr>
            </w:pPr>
            <w:r w:rsidRPr="0081473C">
              <w:rPr>
                <w:sz w:val="22"/>
                <w:szCs w:val="18"/>
              </w:rPr>
              <w:t>Tel.:</w:t>
            </w:r>
          </w:p>
        </w:tc>
        <w:tc>
          <w:tcPr>
            <w:tcW w:w="3263" w:type="dxa"/>
          </w:tcPr>
          <w:p w14:paraId="19D29048" w14:textId="382992EC" w:rsidR="001350B9" w:rsidRPr="0081473C" w:rsidRDefault="00042EFD" w:rsidP="00160FEB">
            <w:pPr>
              <w:spacing w:before="40" w:after="40"/>
              <w:rPr>
                <w:sz w:val="22"/>
                <w:szCs w:val="18"/>
              </w:rPr>
            </w:pPr>
            <w:r w:rsidRPr="0081473C">
              <w:rPr>
                <w:sz w:val="22"/>
                <w:szCs w:val="18"/>
              </w:rPr>
              <w:t>+41 22 730 6206</w:t>
            </w:r>
          </w:p>
        </w:tc>
        <w:tc>
          <w:tcPr>
            <w:tcW w:w="5534" w:type="dxa"/>
            <w:vMerge/>
          </w:tcPr>
          <w:p w14:paraId="3DF5CE88" w14:textId="77777777" w:rsidR="001350B9" w:rsidRPr="0081473C" w:rsidRDefault="001350B9" w:rsidP="00160FEB">
            <w:pPr>
              <w:tabs>
                <w:tab w:val="left" w:pos="226"/>
                <w:tab w:val="left" w:pos="510"/>
              </w:tabs>
              <w:spacing w:before="0"/>
              <w:ind w:left="226" w:hanging="169"/>
              <w:rPr>
                <w:b/>
                <w:sz w:val="22"/>
                <w:szCs w:val="18"/>
              </w:rPr>
            </w:pPr>
          </w:p>
        </w:tc>
      </w:tr>
      <w:tr w:rsidR="001350B9" w:rsidRPr="0081473C" w14:paraId="07D56EDD" w14:textId="77777777" w:rsidTr="00160FEB">
        <w:trPr>
          <w:cantSplit/>
        </w:trPr>
        <w:tc>
          <w:tcPr>
            <w:tcW w:w="1507" w:type="dxa"/>
          </w:tcPr>
          <w:p w14:paraId="35CE91C2" w14:textId="77777777" w:rsidR="001350B9" w:rsidRPr="0081473C" w:rsidRDefault="001350B9" w:rsidP="00160FEB">
            <w:pPr>
              <w:spacing w:before="40" w:after="40"/>
              <w:ind w:left="-110"/>
              <w:rPr>
                <w:sz w:val="22"/>
                <w:szCs w:val="18"/>
              </w:rPr>
            </w:pPr>
            <w:r w:rsidRPr="0081473C">
              <w:rPr>
                <w:sz w:val="22"/>
                <w:szCs w:val="18"/>
              </w:rPr>
              <w:t>Fax:</w:t>
            </w:r>
          </w:p>
        </w:tc>
        <w:tc>
          <w:tcPr>
            <w:tcW w:w="3263" w:type="dxa"/>
          </w:tcPr>
          <w:p w14:paraId="50BA9232" w14:textId="77777777" w:rsidR="001350B9" w:rsidRPr="0081473C" w:rsidRDefault="001350B9" w:rsidP="00160FEB">
            <w:pPr>
              <w:spacing w:before="40" w:after="40"/>
              <w:rPr>
                <w:sz w:val="22"/>
                <w:szCs w:val="18"/>
              </w:rPr>
            </w:pPr>
            <w:r w:rsidRPr="0081473C">
              <w:rPr>
                <w:sz w:val="22"/>
                <w:szCs w:val="18"/>
              </w:rPr>
              <w:t>+41 22 730 5853</w:t>
            </w:r>
          </w:p>
        </w:tc>
        <w:tc>
          <w:tcPr>
            <w:tcW w:w="5534" w:type="dxa"/>
            <w:vMerge/>
          </w:tcPr>
          <w:p w14:paraId="20877663" w14:textId="77777777" w:rsidR="001350B9" w:rsidRPr="0081473C" w:rsidRDefault="001350B9" w:rsidP="00160FEB">
            <w:pPr>
              <w:tabs>
                <w:tab w:val="left" w:pos="226"/>
                <w:tab w:val="left" w:pos="510"/>
              </w:tabs>
              <w:spacing w:before="0"/>
              <w:ind w:left="226" w:hanging="169"/>
              <w:rPr>
                <w:b/>
                <w:sz w:val="22"/>
                <w:szCs w:val="18"/>
              </w:rPr>
            </w:pPr>
          </w:p>
        </w:tc>
      </w:tr>
      <w:tr w:rsidR="001350B9" w:rsidRPr="0081473C" w14:paraId="30FF827C" w14:textId="77777777" w:rsidTr="00160FEB">
        <w:trPr>
          <w:cantSplit/>
        </w:trPr>
        <w:tc>
          <w:tcPr>
            <w:tcW w:w="1507" w:type="dxa"/>
          </w:tcPr>
          <w:p w14:paraId="220ABEEC" w14:textId="77777777" w:rsidR="001350B9" w:rsidRPr="0081473C" w:rsidRDefault="001350B9" w:rsidP="00160FEB">
            <w:pPr>
              <w:spacing w:before="40" w:after="40"/>
              <w:ind w:left="-110"/>
              <w:rPr>
                <w:sz w:val="22"/>
                <w:szCs w:val="18"/>
              </w:rPr>
            </w:pPr>
            <w:r w:rsidRPr="0081473C">
              <w:rPr>
                <w:sz w:val="22"/>
                <w:szCs w:val="18"/>
              </w:rPr>
              <w:t>Correo-e:</w:t>
            </w:r>
          </w:p>
        </w:tc>
        <w:tc>
          <w:tcPr>
            <w:tcW w:w="3263" w:type="dxa"/>
          </w:tcPr>
          <w:p w14:paraId="114B24C6" w14:textId="0C4424FE" w:rsidR="001350B9" w:rsidRPr="0081473C" w:rsidRDefault="00042EFD" w:rsidP="00160FEB">
            <w:pPr>
              <w:spacing w:before="40" w:after="40"/>
              <w:rPr>
                <w:sz w:val="22"/>
                <w:szCs w:val="18"/>
              </w:rPr>
            </w:pPr>
            <w:hyperlink r:id="rId9" w:history="1">
              <w:r w:rsidRPr="0081473C">
                <w:rPr>
                  <w:rStyle w:val="Hyperlink"/>
                  <w:sz w:val="22"/>
                  <w:szCs w:val="18"/>
                </w:rPr>
                <w:t>tsbsg17@itu.int</w:t>
              </w:r>
            </w:hyperlink>
          </w:p>
        </w:tc>
        <w:tc>
          <w:tcPr>
            <w:tcW w:w="5534" w:type="dxa"/>
            <w:vMerge/>
          </w:tcPr>
          <w:p w14:paraId="0ACE8CE2" w14:textId="77777777" w:rsidR="001350B9" w:rsidRPr="0081473C" w:rsidRDefault="001350B9" w:rsidP="00160FEB">
            <w:pPr>
              <w:tabs>
                <w:tab w:val="clear" w:pos="794"/>
                <w:tab w:val="clear" w:pos="1191"/>
                <w:tab w:val="clear" w:pos="1588"/>
                <w:tab w:val="clear" w:pos="1985"/>
                <w:tab w:val="left" w:pos="226"/>
                <w:tab w:val="left" w:pos="510"/>
              </w:tabs>
              <w:spacing w:before="0"/>
              <w:ind w:left="226" w:hanging="169"/>
              <w:rPr>
                <w:sz w:val="22"/>
                <w:szCs w:val="18"/>
              </w:rPr>
            </w:pPr>
          </w:p>
        </w:tc>
      </w:tr>
      <w:tr w:rsidR="007B6316" w:rsidRPr="0081473C" w14:paraId="7F4E66DD" w14:textId="77777777" w:rsidTr="00160FEB">
        <w:trPr>
          <w:cantSplit/>
        </w:trPr>
        <w:tc>
          <w:tcPr>
            <w:tcW w:w="1507" w:type="dxa"/>
          </w:tcPr>
          <w:p w14:paraId="7BBE0879" w14:textId="77777777" w:rsidR="007B6316" w:rsidRPr="0081473C" w:rsidRDefault="007B6316" w:rsidP="00160FEB">
            <w:pPr>
              <w:ind w:left="-110"/>
              <w:rPr>
                <w:sz w:val="22"/>
                <w:szCs w:val="18"/>
              </w:rPr>
            </w:pPr>
            <w:r w:rsidRPr="0081473C">
              <w:rPr>
                <w:b/>
                <w:bCs/>
                <w:sz w:val="22"/>
                <w:szCs w:val="18"/>
              </w:rPr>
              <w:t>Asunto</w:t>
            </w:r>
            <w:r w:rsidRPr="0081473C">
              <w:rPr>
                <w:sz w:val="22"/>
                <w:szCs w:val="18"/>
              </w:rPr>
              <w:t>:</w:t>
            </w:r>
          </w:p>
        </w:tc>
        <w:tc>
          <w:tcPr>
            <w:tcW w:w="8797" w:type="dxa"/>
            <w:gridSpan w:val="2"/>
          </w:tcPr>
          <w:p w14:paraId="445801EB" w14:textId="71B689E7" w:rsidR="007B6316" w:rsidRPr="0081473C" w:rsidRDefault="00241979" w:rsidP="00160FEB">
            <w:pPr>
              <w:rPr>
                <w:b/>
                <w:bCs/>
                <w:sz w:val="22"/>
                <w:szCs w:val="18"/>
              </w:rPr>
            </w:pPr>
            <w:r w:rsidRPr="0081473C">
              <w:rPr>
                <w:b/>
                <w:bCs/>
                <w:sz w:val="22"/>
                <w:szCs w:val="18"/>
              </w:rPr>
              <w:t xml:space="preserve">Consulta a los Estados Miembros sobre los proyectos de nuevas Recomendaciones determinadas UIT-T X.1062 (ex </w:t>
            </w:r>
            <w:proofErr w:type="spellStart"/>
            <w:proofErr w:type="gramStart"/>
            <w:r w:rsidRPr="0081473C">
              <w:rPr>
                <w:b/>
                <w:bCs/>
                <w:sz w:val="22"/>
                <w:szCs w:val="18"/>
              </w:rPr>
              <w:t>X.shcd</w:t>
            </w:r>
            <w:proofErr w:type="spellEnd"/>
            <w:proofErr w:type="gramEnd"/>
            <w:r w:rsidRPr="0081473C">
              <w:rPr>
                <w:b/>
                <w:bCs/>
                <w:sz w:val="22"/>
                <w:szCs w:val="18"/>
              </w:rPr>
              <w:t xml:space="preserve">), X.1238 (ex </w:t>
            </w:r>
            <w:proofErr w:type="spellStart"/>
            <w:r w:rsidRPr="0081473C">
              <w:rPr>
                <w:b/>
                <w:bCs/>
                <w:sz w:val="22"/>
                <w:szCs w:val="18"/>
              </w:rPr>
              <w:t>X.sgc-rcs</w:t>
            </w:r>
            <w:proofErr w:type="spellEnd"/>
            <w:r w:rsidRPr="0081473C">
              <w:rPr>
                <w:b/>
                <w:bCs/>
                <w:sz w:val="22"/>
                <w:szCs w:val="18"/>
              </w:rPr>
              <w:t>), X.1128 (ex</w:t>
            </w:r>
            <w:r w:rsidR="000311AF" w:rsidRPr="0081473C">
              <w:rPr>
                <w:b/>
                <w:bCs/>
                <w:sz w:val="22"/>
                <w:szCs w:val="18"/>
              </w:rPr>
              <w:t> </w:t>
            </w:r>
            <w:r w:rsidRPr="0081473C">
              <w:rPr>
                <w:b/>
                <w:bCs/>
                <w:sz w:val="22"/>
                <w:szCs w:val="18"/>
              </w:rPr>
              <w:t>X.mt</w:t>
            </w:r>
            <w:r w:rsidR="000311AF" w:rsidRPr="0081473C">
              <w:rPr>
                <w:b/>
                <w:bCs/>
                <w:sz w:val="22"/>
                <w:szCs w:val="18"/>
              </w:rPr>
              <w:noBreakHyphen/>
            </w:r>
            <w:proofErr w:type="spellStart"/>
            <w:r w:rsidRPr="0081473C">
              <w:rPr>
                <w:b/>
                <w:bCs/>
                <w:sz w:val="22"/>
                <w:szCs w:val="18"/>
              </w:rPr>
              <w:t>feature</w:t>
            </w:r>
            <w:proofErr w:type="spellEnd"/>
            <w:r w:rsidRPr="0081473C">
              <w:rPr>
                <w:b/>
                <w:bCs/>
                <w:sz w:val="22"/>
                <w:szCs w:val="18"/>
              </w:rPr>
              <w:t>), X.1129 (ex X.mt-</w:t>
            </w:r>
            <w:proofErr w:type="spellStart"/>
            <w:r w:rsidRPr="0081473C">
              <w:rPr>
                <w:b/>
                <w:bCs/>
                <w:sz w:val="22"/>
                <w:szCs w:val="18"/>
              </w:rPr>
              <w:t>integrity</w:t>
            </w:r>
            <w:proofErr w:type="spellEnd"/>
            <w:r w:rsidRPr="0081473C">
              <w:rPr>
                <w:b/>
                <w:bCs/>
                <w:sz w:val="22"/>
                <w:szCs w:val="18"/>
              </w:rPr>
              <w:t>), X.1130 (ex X.tg-</w:t>
            </w:r>
            <w:proofErr w:type="spellStart"/>
            <w:r w:rsidRPr="0081473C">
              <w:rPr>
                <w:b/>
                <w:bCs/>
                <w:sz w:val="22"/>
                <w:szCs w:val="18"/>
              </w:rPr>
              <w:t>fdma</w:t>
            </w:r>
            <w:proofErr w:type="spellEnd"/>
            <w:r w:rsidRPr="0081473C">
              <w:rPr>
                <w:b/>
                <w:bCs/>
                <w:sz w:val="22"/>
                <w:szCs w:val="18"/>
              </w:rPr>
              <w:t>), X.1457 (ex</w:t>
            </w:r>
            <w:r w:rsidR="000311AF" w:rsidRPr="0081473C">
              <w:rPr>
                <w:b/>
                <w:bCs/>
                <w:sz w:val="22"/>
                <w:szCs w:val="18"/>
              </w:rPr>
              <w:t> </w:t>
            </w:r>
            <w:proofErr w:type="spellStart"/>
            <w:r w:rsidRPr="0081473C">
              <w:rPr>
                <w:b/>
                <w:bCs/>
                <w:sz w:val="22"/>
                <w:szCs w:val="18"/>
              </w:rPr>
              <w:t>X.str</w:t>
            </w:r>
            <w:r w:rsidR="000311AF" w:rsidRPr="0081473C">
              <w:rPr>
                <w:b/>
                <w:bCs/>
                <w:sz w:val="22"/>
                <w:szCs w:val="18"/>
              </w:rPr>
              <w:noBreakHyphen/>
            </w:r>
            <w:r w:rsidRPr="0081473C">
              <w:rPr>
                <w:b/>
                <w:bCs/>
                <w:sz w:val="22"/>
                <w:szCs w:val="18"/>
              </w:rPr>
              <w:t>irs</w:t>
            </w:r>
            <w:proofErr w:type="spellEnd"/>
            <w:r w:rsidRPr="0081473C">
              <w:rPr>
                <w:b/>
                <w:bCs/>
                <w:sz w:val="22"/>
                <w:szCs w:val="18"/>
              </w:rPr>
              <w:t xml:space="preserve">), X.1753 (ex </w:t>
            </w:r>
            <w:proofErr w:type="spellStart"/>
            <w:proofErr w:type="gramStart"/>
            <w:r w:rsidRPr="0081473C">
              <w:rPr>
                <w:b/>
                <w:bCs/>
                <w:sz w:val="22"/>
                <w:szCs w:val="18"/>
              </w:rPr>
              <w:t>X.gdsml</w:t>
            </w:r>
            <w:proofErr w:type="spellEnd"/>
            <w:proofErr w:type="gramEnd"/>
            <w:r w:rsidRPr="0081473C">
              <w:rPr>
                <w:b/>
                <w:bCs/>
                <w:sz w:val="22"/>
                <w:szCs w:val="18"/>
              </w:rPr>
              <w:t xml:space="preserve">) y X.1649 (ex </w:t>
            </w:r>
            <w:proofErr w:type="spellStart"/>
            <w:proofErr w:type="gramStart"/>
            <w:r w:rsidRPr="0081473C">
              <w:rPr>
                <w:b/>
                <w:bCs/>
                <w:sz w:val="22"/>
                <w:szCs w:val="18"/>
              </w:rPr>
              <w:t>X.sgmc</w:t>
            </w:r>
            <w:proofErr w:type="spellEnd"/>
            <w:proofErr w:type="gramEnd"/>
            <w:r w:rsidRPr="0081473C">
              <w:rPr>
                <w:b/>
                <w:bCs/>
                <w:sz w:val="22"/>
                <w:szCs w:val="18"/>
              </w:rPr>
              <w:t>), y de Recomendaciones revisadas UIT-T X.1250 y X.1631, propuestos para su aprobación en la reunión de la Comisión de Estudio</w:t>
            </w:r>
            <w:r w:rsidR="000311AF" w:rsidRPr="0081473C">
              <w:rPr>
                <w:b/>
                <w:bCs/>
                <w:sz w:val="22"/>
                <w:szCs w:val="18"/>
              </w:rPr>
              <w:t> </w:t>
            </w:r>
            <w:r w:rsidRPr="0081473C">
              <w:rPr>
                <w:b/>
                <w:bCs/>
                <w:sz w:val="22"/>
                <w:szCs w:val="18"/>
              </w:rPr>
              <w:t>17 del</w:t>
            </w:r>
            <w:r w:rsidR="000311AF" w:rsidRPr="0081473C">
              <w:rPr>
                <w:b/>
                <w:bCs/>
                <w:sz w:val="22"/>
                <w:szCs w:val="18"/>
              </w:rPr>
              <w:t> </w:t>
            </w:r>
            <w:r w:rsidRPr="0081473C">
              <w:rPr>
                <w:b/>
                <w:bCs/>
                <w:sz w:val="22"/>
                <w:szCs w:val="18"/>
              </w:rPr>
              <w:t>UIT-T (Ginebra, 3-11 de diciembre de 2025)</w:t>
            </w:r>
          </w:p>
        </w:tc>
      </w:tr>
    </w:tbl>
    <w:p w14:paraId="7DCD2BF6" w14:textId="53216CD7" w:rsidR="00C34772" w:rsidRPr="0081473C" w:rsidRDefault="00A348DD" w:rsidP="00160FEB">
      <w:pPr>
        <w:pStyle w:val="Normalaftertitle"/>
        <w:spacing w:before="120"/>
        <w:rPr>
          <w:sz w:val="22"/>
          <w:szCs w:val="18"/>
        </w:rPr>
      </w:pPr>
      <w:bookmarkStart w:id="1" w:name="StartTyping_S"/>
      <w:bookmarkStart w:id="2" w:name="suitetext"/>
      <w:bookmarkStart w:id="3" w:name="text"/>
      <w:bookmarkEnd w:id="1"/>
      <w:bookmarkEnd w:id="2"/>
      <w:bookmarkEnd w:id="3"/>
      <w:r w:rsidRPr="0081473C">
        <w:rPr>
          <w:sz w:val="22"/>
          <w:szCs w:val="18"/>
        </w:rPr>
        <w:t>Estimado Señor/Estimada Señora</w:t>
      </w:r>
      <w:r w:rsidR="00160FEB">
        <w:rPr>
          <w:sz w:val="22"/>
          <w:szCs w:val="18"/>
        </w:rPr>
        <w:t>,</w:t>
      </w:r>
    </w:p>
    <w:p w14:paraId="2942D510" w14:textId="2B2A5164" w:rsidR="00A348DD" w:rsidRPr="0081473C" w:rsidRDefault="00A348DD" w:rsidP="00A348DD">
      <w:pPr>
        <w:rPr>
          <w:sz w:val="22"/>
          <w:szCs w:val="18"/>
          <w:lang w:val="es-ES"/>
        </w:rPr>
      </w:pPr>
      <w:r w:rsidRPr="0081473C">
        <w:rPr>
          <w:sz w:val="22"/>
          <w:szCs w:val="18"/>
          <w:lang w:val="es-ES"/>
        </w:rPr>
        <w:t>1</w:t>
      </w:r>
      <w:r w:rsidRPr="0081473C">
        <w:rPr>
          <w:sz w:val="22"/>
          <w:szCs w:val="18"/>
          <w:lang w:val="es-ES"/>
        </w:rPr>
        <w:tab/>
      </w:r>
      <w:proofErr w:type="gramStart"/>
      <w:r w:rsidRPr="0081473C">
        <w:rPr>
          <w:sz w:val="22"/>
          <w:szCs w:val="18"/>
          <w:lang w:val="es-ES"/>
        </w:rPr>
        <w:t>La</w:t>
      </w:r>
      <w:proofErr w:type="gramEnd"/>
      <w:r w:rsidRPr="0081473C">
        <w:rPr>
          <w:sz w:val="22"/>
          <w:szCs w:val="18"/>
          <w:lang w:val="es-ES"/>
        </w:rPr>
        <w:t xml:space="preserve"> Comisión de Estudio</w:t>
      </w:r>
      <w:r w:rsidR="00BB1F3F" w:rsidRPr="0081473C">
        <w:rPr>
          <w:sz w:val="22"/>
          <w:szCs w:val="18"/>
          <w:lang w:val="es-ES"/>
        </w:rPr>
        <w:t> </w:t>
      </w:r>
      <w:r w:rsidRPr="0081473C">
        <w:rPr>
          <w:sz w:val="22"/>
          <w:szCs w:val="18"/>
          <w:lang w:val="es-ES"/>
        </w:rPr>
        <w:t>17 (Seguridad) tiene previsto aplicar el procedimiento de aprobación tradicional descrito en la Sección</w:t>
      </w:r>
      <w:r w:rsidR="00BB1F3F" w:rsidRPr="0081473C">
        <w:rPr>
          <w:sz w:val="22"/>
          <w:szCs w:val="18"/>
          <w:lang w:val="es-ES"/>
        </w:rPr>
        <w:t> </w:t>
      </w:r>
      <w:r w:rsidRPr="0081473C">
        <w:rPr>
          <w:sz w:val="22"/>
          <w:szCs w:val="18"/>
          <w:lang w:val="es-ES"/>
        </w:rPr>
        <w:t>9 de la Resolución</w:t>
      </w:r>
      <w:r w:rsidR="00BB1F3F" w:rsidRPr="0081473C">
        <w:rPr>
          <w:sz w:val="22"/>
          <w:szCs w:val="18"/>
          <w:lang w:val="es-ES"/>
        </w:rPr>
        <w:t> </w:t>
      </w:r>
      <w:r w:rsidRPr="0081473C">
        <w:rPr>
          <w:sz w:val="22"/>
          <w:szCs w:val="18"/>
          <w:lang w:val="es-ES"/>
        </w:rPr>
        <w:t>1 (Rev. Ginebra, 2022) de la</w:t>
      </w:r>
      <w:r w:rsidR="00BB1F3F" w:rsidRPr="0081473C">
        <w:rPr>
          <w:sz w:val="22"/>
          <w:szCs w:val="18"/>
          <w:lang w:val="es-ES"/>
        </w:rPr>
        <w:t> </w:t>
      </w:r>
      <w:r w:rsidRPr="0081473C">
        <w:rPr>
          <w:sz w:val="22"/>
          <w:szCs w:val="18"/>
          <w:lang w:val="es-ES"/>
        </w:rPr>
        <w:t>AMNT a efectos de la aprobación de los proyectos de Recomendación indicados en el asunto durante la próxima reunión física que tendrá lugar en Ginebra del 3 al 11 de diciembre de 2025. El orden del día y toda la información pertinente sobre la reunión de la Comisión de Estudio</w:t>
      </w:r>
      <w:r w:rsidR="00BB1F3F" w:rsidRPr="0081473C">
        <w:rPr>
          <w:sz w:val="22"/>
          <w:szCs w:val="18"/>
          <w:lang w:val="es-ES"/>
        </w:rPr>
        <w:t> </w:t>
      </w:r>
      <w:r w:rsidRPr="0081473C">
        <w:rPr>
          <w:sz w:val="22"/>
          <w:szCs w:val="18"/>
          <w:lang w:val="es-ES"/>
        </w:rPr>
        <w:t>17 del</w:t>
      </w:r>
      <w:r w:rsidR="00BB1F3F" w:rsidRPr="0081473C">
        <w:rPr>
          <w:sz w:val="22"/>
          <w:szCs w:val="18"/>
          <w:lang w:val="es-ES"/>
        </w:rPr>
        <w:t> </w:t>
      </w:r>
      <w:r w:rsidRPr="0081473C">
        <w:rPr>
          <w:sz w:val="22"/>
          <w:szCs w:val="18"/>
          <w:lang w:val="es-ES"/>
        </w:rPr>
        <w:t>UIT</w:t>
      </w:r>
      <w:r w:rsidR="00BB1F3F" w:rsidRPr="0081473C">
        <w:rPr>
          <w:sz w:val="22"/>
          <w:szCs w:val="18"/>
          <w:lang w:val="es-ES"/>
        </w:rPr>
        <w:noBreakHyphen/>
      </w:r>
      <w:r w:rsidRPr="0081473C">
        <w:rPr>
          <w:sz w:val="22"/>
          <w:szCs w:val="18"/>
          <w:lang w:val="es-ES"/>
        </w:rPr>
        <w:t>T figurarán en la Carta Colectiva</w:t>
      </w:r>
      <w:r w:rsidR="00BB1F3F" w:rsidRPr="0081473C">
        <w:rPr>
          <w:sz w:val="22"/>
          <w:szCs w:val="18"/>
          <w:lang w:val="es-ES"/>
        </w:rPr>
        <w:t> </w:t>
      </w:r>
      <w:hyperlink r:id="rId10" w:history="1">
        <w:r w:rsidRPr="0081473C">
          <w:rPr>
            <w:rStyle w:val="Hyperlink"/>
            <w:sz w:val="22"/>
            <w:szCs w:val="18"/>
            <w:lang w:val="es-ES"/>
          </w:rPr>
          <w:t>4/17</w:t>
        </w:r>
      </w:hyperlink>
      <w:r w:rsidRPr="0081473C">
        <w:rPr>
          <w:sz w:val="22"/>
          <w:szCs w:val="18"/>
          <w:lang w:val="es-ES"/>
        </w:rPr>
        <w:t>.</w:t>
      </w:r>
      <w:hyperlink r:id="rId11" w:history="1"/>
    </w:p>
    <w:p w14:paraId="03F4A18E" w14:textId="148A915B" w:rsidR="00A348DD" w:rsidRPr="0081473C" w:rsidRDefault="00A348DD" w:rsidP="00A348DD">
      <w:pPr>
        <w:rPr>
          <w:sz w:val="22"/>
          <w:szCs w:val="18"/>
          <w:lang w:val="es-ES"/>
        </w:rPr>
      </w:pPr>
      <w:r w:rsidRPr="0081473C">
        <w:rPr>
          <w:sz w:val="22"/>
          <w:szCs w:val="18"/>
          <w:lang w:val="es-ES"/>
        </w:rPr>
        <w:t>2</w:t>
      </w:r>
      <w:r w:rsidRPr="0081473C">
        <w:rPr>
          <w:sz w:val="22"/>
          <w:szCs w:val="18"/>
          <w:lang w:val="es-ES"/>
        </w:rPr>
        <w:tab/>
      </w:r>
      <w:proofErr w:type="gramStart"/>
      <w:r w:rsidRPr="0081473C">
        <w:rPr>
          <w:sz w:val="22"/>
          <w:szCs w:val="18"/>
          <w:lang w:val="es-ES"/>
        </w:rPr>
        <w:t>El</w:t>
      </w:r>
      <w:proofErr w:type="gramEnd"/>
      <w:r w:rsidRPr="0081473C">
        <w:rPr>
          <w:sz w:val="22"/>
          <w:szCs w:val="18"/>
          <w:lang w:val="es-ES"/>
        </w:rPr>
        <w:t xml:space="preserve"> </w:t>
      </w:r>
      <w:r w:rsidRPr="0081473C">
        <w:rPr>
          <w:b/>
          <w:bCs/>
          <w:sz w:val="22"/>
          <w:szCs w:val="18"/>
          <w:lang w:val="es-ES"/>
        </w:rPr>
        <w:t>Anexo</w:t>
      </w:r>
      <w:r w:rsidR="00BB1F3F" w:rsidRPr="0081473C">
        <w:rPr>
          <w:b/>
          <w:bCs/>
          <w:sz w:val="22"/>
          <w:szCs w:val="18"/>
          <w:lang w:val="es-ES"/>
        </w:rPr>
        <w:t> </w:t>
      </w:r>
      <w:r w:rsidRPr="0081473C">
        <w:rPr>
          <w:b/>
          <w:bCs/>
          <w:sz w:val="22"/>
          <w:szCs w:val="18"/>
          <w:lang w:val="es-ES"/>
        </w:rPr>
        <w:t>1</w:t>
      </w:r>
      <w:r w:rsidRPr="0081473C">
        <w:rPr>
          <w:sz w:val="22"/>
          <w:szCs w:val="18"/>
          <w:lang w:val="es-ES"/>
        </w:rPr>
        <w:t xml:space="preserve"> contiene los títulos, resúmenes y ubicaciones de los proyectos de Recomendación UIT-T propuestos para aprobación.</w:t>
      </w:r>
    </w:p>
    <w:p w14:paraId="5AE676C9" w14:textId="2AE4AE24" w:rsidR="00A348DD" w:rsidRPr="0081473C" w:rsidRDefault="00A348DD" w:rsidP="003F2262">
      <w:pPr>
        <w:pStyle w:val="Note"/>
        <w:rPr>
          <w:sz w:val="22"/>
          <w:szCs w:val="18"/>
          <w:lang w:val="es-ES"/>
        </w:rPr>
      </w:pPr>
      <w:r w:rsidRPr="0081473C">
        <w:rPr>
          <w:sz w:val="22"/>
          <w:szCs w:val="18"/>
          <w:lang w:val="es-ES"/>
        </w:rPr>
        <w:t>NOTA</w:t>
      </w:r>
      <w:r w:rsidR="00BB1F3F" w:rsidRPr="0081473C">
        <w:rPr>
          <w:sz w:val="22"/>
          <w:szCs w:val="18"/>
          <w:lang w:val="es-ES"/>
        </w:rPr>
        <w:t> </w:t>
      </w:r>
      <w:r w:rsidRPr="0081473C">
        <w:rPr>
          <w:sz w:val="22"/>
          <w:szCs w:val="18"/>
          <w:lang w:val="es-ES"/>
        </w:rPr>
        <w:t>1 de la</w:t>
      </w:r>
      <w:r w:rsidR="0069619E" w:rsidRPr="0081473C">
        <w:rPr>
          <w:sz w:val="22"/>
          <w:szCs w:val="18"/>
          <w:lang w:val="es-ES"/>
        </w:rPr>
        <w:t> </w:t>
      </w:r>
      <w:r w:rsidRPr="0081473C">
        <w:rPr>
          <w:sz w:val="22"/>
          <w:szCs w:val="18"/>
          <w:lang w:val="es-ES"/>
        </w:rPr>
        <w:t>TSB – No se ha presentado un documento justificativo de la Recomendación</w:t>
      </w:r>
      <w:r w:rsidR="00FD562E" w:rsidRPr="0081473C">
        <w:rPr>
          <w:sz w:val="22"/>
          <w:szCs w:val="18"/>
          <w:lang w:val="es-ES"/>
        </w:rPr>
        <w:t> </w:t>
      </w:r>
      <w:r w:rsidRPr="0081473C">
        <w:rPr>
          <w:sz w:val="22"/>
          <w:szCs w:val="18"/>
          <w:lang w:val="es-ES"/>
        </w:rPr>
        <w:t>UIT</w:t>
      </w:r>
      <w:r w:rsidR="00FD562E" w:rsidRPr="0081473C">
        <w:rPr>
          <w:sz w:val="22"/>
          <w:szCs w:val="18"/>
          <w:lang w:val="es-ES"/>
        </w:rPr>
        <w:noBreakHyphen/>
      </w:r>
      <w:r w:rsidRPr="0081473C">
        <w:rPr>
          <w:sz w:val="22"/>
          <w:szCs w:val="18"/>
          <w:lang w:val="es-ES"/>
        </w:rPr>
        <w:t>T</w:t>
      </w:r>
      <w:r w:rsidR="00FD562E" w:rsidRPr="0081473C">
        <w:rPr>
          <w:sz w:val="22"/>
          <w:szCs w:val="18"/>
          <w:lang w:val="es-ES"/>
        </w:rPr>
        <w:t> </w:t>
      </w:r>
      <w:r w:rsidRPr="0081473C">
        <w:rPr>
          <w:sz w:val="22"/>
          <w:szCs w:val="18"/>
          <w:lang w:val="es-ES"/>
        </w:rPr>
        <w:t>A.5 para ninguno de estos textos determinados.</w:t>
      </w:r>
    </w:p>
    <w:p w14:paraId="5667F1AF" w14:textId="77D3C663" w:rsidR="00A348DD" w:rsidRPr="0081473C" w:rsidRDefault="00A348DD" w:rsidP="003F2262">
      <w:pPr>
        <w:pStyle w:val="Note"/>
        <w:rPr>
          <w:sz w:val="22"/>
          <w:szCs w:val="18"/>
          <w:lang w:val="es-ES"/>
        </w:rPr>
      </w:pPr>
      <w:r w:rsidRPr="0081473C">
        <w:rPr>
          <w:sz w:val="22"/>
          <w:szCs w:val="18"/>
          <w:lang w:val="es-ES"/>
        </w:rPr>
        <w:t>NOTA</w:t>
      </w:r>
      <w:r w:rsidR="00BB1F3F" w:rsidRPr="0081473C">
        <w:rPr>
          <w:sz w:val="22"/>
          <w:szCs w:val="18"/>
          <w:lang w:val="es-ES"/>
        </w:rPr>
        <w:t> </w:t>
      </w:r>
      <w:r w:rsidRPr="0081473C">
        <w:rPr>
          <w:sz w:val="22"/>
          <w:szCs w:val="18"/>
          <w:lang w:val="es-ES"/>
        </w:rPr>
        <w:t xml:space="preserve">2 </w:t>
      </w:r>
      <w:r w:rsidR="0069619E" w:rsidRPr="0081473C">
        <w:rPr>
          <w:sz w:val="22"/>
          <w:szCs w:val="18"/>
          <w:lang w:val="es-ES"/>
        </w:rPr>
        <w:t>de la </w:t>
      </w:r>
      <w:r w:rsidRPr="0081473C">
        <w:rPr>
          <w:sz w:val="22"/>
          <w:szCs w:val="18"/>
          <w:lang w:val="es-ES"/>
        </w:rPr>
        <w:t>TSB – En la fecha de la presente Circular, la</w:t>
      </w:r>
      <w:r w:rsidR="00BB1F3F" w:rsidRPr="0081473C">
        <w:rPr>
          <w:sz w:val="22"/>
          <w:szCs w:val="18"/>
          <w:lang w:val="es-ES"/>
        </w:rPr>
        <w:t> </w:t>
      </w:r>
      <w:r w:rsidRPr="0081473C">
        <w:rPr>
          <w:sz w:val="22"/>
          <w:szCs w:val="18"/>
          <w:lang w:val="es-ES"/>
        </w:rPr>
        <w:t>TSB no había recibido ninguna declaración relativa a los derechos de propiedad intelectual (DPI) en relación con estos textos determinados. Para obtener información actualizada, se invita a los miembros a consultar la base de datos de</w:t>
      </w:r>
      <w:r w:rsidR="00FD562E" w:rsidRPr="0081473C">
        <w:rPr>
          <w:sz w:val="22"/>
          <w:szCs w:val="18"/>
          <w:lang w:val="es-ES"/>
        </w:rPr>
        <w:t> </w:t>
      </w:r>
      <w:r w:rsidRPr="0081473C">
        <w:rPr>
          <w:sz w:val="22"/>
          <w:szCs w:val="18"/>
          <w:lang w:val="es-ES"/>
        </w:rPr>
        <w:t xml:space="preserve">DPI en </w:t>
      </w:r>
      <w:hyperlink r:id="rId12" w:history="1">
        <w:r w:rsidR="00BB1F3F" w:rsidRPr="0081473C">
          <w:rPr>
            <w:rStyle w:val="Hyperlink"/>
            <w:sz w:val="22"/>
            <w:szCs w:val="18"/>
            <w:lang w:val="es-ES"/>
          </w:rPr>
          <w:t>www.itu.int/ipr/</w:t>
        </w:r>
      </w:hyperlink>
      <w:r w:rsidRPr="0081473C">
        <w:rPr>
          <w:sz w:val="22"/>
          <w:szCs w:val="18"/>
          <w:lang w:val="es-ES"/>
        </w:rPr>
        <w:t>.</w:t>
      </w:r>
      <w:hyperlink r:id="rId13" w:history="1"/>
    </w:p>
    <w:p w14:paraId="6CAF994B" w14:textId="74180954" w:rsidR="00A348DD" w:rsidRPr="0081473C" w:rsidRDefault="00A348DD" w:rsidP="0069619E">
      <w:pPr>
        <w:keepNext/>
        <w:keepLines/>
        <w:rPr>
          <w:sz w:val="22"/>
          <w:szCs w:val="18"/>
          <w:lang w:val="es-ES"/>
        </w:rPr>
      </w:pPr>
      <w:r w:rsidRPr="0081473C">
        <w:rPr>
          <w:sz w:val="22"/>
          <w:szCs w:val="18"/>
          <w:lang w:val="es-ES"/>
        </w:rPr>
        <w:t>3</w:t>
      </w:r>
      <w:r w:rsidRPr="0081473C">
        <w:rPr>
          <w:sz w:val="22"/>
          <w:szCs w:val="18"/>
          <w:lang w:val="es-ES"/>
        </w:rPr>
        <w:tab/>
      </w:r>
      <w:proofErr w:type="gramStart"/>
      <w:r w:rsidRPr="0081473C">
        <w:rPr>
          <w:sz w:val="22"/>
          <w:szCs w:val="18"/>
          <w:lang w:val="es-ES"/>
        </w:rPr>
        <w:t>Con</w:t>
      </w:r>
      <w:proofErr w:type="gramEnd"/>
      <w:r w:rsidRPr="0081473C">
        <w:rPr>
          <w:sz w:val="22"/>
          <w:szCs w:val="18"/>
          <w:lang w:val="es-ES"/>
        </w:rPr>
        <w:t xml:space="preserve"> esta Circular se inicia la consulta oficial con los Estados Miembros de la</w:t>
      </w:r>
      <w:r w:rsidR="0069619E" w:rsidRPr="0081473C">
        <w:rPr>
          <w:sz w:val="22"/>
          <w:szCs w:val="18"/>
          <w:lang w:val="es-ES"/>
        </w:rPr>
        <w:t> </w:t>
      </w:r>
      <w:r w:rsidRPr="0081473C">
        <w:rPr>
          <w:sz w:val="22"/>
          <w:szCs w:val="18"/>
          <w:lang w:val="es-ES"/>
        </w:rPr>
        <w:t>UIT sobre si estos textos pueden considerarse para su aprobación en la próxima reunión, de acuerdo con la cláusula</w:t>
      </w:r>
      <w:r w:rsidR="00BB1F3F" w:rsidRPr="0081473C">
        <w:rPr>
          <w:sz w:val="22"/>
          <w:szCs w:val="18"/>
          <w:lang w:val="es-ES"/>
        </w:rPr>
        <w:t> </w:t>
      </w:r>
      <w:r w:rsidRPr="0081473C">
        <w:rPr>
          <w:sz w:val="22"/>
          <w:szCs w:val="18"/>
          <w:lang w:val="es-ES"/>
        </w:rPr>
        <w:t>9.4 de la Resolución</w:t>
      </w:r>
      <w:r w:rsidR="00BB1F3F" w:rsidRPr="0081473C">
        <w:rPr>
          <w:sz w:val="22"/>
          <w:szCs w:val="18"/>
          <w:lang w:val="es-ES"/>
        </w:rPr>
        <w:t> </w:t>
      </w:r>
      <w:r w:rsidRPr="0081473C">
        <w:rPr>
          <w:sz w:val="22"/>
          <w:szCs w:val="18"/>
          <w:lang w:val="es-ES"/>
        </w:rPr>
        <w:t xml:space="preserve">1. Se ruega a los Estados Miembros que cumplimenten y devuelvan el formulario incluido en el </w:t>
      </w:r>
      <w:r w:rsidRPr="0081473C">
        <w:rPr>
          <w:b/>
          <w:bCs/>
          <w:sz w:val="22"/>
          <w:szCs w:val="18"/>
          <w:lang w:val="es-ES"/>
        </w:rPr>
        <w:t>Anexo</w:t>
      </w:r>
      <w:r w:rsidR="00BB1F3F" w:rsidRPr="0081473C">
        <w:rPr>
          <w:b/>
          <w:bCs/>
          <w:sz w:val="22"/>
          <w:szCs w:val="18"/>
          <w:lang w:val="es-ES"/>
        </w:rPr>
        <w:t> </w:t>
      </w:r>
      <w:r w:rsidRPr="0081473C">
        <w:rPr>
          <w:b/>
          <w:bCs/>
          <w:sz w:val="22"/>
          <w:szCs w:val="18"/>
          <w:lang w:val="es-ES"/>
        </w:rPr>
        <w:t>2</w:t>
      </w:r>
      <w:r w:rsidRPr="0081473C">
        <w:rPr>
          <w:sz w:val="22"/>
          <w:szCs w:val="18"/>
          <w:lang w:val="es-ES"/>
        </w:rPr>
        <w:t xml:space="preserve"> antes de las 23.59</w:t>
      </w:r>
      <w:r w:rsidR="00BB1F3F" w:rsidRPr="0081473C">
        <w:rPr>
          <w:sz w:val="22"/>
          <w:szCs w:val="18"/>
          <w:lang w:val="es-ES"/>
        </w:rPr>
        <w:t> </w:t>
      </w:r>
      <w:r w:rsidRPr="0081473C">
        <w:rPr>
          <w:sz w:val="22"/>
          <w:szCs w:val="18"/>
          <w:lang w:val="es-ES"/>
        </w:rPr>
        <w:t>horas UTC del</w:t>
      </w:r>
      <w:r w:rsidRPr="0081473C">
        <w:rPr>
          <w:b/>
          <w:bCs/>
          <w:sz w:val="22"/>
          <w:szCs w:val="18"/>
          <w:lang w:val="es-ES"/>
        </w:rPr>
        <w:t xml:space="preserve"> 21 de noviembre de 2025</w:t>
      </w:r>
      <w:r w:rsidRPr="0081473C">
        <w:rPr>
          <w:sz w:val="22"/>
          <w:szCs w:val="18"/>
          <w:lang w:val="es-ES"/>
        </w:rPr>
        <w:t>.</w:t>
      </w:r>
    </w:p>
    <w:p w14:paraId="2798C078" w14:textId="30F4B4F3" w:rsidR="00A348DD" w:rsidRPr="0081473C" w:rsidRDefault="00A348DD" w:rsidP="00A348DD">
      <w:pPr>
        <w:rPr>
          <w:sz w:val="22"/>
          <w:szCs w:val="18"/>
          <w:lang w:val="es-ES"/>
        </w:rPr>
      </w:pPr>
      <w:r w:rsidRPr="0081473C">
        <w:rPr>
          <w:sz w:val="22"/>
          <w:szCs w:val="18"/>
          <w:lang w:val="es-ES"/>
        </w:rPr>
        <w:t>4</w:t>
      </w:r>
      <w:r w:rsidRPr="0081473C">
        <w:rPr>
          <w:sz w:val="22"/>
          <w:szCs w:val="18"/>
          <w:lang w:val="es-ES"/>
        </w:rPr>
        <w:tab/>
      </w:r>
      <w:proofErr w:type="gramStart"/>
      <w:r w:rsidRPr="0081473C">
        <w:rPr>
          <w:sz w:val="22"/>
          <w:szCs w:val="18"/>
          <w:lang w:val="es-ES"/>
        </w:rPr>
        <w:t>Si</w:t>
      </w:r>
      <w:proofErr w:type="gramEnd"/>
      <w:r w:rsidRPr="0081473C">
        <w:rPr>
          <w:sz w:val="22"/>
          <w:szCs w:val="18"/>
          <w:lang w:val="es-ES"/>
        </w:rPr>
        <w:t xml:space="preserve"> el 70</w:t>
      </w:r>
      <w:r w:rsidR="00BB1F3F" w:rsidRPr="0081473C">
        <w:rPr>
          <w:sz w:val="22"/>
          <w:szCs w:val="18"/>
          <w:lang w:val="es-ES"/>
        </w:rPr>
        <w:t> </w:t>
      </w:r>
      <w:r w:rsidRPr="0081473C">
        <w:rPr>
          <w:sz w:val="22"/>
          <w:szCs w:val="18"/>
          <w:lang w:val="es-ES"/>
        </w:rPr>
        <w:t xml:space="preserve">% como mínimo de las respuestas de los Estados Miembros es favorable a que se considere la aprobación, se dedicará una sesión plenaria a la aplicación del procedimiento de aprobación. Los Estados Miembros que no otorguen autoridad para proceder deben informar al </w:t>
      </w:r>
      <w:proofErr w:type="gramStart"/>
      <w:r w:rsidRPr="0081473C">
        <w:rPr>
          <w:sz w:val="22"/>
          <w:szCs w:val="18"/>
          <w:lang w:val="es-ES"/>
        </w:rPr>
        <w:t>Director</w:t>
      </w:r>
      <w:proofErr w:type="gramEnd"/>
      <w:r w:rsidRPr="0081473C">
        <w:rPr>
          <w:sz w:val="22"/>
          <w:szCs w:val="18"/>
          <w:lang w:val="es-ES"/>
        </w:rPr>
        <w:t xml:space="preserve"> de la</w:t>
      </w:r>
      <w:r w:rsidR="00BB1F3F" w:rsidRPr="0081473C">
        <w:rPr>
          <w:sz w:val="22"/>
          <w:szCs w:val="18"/>
          <w:lang w:val="es-ES"/>
        </w:rPr>
        <w:t> </w:t>
      </w:r>
      <w:r w:rsidRPr="0081473C">
        <w:rPr>
          <w:sz w:val="22"/>
          <w:szCs w:val="18"/>
          <w:lang w:val="es-ES"/>
        </w:rPr>
        <w:t>TSB de los motivos de su decisión e indicar los posibles cambios que harían posible el avance de los trabajos.</w:t>
      </w:r>
    </w:p>
    <w:p w14:paraId="05E4707F" w14:textId="126A6C10" w:rsidR="007B6316" w:rsidRPr="0081473C" w:rsidRDefault="007B6316" w:rsidP="007B6316">
      <w:pPr>
        <w:rPr>
          <w:sz w:val="22"/>
          <w:szCs w:val="18"/>
        </w:rPr>
      </w:pPr>
      <w:r w:rsidRPr="0081473C">
        <w:rPr>
          <w:sz w:val="22"/>
          <w:szCs w:val="18"/>
        </w:rPr>
        <w:t>Atentamente,</w:t>
      </w:r>
    </w:p>
    <w:p w14:paraId="0B0286BE" w14:textId="0758C982" w:rsidR="00401C20" w:rsidRPr="0081473C" w:rsidRDefault="0086190D" w:rsidP="00160FEB">
      <w:pPr>
        <w:spacing w:before="720"/>
        <w:rPr>
          <w:sz w:val="22"/>
          <w:szCs w:val="18"/>
        </w:rPr>
      </w:pPr>
      <w:r>
        <w:rPr>
          <w:noProof/>
          <w:sz w:val="22"/>
          <w:szCs w:val="18"/>
        </w:rPr>
        <w:drawing>
          <wp:anchor distT="0" distB="0" distL="114300" distR="114300" simplePos="0" relativeHeight="251658240" behindDoc="1" locked="0" layoutInCell="1" allowOverlap="1" wp14:anchorId="031567C9" wp14:editId="2FDAEC68">
            <wp:simplePos x="0" y="0"/>
            <wp:positionH relativeFrom="column">
              <wp:posOffset>3810</wp:posOffset>
            </wp:positionH>
            <wp:positionV relativeFrom="paragraph">
              <wp:posOffset>74295</wp:posOffset>
            </wp:positionV>
            <wp:extent cx="825500" cy="330200"/>
            <wp:effectExtent l="0" t="0" r="0" b="0"/>
            <wp:wrapNone/>
            <wp:docPr id="108111238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12387" name="Picture 1" descr="A black text on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1350B9" w:rsidRPr="0081473C">
        <w:rPr>
          <w:sz w:val="22"/>
          <w:szCs w:val="18"/>
        </w:rPr>
        <w:t>Seizo Onoe</w:t>
      </w:r>
      <w:r w:rsidR="007B6316" w:rsidRPr="0081473C">
        <w:rPr>
          <w:sz w:val="22"/>
          <w:szCs w:val="18"/>
        </w:rPr>
        <w:br/>
      </w:r>
      <w:proofErr w:type="gramStart"/>
      <w:r w:rsidR="007B6316" w:rsidRPr="0081473C">
        <w:rPr>
          <w:sz w:val="22"/>
          <w:szCs w:val="18"/>
        </w:rPr>
        <w:t>Director</w:t>
      </w:r>
      <w:proofErr w:type="gramEnd"/>
      <w:r w:rsidR="007B6316" w:rsidRPr="0081473C">
        <w:rPr>
          <w:sz w:val="22"/>
          <w:szCs w:val="18"/>
        </w:rPr>
        <w:t xml:space="preserve"> de la Oficina de </w:t>
      </w:r>
      <w:r w:rsidR="007B6316" w:rsidRPr="0081473C">
        <w:rPr>
          <w:sz w:val="22"/>
          <w:szCs w:val="18"/>
        </w:rPr>
        <w:br/>
        <w:t>Normalización de las Telecomunicaciones</w:t>
      </w:r>
    </w:p>
    <w:p w14:paraId="2B62EA97" w14:textId="04A8373F" w:rsidR="00A348DD" w:rsidRPr="0081473C" w:rsidRDefault="00A348DD" w:rsidP="00160FEB">
      <w:pPr>
        <w:rPr>
          <w:sz w:val="22"/>
          <w:szCs w:val="18"/>
        </w:rPr>
      </w:pPr>
      <w:r w:rsidRPr="0081473C">
        <w:rPr>
          <w:b/>
          <w:bCs/>
          <w:sz w:val="22"/>
          <w:szCs w:val="18"/>
        </w:rPr>
        <w:t>Anexos:</w:t>
      </w:r>
      <w:r w:rsidRPr="0081473C">
        <w:rPr>
          <w:sz w:val="22"/>
          <w:szCs w:val="18"/>
        </w:rPr>
        <w:t xml:space="preserve"> 2</w:t>
      </w:r>
    </w:p>
    <w:p w14:paraId="268D69B5" w14:textId="60D658B6" w:rsidR="00A348DD" w:rsidRPr="00A348DD" w:rsidRDefault="00A348DD" w:rsidP="003F2262">
      <w:pPr>
        <w:pStyle w:val="AnnexNotitle"/>
        <w:rPr>
          <w:lang w:val="es-ES"/>
        </w:rPr>
      </w:pPr>
      <w:r w:rsidRPr="00A348DD">
        <w:rPr>
          <w:lang w:val="es-ES"/>
        </w:rPr>
        <w:lastRenderedPageBreak/>
        <w:t>Anexo 1</w:t>
      </w:r>
      <w:r w:rsidRPr="00A348DD">
        <w:rPr>
          <w:lang w:val="es-ES"/>
        </w:rPr>
        <w:br/>
        <w:t>Resumen y ubicación de los proyectos de nuevas Recomendaciones determinadas UIT-T X.1062 (ex</w:t>
      </w:r>
      <w:r w:rsidR="00487833">
        <w:rPr>
          <w:lang w:val="es-ES"/>
        </w:rPr>
        <w:t> </w:t>
      </w:r>
      <w:proofErr w:type="spellStart"/>
      <w:proofErr w:type="gramStart"/>
      <w:r w:rsidRPr="00A348DD">
        <w:rPr>
          <w:lang w:val="es-ES"/>
        </w:rPr>
        <w:t>X.shcd</w:t>
      </w:r>
      <w:proofErr w:type="spellEnd"/>
      <w:proofErr w:type="gramEnd"/>
      <w:r w:rsidRPr="00A348DD">
        <w:rPr>
          <w:lang w:val="es-ES"/>
        </w:rPr>
        <w:t>), X.1238 (ex</w:t>
      </w:r>
      <w:r w:rsidR="00487833">
        <w:rPr>
          <w:lang w:val="es-ES"/>
        </w:rPr>
        <w:t> </w:t>
      </w:r>
      <w:proofErr w:type="spellStart"/>
      <w:r w:rsidRPr="00A348DD">
        <w:rPr>
          <w:lang w:val="es-ES"/>
        </w:rPr>
        <w:t>X.sgc-rcs</w:t>
      </w:r>
      <w:proofErr w:type="spellEnd"/>
      <w:r w:rsidRPr="00A348DD">
        <w:rPr>
          <w:lang w:val="es-ES"/>
        </w:rPr>
        <w:t>), X.1128 (ex</w:t>
      </w:r>
      <w:r w:rsidR="00487833">
        <w:rPr>
          <w:lang w:val="es-ES"/>
        </w:rPr>
        <w:t> </w:t>
      </w:r>
      <w:r w:rsidRPr="00A348DD">
        <w:rPr>
          <w:lang w:val="es-ES"/>
        </w:rPr>
        <w:t>X.mt-</w:t>
      </w:r>
      <w:proofErr w:type="spellStart"/>
      <w:r w:rsidRPr="00A348DD">
        <w:rPr>
          <w:lang w:val="es-ES"/>
        </w:rPr>
        <w:t>feature</w:t>
      </w:r>
      <w:proofErr w:type="spellEnd"/>
      <w:r w:rsidRPr="00A348DD">
        <w:rPr>
          <w:lang w:val="es-ES"/>
        </w:rPr>
        <w:t>), X.1129 (ex</w:t>
      </w:r>
      <w:r w:rsidR="00487833">
        <w:rPr>
          <w:lang w:val="es-ES"/>
        </w:rPr>
        <w:t> </w:t>
      </w:r>
      <w:r w:rsidRPr="00A348DD">
        <w:rPr>
          <w:lang w:val="es-ES"/>
        </w:rPr>
        <w:t>X.mt-</w:t>
      </w:r>
      <w:proofErr w:type="spellStart"/>
      <w:r w:rsidRPr="00A348DD">
        <w:rPr>
          <w:lang w:val="es-ES"/>
        </w:rPr>
        <w:t>integrity</w:t>
      </w:r>
      <w:proofErr w:type="spellEnd"/>
      <w:r w:rsidRPr="00A348DD">
        <w:rPr>
          <w:lang w:val="es-ES"/>
        </w:rPr>
        <w:t>), X.1130 (ex</w:t>
      </w:r>
      <w:r w:rsidR="00487833">
        <w:rPr>
          <w:lang w:val="es-ES"/>
        </w:rPr>
        <w:t> </w:t>
      </w:r>
      <w:r w:rsidRPr="00A348DD">
        <w:rPr>
          <w:lang w:val="es-ES"/>
        </w:rPr>
        <w:t>X.tg-</w:t>
      </w:r>
      <w:proofErr w:type="spellStart"/>
      <w:r w:rsidRPr="00A348DD">
        <w:rPr>
          <w:lang w:val="es-ES"/>
        </w:rPr>
        <w:t>fdma</w:t>
      </w:r>
      <w:proofErr w:type="spellEnd"/>
      <w:r w:rsidRPr="00A348DD">
        <w:rPr>
          <w:lang w:val="es-ES"/>
        </w:rPr>
        <w:t>), X.1457 (ex</w:t>
      </w:r>
      <w:r w:rsidR="00487833">
        <w:rPr>
          <w:lang w:val="es-ES"/>
        </w:rPr>
        <w:t> </w:t>
      </w:r>
      <w:proofErr w:type="spellStart"/>
      <w:r w:rsidRPr="00A348DD">
        <w:rPr>
          <w:lang w:val="es-ES"/>
        </w:rPr>
        <w:t>X.str-irs</w:t>
      </w:r>
      <w:proofErr w:type="spellEnd"/>
      <w:r w:rsidRPr="00A348DD">
        <w:rPr>
          <w:lang w:val="es-ES"/>
        </w:rPr>
        <w:t>), X.1753 (ex</w:t>
      </w:r>
      <w:r w:rsidR="00487833">
        <w:rPr>
          <w:lang w:val="es-ES"/>
        </w:rPr>
        <w:t> </w:t>
      </w:r>
      <w:proofErr w:type="spellStart"/>
      <w:proofErr w:type="gramStart"/>
      <w:r w:rsidRPr="00A348DD">
        <w:rPr>
          <w:lang w:val="es-ES"/>
        </w:rPr>
        <w:t>X.gdsml</w:t>
      </w:r>
      <w:proofErr w:type="spellEnd"/>
      <w:proofErr w:type="gramEnd"/>
      <w:r w:rsidRPr="00A348DD">
        <w:rPr>
          <w:lang w:val="es-ES"/>
        </w:rPr>
        <w:t>) y X.1649 (ex</w:t>
      </w:r>
      <w:r w:rsidR="00487833">
        <w:rPr>
          <w:lang w:val="es-ES"/>
        </w:rPr>
        <w:t> </w:t>
      </w:r>
      <w:proofErr w:type="spellStart"/>
      <w:proofErr w:type="gramStart"/>
      <w:r w:rsidRPr="00A348DD">
        <w:rPr>
          <w:lang w:val="es-ES"/>
        </w:rPr>
        <w:t>X.sgmc</w:t>
      </w:r>
      <w:proofErr w:type="spellEnd"/>
      <w:proofErr w:type="gramEnd"/>
      <w:r w:rsidRPr="00A348DD">
        <w:rPr>
          <w:lang w:val="es-ES"/>
        </w:rPr>
        <w:t>), y de Recomendaciones revisadas UIT-T X.1250 y X.1631</w:t>
      </w:r>
    </w:p>
    <w:p w14:paraId="1A1D063E" w14:textId="1C9096FF" w:rsidR="00A348DD" w:rsidRPr="00A348DD" w:rsidRDefault="003F2262" w:rsidP="003F2262">
      <w:pPr>
        <w:pStyle w:val="Heading1"/>
        <w:rPr>
          <w:lang w:val="es-ES"/>
        </w:rPr>
      </w:pPr>
      <w:r w:rsidRPr="00910A87">
        <w:t>1</w:t>
      </w:r>
      <w:r w:rsidRPr="00910A87">
        <w:tab/>
      </w:r>
      <w:proofErr w:type="gramStart"/>
      <w:r w:rsidR="00A348DD" w:rsidRPr="00910A87">
        <w:t>Proyecto</w:t>
      </w:r>
      <w:proofErr w:type="gramEnd"/>
      <w:r w:rsidR="00A348DD" w:rsidRPr="00910A87">
        <w:t xml:space="preserve"> de nueva Recomendación UIT-T X.1062 (ex </w:t>
      </w:r>
      <w:proofErr w:type="spellStart"/>
      <w:proofErr w:type="gramStart"/>
      <w:r w:rsidR="00A348DD" w:rsidRPr="00910A87">
        <w:t>X.shcd</w:t>
      </w:r>
      <w:proofErr w:type="spellEnd"/>
      <w:proofErr w:type="gramEnd"/>
      <w:r w:rsidR="00A348DD" w:rsidRPr="00910A87">
        <w:t>) [</w:t>
      </w:r>
      <w:hyperlink r:id="rId15" w:history="1">
        <w:r w:rsidR="00A348DD" w:rsidRPr="00A348DD">
          <w:rPr>
            <w:rStyle w:val="Hyperlink"/>
            <w:bCs/>
            <w:lang w:val="es-ES"/>
          </w:rPr>
          <w:t>SG17-R6</w:t>
        </w:r>
      </w:hyperlink>
      <w:r w:rsidR="00A348DD" w:rsidRPr="00A348DD">
        <w:rPr>
          <w:lang w:val="es-ES"/>
        </w:rPr>
        <w:t>]</w:t>
      </w:r>
      <w:hyperlink r:id="rId16" w:history="1"/>
    </w:p>
    <w:p w14:paraId="668548EB" w14:textId="77777777" w:rsidR="00A348DD" w:rsidRPr="00A348DD" w:rsidRDefault="00A348DD" w:rsidP="00910A87">
      <w:pPr>
        <w:rPr>
          <w:lang w:val="es-ES"/>
        </w:rPr>
      </w:pPr>
      <w:r w:rsidRPr="00A348DD">
        <w:rPr>
          <w:lang w:val="es-ES"/>
        </w:rPr>
        <w:t>Marco para el desarrollo de capacidades humanas en materia de seguridad</w:t>
      </w:r>
    </w:p>
    <w:p w14:paraId="224B5BC1" w14:textId="77777777" w:rsidR="00A348DD" w:rsidRPr="00A348DD" w:rsidRDefault="00A348DD" w:rsidP="003F2262">
      <w:pPr>
        <w:pStyle w:val="Headingb0"/>
        <w:rPr>
          <w:lang w:val="es-ES"/>
        </w:rPr>
      </w:pPr>
      <w:r w:rsidRPr="00A348DD">
        <w:rPr>
          <w:lang w:val="es-ES"/>
        </w:rPr>
        <w:t>Resumen</w:t>
      </w:r>
    </w:p>
    <w:p w14:paraId="400BC2AC" w14:textId="77777777" w:rsidR="00A348DD" w:rsidRPr="00A348DD" w:rsidRDefault="00A348DD" w:rsidP="00A348DD">
      <w:pPr>
        <w:rPr>
          <w:lang w:val="es-ES"/>
        </w:rPr>
      </w:pPr>
      <w:r w:rsidRPr="00A348DD">
        <w:rPr>
          <w:lang w:val="es-ES"/>
        </w:rPr>
        <w:t>La ciberseguridad es un tema amplio y en constante evolución que requiere aprendizaje continuo y desarrollo de competencias. En esta Recomendación se especifica un marco para el desarrollo de las capacidades humanas en materia de seguridad con el fin de orientar el crecimiento de los especialistas y profesionales de la seguridad mediante el perfeccionamiento de sus competencias y el reconocimiento de sus competencias y conocimientos en materia de seguridad en una organización.</w:t>
      </w:r>
    </w:p>
    <w:p w14:paraId="1E3805DF" w14:textId="2E4CB8E6" w:rsidR="00A348DD" w:rsidRPr="00910A87" w:rsidRDefault="003F2262" w:rsidP="003F2262">
      <w:pPr>
        <w:pStyle w:val="Heading1"/>
      </w:pPr>
      <w:r w:rsidRPr="00910A87">
        <w:t>2</w:t>
      </w:r>
      <w:r w:rsidRPr="00910A87">
        <w:tab/>
      </w:r>
      <w:proofErr w:type="gramStart"/>
      <w:r w:rsidR="00A348DD" w:rsidRPr="00910A87">
        <w:t>Proyecto</w:t>
      </w:r>
      <w:proofErr w:type="gramEnd"/>
      <w:r w:rsidR="00A348DD" w:rsidRPr="00910A87">
        <w:t xml:space="preserve"> de nueva Recomendación UIT-T X.1238 (ex </w:t>
      </w:r>
      <w:proofErr w:type="spellStart"/>
      <w:r w:rsidR="00A348DD" w:rsidRPr="00910A87">
        <w:t>X.sgc-rcs</w:t>
      </w:r>
      <w:proofErr w:type="spellEnd"/>
      <w:r w:rsidR="00A348DD" w:rsidRPr="00910A87">
        <w:t>) [</w:t>
      </w:r>
      <w:hyperlink r:id="rId17" w:history="1">
        <w:r w:rsidR="00A348DD" w:rsidRPr="00A348DD">
          <w:rPr>
            <w:rStyle w:val="Hyperlink"/>
            <w:bCs/>
            <w:lang w:val="es-ES"/>
          </w:rPr>
          <w:t>SG17-R7</w:t>
        </w:r>
      </w:hyperlink>
      <w:r w:rsidR="00A348DD" w:rsidRPr="00910A87">
        <w:t>]</w:t>
      </w:r>
      <w:hyperlink r:id="rId18" w:history="1"/>
    </w:p>
    <w:p w14:paraId="6645F721" w14:textId="77777777" w:rsidR="00A348DD" w:rsidRPr="00A348DD" w:rsidRDefault="00A348DD" w:rsidP="00910A87">
      <w:pPr>
        <w:rPr>
          <w:lang w:val="es-ES"/>
        </w:rPr>
      </w:pPr>
      <w:r w:rsidRPr="00A348DD">
        <w:rPr>
          <w:lang w:val="es-ES"/>
        </w:rPr>
        <w:t>Directrices para contrarrestar el correo basura por mensajería del servicio de comunicación mejorado (RCS)</w:t>
      </w:r>
    </w:p>
    <w:p w14:paraId="252692E5" w14:textId="77777777" w:rsidR="00A348DD" w:rsidRPr="00A348DD" w:rsidRDefault="00A348DD" w:rsidP="003F2262">
      <w:pPr>
        <w:pStyle w:val="Headingb0"/>
        <w:rPr>
          <w:lang w:val="es-ES"/>
        </w:rPr>
      </w:pPr>
      <w:r w:rsidRPr="00A348DD">
        <w:rPr>
          <w:lang w:val="es-ES"/>
        </w:rPr>
        <w:t>Resumen</w:t>
      </w:r>
    </w:p>
    <w:p w14:paraId="53DE0FDD" w14:textId="7A92873E" w:rsidR="00A348DD" w:rsidRPr="00A348DD" w:rsidRDefault="00A348DD" w:rsidP="00A348DD">
      <w:pPr>
        <w:rPr>
          <w:lang w:val="es-ES"/>
        </w:rPr>
      </w:pPr>
      <w:r w:rsidRPr="00A348DD">
        <w:rPr>
          <w:lang w:val="es-ES"/>
        </w:rPr>
        <w:t>En esta Recomendación se especifican orientaciones y habilitadores técnicos que ayudan a los proveedores del servicio de comunicación mejorado (RCS) a evitar la distribución de correo basura sobre la base de las especificidades del</w:t>
      </w:r>
      <w:r w:rsidR="00487833">
        <w:rPr>
          <w:lang w:val="es-ES"/>
        </w:rPr>
        <w:t> </w:t>
      </w:r>
      <w:r w:rsidRPr="00A348DD">
        <w:rPr>
          <w:lang w:val="es-ES"/>
        </w:rPr>
        <w:t>RCS y se define el mecanismo de prevención y control del correo basura respaldado por el cliente del</w:t>
      </w:r>
      <w:r w:rsidR="00487833">
        <w:rPr>
          <w:lang w:val="es-ES"/>
        </w:rPr>
        <w:t> </w:t>
      </w:r>
      <w:r w:rsidRPr="00A348DD">
        <w:rPr>
          <w:lang w:val="es-ES"/>
        </w:rPr>
        <w:t>RCS.</w:t>
      </w:r>
    </w:p>
    <w:p w14:paraId="091385BA" w14:textId="64BCD764" w:rsidR="00A348DD" w:rsidRPr="00A348DD" w:rsidRDefault="00A348DD" w:rsidP="00A348DD">
      <w:pPr>
        <w:rPr>
          <w:lang w:val="es-ES"/>
        </w:rPr>
      </w:pPr>
      <w:r w:rsidRPr="00A348DD">
        <w:rPr>
          <w:lang w:val="es-ES"/>
        </w:rPr>
        <w:t>Esta Recomendación cita la arquitectura del</w:t>
      </w:r>
      <w:r w:rsidR="00487833">
        <w:rPr>
          <w:lang w:val="es-ES"/>
        </w:rPr>
        <w:t> </w:t>
      </w:r>
      <w:r w:rsidRPr="00A348DD">
        <w:rPr>
          <w:lang w:val="es-ES"/>
        </w:rPr>
        <w:t>RCS definida en la</w:t>
      </w:r>
      <w:r w:rsidR="00487833">
        <w:rPr>
          <w:lang w:val="es-ES"/>
        </w:rPr>
        <w:t> </w:t>
      </w:r>
      <w:r w:rsidRPr="00A348DD">
        <w:rPr>
          <w:lang w:val="es-ES"/>
        </w:rPr>
        <w:t>GSMA [b</w:t>
      </w:r>
      <w:r w:rsidR="00487833">
        <w:rPr>
          <w:lang w:val="es-ES"/>
        </w:rPr>
        <w:noBreakHyphen/>
      </w:r>
      <w:r w:rsidRPr="00A348DD">
        <w:rPr>
          <w:lang w:val="es-ES"/>
        </w:rPr>
        <w:t>GSMA</w:t>
      </w:r>
      <w:r w:rsidR="00487833">
        <w:rPr>
          <w:lang w:val="es-ES"/>
        </w:rPr>
        <w:t> </w:t>
      </w:r>
      <w:r w:rsidRPr="00A348DD">
        <w:rPr>
          <w:lang w:val="es-ES"/>
        </w:rPr>
        <w:t>RCC.07] y se centra en cómo mitigar los riesgos relacionados con el correo basura de la mensajería del</w:t>
      </w:r>
      <w:r w:rsidR="00487833">
        <w:rPr>
          <w:lang w:val="es-ES"/>
        </w:rPr>
        <w:t> </w:t>
      </w:r>
      <w:r w:rsidRPr="00A348DD">
        <w:rPr>
          <w:lang w:val="es-ES"/>
        </w:rPr>
        <w:t>RCS.</w:t>
      </w:r>
    </w:p>
    <w:p w14:paraId="4CFDEE63" w14:textId="41D35A0D" w:rsidR="00A348DD" w:rsidRPr="00910A87" w:rsidRDefault="003F2262" w:rsidP="003F2262">
      <w:pPr>
        <w:pStyle w:val="Heading1"/>
      </w:pPr>
      <w:r w:rsidRPr="00910A87">
        <w:t>3</w:t>
      </w:r>
      <w:r w:rsidRPr="00910A87">
        <w:tab/>
      </w:r>
      <w:proofErr w:type="gramStart"/>
      <w:r w:rsidR="00A348DD" w:rsidRPr="00910A87">
        <w:t>Proyecto</w:t>
      </w:r>
      <w:proofErr w:type="gramEnd"/>
      <w:r w:rsidR="00A348DD" w:rsidRPr="00910A87">
        <w:t xml:space="preserve"> de nueva Recomendación UIT-T X.1128 (ex X.mt-</w:t>
      </w:r>
      <w:proofErr w:type="spellStart"/>
      <w:r w:rsidR="00A348DD" w:rsidRPr="00910A87">
        <w:t>feature</w:t>
      </w:r>
      <w:proofErr w:type="spellEnd"/>
      <w:r w:rsidR="00A348DD" w:rsidRPr="00910A87">
        <w:t>) [</w:t>
      </w:r>
      <w:hyperlink r:id="rId19" w:history="1">
        <w:r w:rsidR="00A348DD" w:rsidRPr="00A348DD">
          <w:rPr>
            <w:rStyle w:val="Hyperlink"/>
            <w:bCs/>
            <w:lang w:val="es-ES"/>
          </w:rPr>
          <w:t>SG17-R8</w:t>
        </w:r>
      </w:hyperlink>
      <w:r w:rsidR="00A348DD" w:rsidRPr="00910A87">
        <w:t>]</w:t>
      </w:r>
      <w:hyperlink r:id="rId20" w:history="1"/>
    </w:p>
    <w:p w14:paraId="44AF202F" w14:textId="77777777" w:rsidR="00A348DD" w:rsidRPr="00A348DD" w:rsidRDefault="00A348DD" w:rsidP="003F2262">
      <w:pPr>
        <w:rPr>
          <w:lang w:val="es-ES"/>
        </w:rPr>
      </w:pPr>
      <w:r w:rsidRPr="00A348DD">
        <w:rPr>
          <w:lang w:val="es-ES"/>
        </w:rPr>
        <w:t>Funciones de seguridad para evaluar la seguridad de terminales móviles</w:t>
      </w:r>
    </w:p>
    <w:p w14:paraId="0D728B36" w14:textId="77777777" w:rsidR="00A348DD" w:rsidRPr="00A348DD" w:rsidRDefault="00A348DD" w:rsidP="003F2262">
      <w:pPr>
        <w:pStyle w:val="Headingb0"/>
        <w:rPr>
          <w:lang w:val="es-ES"/>
        </w:rPr>
      </w:pPr>
      <w:r w:rsidRPr="00A348DD">
        <w:rPr>
          <w:lang w:val="es-ES"/>
        </w:rPr>
        <w:t>Resumen</w:t>
      </w:r>
    </w:p>
    <w:p w14:paraId="7E534BD0" w14:textId="77777777" w:rsidR="00A348DD" w:rsidRPr="00A348DD" w:rsidRDefault="00A348DD" w:rsidP="00A348DD">
      <w:pPr>
        <w:rPr>
          <w:lang w:val="es-ES"/>
        </w:rPr>
      </w:pPr>
      <w:r w:rsidRPr="00A348DD">
        <w:rPr>
          <w:lang w:val="es-ES"/>
        </w:rPr>
        <w:t>Los terminales móviles, en particular los teléfonos inteligentes, han transformado el modo de trabajar y de vivir. Por ejemplo, los pagos móviles están experimentando un rápido crecimiento, dado que los consumidores utilizan los terminales móviles como parte de sus modernos y dinámicos estilos de vida; cada vez son más las empresas que ayudan a sus empleados a acceder a servicios de empresa con terminales móviles personales; etc. No obstante, la seguridad de los terminales móviles constituye un gran reto para los servicios de aplicaciones móviles propiamente dichos. Por ejemplo, los usuarios pueden exponer de forma inconsciente sus terminales a programas maliciosos y comprometer datos confidenciales.</w:t>
      </w:r>
    </w:p>
    <w:p w14:paraId="5C90696A" w14:textId="77777777" w:rsidR="00A348DD" w:rsidRPr="00A348DD" w:rsidRDefault="00A348DD" w:rsidP="00A348DD">
      <w:pPr>
        <w:rPr>
          <w:lang w:val="es-ES"/>
        </w:rPr>
      </w:pPr>
      <w:r w:rsidRPr="00A348DD">
        <w:rPr>
          <w:lang w:val="es-ES"/>
        </w:rPr>
        <w:t>En la presente Recomendación se proporciona información sobre diversas funciones de seguridad destinadas a la evaluación de la seguridad de terminales móviles, así como la forma en que las partes interesadas pertinentes pueden aplicar esas funciones.</w:t>
      </w:r>
    </w:p>
    <w:p w14:paraId="2B28F548" w14:textId="411AAA0F" w:rsidR="00A348DD" w:rsidRPr="00910A87" w:rsidRDefault="003F2262" w:rsidP="003F2262">
      <w:pPr>
        <w:pStyle w:val="Heading1"/>
      </w:pPr>
      <w:r w:rsidRPr="00910A87">
        <w:t>4</w:t>
      </w:r>
      <w:r w:rsidRPr="00910A87">
        <w:tab/>
      </w:r>
      <w:proofErr w:type="gramStart"/>
      <w:r w:rsidR="00A348DD" w:rsidRPr="00910A87">
        <w:t>Proyecto</w:t>
      </w:r>
      <w:proofErr w:type="gramEnd"/>
      <w:r w:rsidR="00A348DD" w:rsidRPr="00910A87">
        <w:t xml:space="preserve"> de nueva Recomendación UIT-T X.1129 (ex X.mt-</w:t>
      </w:r>
      <w:proofErr w:type="spellStart"/>
      <w:r w:rsidR="00A348DD" w:rsidRPr="00910A87">
        <w:t>integrity</w:t>
      </w:r>
      <w:proofErr w:type="spellEnd"/>
      <w:r w:rsidR="00A348DD" w:rsidRPr="00910A87">
        <w:t>) [</w:t>
      </w:r>
      <w:hyperlink r:id="rId21" w:history="1">
        <w:r w:rsidR="00A348DD" w:rsidRPr="00A348DD">
          <w:rPr>
            <w:rStyle w:val="Hyperlink"/>
            <w:bCs/>
            <w:lang w:val="es-ES"/>
          </w:rPr>
          <w:t>SG17-R9</w:t>
        </w:r>
      </w:hyperlink>
      <w:r w:rsidR="00A348DD" w:rsidRPr="00910A87">
        <w:t>]</w:t>
      </w:r>
      <w:hyperlink r:id="rId22" w:history="1"/>
    </w:p>
    <w:p w14:paraId="5D56829A" w14:textId="77777777" w:rsidR="00A348DD" w:rsidRPr="00A348DD" w:rsidRDefault="00A348DD" w:rsidP="003F2262">
      <w:pPr>
        <w:rPr>
          <w:lang w:val="es-ES"/>
        </w:rPr>
      </w:pPr>
      <w:r w:rsidRPr="00A348DD">
        <w:rPr>
          <w:lang w:val="es-ES"/>
        </w:rPr>
        <w:t>Directrices de seguridad para la protección de la integridad de terminales móviles</w:t>
      </w:r>
    </w:p>
    <w:p w14:paraId="5ADD37AB" w14:textId="77777777" w:rsidR="00A348DD" w:rsidRPr="00A348DD" w:rsidRDefault="00A348DD" w:rsidP="003F2262">
      <w:pPr>
        <w:pStyle w:val="Headingb0"/>
        <w:rPr>
          <w:lang w:val="es-ES"/>
        </w:rPr>
      </w:pPr>
      <w:r w:rsidRPr="00A348DD">
        <w:rPr>
          <w:lang w:val="es-ES"/>
        </w:rPr>
        <w:lastRenderedPageBreak/>
        <w:t>Resumen</w:t>
      </w:r>
    </w:p>
    <w:p w14:paraId="73AD8045" w14:textId="02A8E826" w:rsidR="00A348DD" w:rsidRPr="00A348DD" w:rsidRDefault="00A348DD" w:rsidP="00A348DD">
      <w:pPr>
        <w:rPr>
          <w:lang w:val="es-ES"/>
        </w:rPr>
      </w:pPr>
      <w:r w:rsidRPr="00A348DD">
        <w:rPr>
          <w:lang w:val="es-ES"/>
        </w:rPr>
        <w:t xml:space="preserve">El objetivo de la protección de la integridad de los terminales móviles es garantizar que el terminal móvil se comporte de la manera esperada. Esto significa que el </w:t>
      </w:r>
      <w:r w:rsidRPr="00A348DD">
        <w:rPr>
          <w:i/>
          <w:iCs/>
          <w:lang w:val="es-ES"/>
        </w:rPr>
        <w:t>hardware</w:t>
      </w:r>
      <w:r w:rsidRPr="00A348DD">
        <w:rPr>
          <w:lang w:val="es-ES"/>
        </w:rPr>
        <w:t xml:space="preserve">, el </w:t>
      </w:r>
      <w:r w:rsidRPr="00A348DD">
        <w:rPr>
          <w:i/>
          <w:iCs/>
          <w:lang w:val="es-ES"/>
        </w:rPr>
        <w:t>firmware</w:t>
      </w:r>
      <w:r w:rsidRPr="00A348DD">
        <w:rPr>
          <w:lang w:val="es-ES"/>
        </w:rPr>
        <w:t xml:space="preserve"> y el </w:t>
      </w:r>
      <w:r w:rsidRPr="00A348DD">
        <w:rPr>
          <w:i/>
          <w:iCs/>
          <w:lang w:val="es-ES"/>
        </w:rPr>
        <w:t>software</w:t>
      </w:r>
      <w:r w:rsidRPr="00A348DD">
        <w:rPr>
          <w:lang w:val="es-ES"/>
        </w:rPr>
        <w:t xml:space="preserve"> (por ejemplo, el sistema operativo o aplicaciones preinstaladas) del terminal móvil no se han visto comprometidos por ningún medio ni de ninguna manera. Si un atacante pone en peligro el </w:t>
      </w:r>
      <w:r w:rsidRPr="00A348DD">
        <w:rPr>
          <w:i/>
          <w:iCs/>
          <w:lang w:val="es-ES"/>
        </w:rPr>
        <w:t>firmware</w:t>
      </w:r>
      <w:r w:rsidRPr="00A348DD">
        <w:rPr>
          <w:lang w:val="es-ES"/>
        </w:rPr>
        <w:t xml:space="preserve"> o el </w:t>
      </w:r>
      <w:r w:rsidRPr="00A348DD">
        <w:rPr>
          <w:i/>
          <w:iCs/>
          <w:lang w:val="es-ES"/>
        </w:rPr>
        <w:t>software</w:t>
      </w:r>
      <w:r w:rsidRPr="00A348DD">
        <w:rPr>
          <w:lang w:val="es-ES"/>
        </w:rPr>
        <w:t xml:space="preserve">, modifica la configuración del </w:t>
      </w:r>
      <w:r w:rsidRPr="00A348DD">
        <w:rPr>
          <w:i/>
          <w:iCs/>
          <w:lang w:val="es-ES"/>
        </w:rPr>
        <w:t>hardware</w:t>
      </w:r>
      <w:r w:rsidRPr="00A348DD">
        <w:rPr>
          <w:lang w:val="es-ES"/>
        </w:rPr>
        <w:t xml:space="preserve"> (por ejemplo, la</w:t>
      </w:r>
      <w:r w:rsidR="00487833">
        <w:rPr>
          <w:lang w:val="es-ES"/>
        </w:rPr>
        <w:t> </w:t>
      </w:r>
      <w:r w:rsidRPr="00A348DD">
        <w:rPr>
          <w:lang w:val="es-ES"/>
        </w:rPr>
        <w:t xml:space="preserve">ROM o las células de retención) o cambia el </w:t>
      </w:r>
      <w:r w:rsidRPr="00A348DD">
        <w:rPr>
          <w:i/>
          <w:iCs/>
          <w:lang w:val="es-ES"/>
        </w:rPr>
        <w:t>hardware</w:t>
      </w:r>
      <w:r w:rsidRPr="00A348DD">
        <w:rPr>
          <w:lang w:val="es-ES"/>
        </w:rPr>
        <w:t xml:space="preserve"> (por ejemplo, la memoria externa), podría controlar o alterar la funcionalidad del terminal móvil.</w:t>
      </w:r>
    </w:p>
    <w:p w14:paraId="621EDF82" w14:textId="0EEF4638" w:rsidR="00A348DD" w:rsidRPr="00A348DD" w:rsidRDefault="00A348DD" w:rsidP="00A348DD">
      <w:pPr>
        <w:rPr>
          <w:lang w:val="es-ES"/>
        </w:rPr>
      </w:pPr>
      <w:r w:rsidRPr="00A348DD">
        <w:rPr>
          <w:lang w:val="es-ES"/>
        </w:rPr>
        <w:t xml:space="preserve">Cuando se encienden, los terminales móviles inician una fase de arranque para verificar los componentes de </w:t>
      </w:r>
      <w:r w:rsidRPr="00A348DD">
        <w:rPr>
          <w:i/>
          <w:iCs/>
          <w:lang w:val="es-ES"/>
        </w:rPr>
        <w:t>hardware</w:t>
      </w:r>
      <w:r w:rsidRPr="00A348DD">
        <w:rPr>
          <w:lang w:val="es-ES"/>
        </w:rPr>
        <w:t xml:space="preserve"> y cargar uno o más módulos de </w:t>
      </w:r>
      <w:r w:rsidRPr="00A348DD">
        <w:rPr>
          <w:i/>
          <w:iCs/>
          <w:lang w:val="es-ES"/>
        </w:rPr>
        <w:t>software</w:t>
      </w:r>
      <w:r w:rsidRPr="00A348DD">
        <w:rPr>
          <w:lang w:val="es-ES"/>
        </w:rPr>
        <w:t xml:space="preserve">. A continuación, pasan a una fase de ejecución y alcanzan su estado operativo, por lo que están preparados para el fin previsto. A fin de corregir las vulnerabilidades y deficiencias del </w:t>
      </w:r>
      <w:r w:rsidRPr="00A348DD">
        <w:rPr>
          <w:i/>
          <w:iCs/>
          <w:lang w:val="es-ES"/>
        </w:rPr>
        <w:t>firmware</w:t>
      </w:r>
      <w:r w:rsidRPr="00A348DD">
        <w:rPr>
          <w:lang w:val="es-ES"/>
        </w:rPr>
        <w:t>/</w:t>
      </w:r>
      <w:r w:rsidRPr="00A348DD">
        <w:rPr>
          <w:i/>
          <w:iCs/>
          <w:lang w:val="es-ES"/>
        </w:rPr>
        <w:t>software</w:t>
      </w:r>
      <w:r w:rsidRPr="00A348DD">
        <w:rPr>
          <w:lang w:val="es-ES"/>
        </w:rPr>
        <w:t xml:space="preserve"> (FW/SW), los terminales móviles deben ser actualizados de vez en cuando, lo que se conoce como fase de actualización del</w:t>
      </w:r>
      <w:r w:rsidR="00487833">
        <w:rPr>
          <w:lang w:val="es-ES"/>
        </w:rPr>
        <w:t> </w:t>
      </w:r>
      <w:r w:rsidRPr="00A348DD">
        <w:rPr>
          <w:lang w:val="es-ES"/>
        </w:rPr>
        <w:t>FW/SW. En cada una de estas fases el atacante tiene la oportunidad de introducir amenazas a la seguridad de la integridad del terminal móvil.</w:t>
      </w:r>
    </w:p>
    <w:p w14:paraId="55717596" w14:textId="3060BD38" w:rsidR="00A348DD" w:rsidRPr="00A348DD" w:rsidRDefault="00A348DD" w:rsidP="00A348DD">
      <w:pPr>
        <w:rPr>
          <w:lang w:val="es-ES"/>
        </w:rPr>
      </w:pPr>
      <w:r w:rsidRPr="00A348DD">
        <w:rPr>
          <w:lang w:val="es-ES"/>
        </w:rPr>
        <w:t>En esta Recomendación se analizan las amenazas a la seguridad de los terminales móviles durante la fase de arranque, la fase de ejecución y la fase de actualización del</w:t>
      </w:r>
      <w:r w:rsidR="00487833">
        <w:rPr>
          <w:lang w:val="es-ES"/>
        </w:rPr>
        <w:t> </w:t>
      </w:r>
      <w:r w:rsidRPr="00A348DD">
        <w:rPr>
          <w:lang w:val="es-ES"/>
        </w:rPr>
        <w:t>FW/SW, se definen los requisitos de seguridad y se proporcionan directrices de seguridad para proteger la integridad de los terminales móviles.</w:t>
      </w:r>
    </w:p>
    <w:p w14:paraId="7CB8E2E4" w14:textId="078E0E05" w:rsidR="00A348DD" w:rsidRPr="00910A87" w:rsidRDefault="003F2262" w:rsidP="003F2262">
      <w:pPr>
        <w:pStyle w:val="Heading1"/>
      </w:pPr>
      <w:r w:rsidRPr="00910A87">
        <w:t>5</w:t>
      </w:r>
      <w:r w:rsidRPr="00910A87">
        <w:tab/>
      </w:r>
      <w:proofErr w:type="gramStart"/>
      <w:r w:rsidR="00A348DD" w:rsidRPr="00910A87">
        <w:t>Proyecto</w:t>
      </w:r>
      <w:proofErr w:type="gramEnd"/>
      <w:r w:rsidR="00A348DD" w:rsidRPr="00910A87">
        <w:t xml:space="preserve"> de nueva Recomendación UIT-T X.1130 (ex X.tg-</w:t>
      </w:r>
      <w:proofErr w:type="spellStart"/>
      <w:r w:rsidR="00A348DD" w:rsidRPr="00910A87">
        <w:t>fdma</w:t>
      </w:r>
      <w:proofErr w:type="spellEnd"/>
      <w:r w:rsidR="00A348DD" w:rsidRPr="00910A87">
        <w:t>) [</w:t>
      </w:r>
      <w:hyperlink r:id="rId23" w:history="1">
        <w:r w:rsidR="00A348DD" w:rsidRPr="00A348DD">
          <w:rPr>
            <w:rStyle w:val="Hyperlink"/>
            <w:bCs/>
            <w:lang w:val="es-ES"/>
          </w:rPr>
          <w:t>SG17-R10</w:t>
        </w:r>
      </w:hyperlink>
      <w:r w:rsidR="00A348DD" w:rsidRPr="00910A87">
        <w:t>]</w:t>
      </w:r>
      <w:hyperlink r:id="rId24" w:history="1"/>
    </w:p>
    <w:p w14:paraId="5BE53824" w14:textId="77777777" w:rsidR="00A348DD" w:rsidRPr="00A348DD" w:rsidRDefault="00A348DD" w:rsidP="00910A87">
      <w:pPr>
        <w:rPr>
          <w:lang w:val="es-ES"/>
        </w:rPr>
      </w:pPr>
      <w:r w:rsidRPr="00A348DD">
        <w:rPr>
          <w:lang w:val="es-ES"/>
        </w:rPr>
        <w:t>Directrices técnicas para la detección de actividades maliciosas de aplicaciones móviles</w:t>
      </w:r>
    </w:p>
    <w:p w14:paraId="03A7ABE7" w14:textId="77777777" w:rsidR="00A348DD" w:rsidRPr="00A348DD" w:rsidRDefault="00A348DD" w:rsidP="003F2262">
      <w:pPr>
        <w:pStyle w:val="Headingb0"/>
        <w:rPr>
          <w:lang w:val="es-ES"/>
        </w:rPr>
      </w:pPr>
      <w:r w:rsidRPr="00A348DD">
        <w:rPr>
          <w:lang w:val="es-ES"/>
        </w:rPr>
        <w:t>Resumen</w:t>
      </w:r>
    </w:p>
    <w:p w14:paraId="527A62D5" w14:textId="77777777" w:rsidR="00A348DD" w:rsidRPr="00A348DD" w:rsidRDefault="00A348DD" w:rsidP="00A348DD">
      <w:pPr>
        <w:rPr>
          <w:lang w:val="es-ES"/>
        </w:rPr>
      </w:pPr>
      <w:r w:rsidRPr="00A348DD">
        <w:rPr>
          <w:lang w:val="es-ES"/>
        </w:rPr>
        <w:t xml:space="preserve">Con el uso generalizado de dispositivos y aplicaciones móviles, las aplicaciones se han convertido en uno de los principales vectores de las actividades maliciosas. Por ejemplo, las aplicaciones malintencionadas pueden adoptar la forma de aplicaciones legítimas de crédito o compras para engañar a los usuarios. Para detectar y prevenir estas actividades maliciosas, los enfoques tradicionales se basan en las reseñas de la tienda de aplicaciones y en las alertas del </w:t>
      </w:r>
      <w:r w:rsidRPr="00A348DD">
        <w:rPr>
          <w:i/>
          <w:iCs/>
          <w:lang w:val="es-ES"/>
        </w:rPr>
        <w:t>software</w:t>
      </w:r>
      <w:r w:rsidRPr="00A348DD">
        <w:rPr>
          <w:lang w:val="es-ES"/>
        </w:rPr>
        <w:t xml:space="preserve"> de seguridad instalado en el dispositivo móvil. Sin embargo, esta solución se enfrenta a varios desafíos. Si bien las reseñas de la tienda de aplicaciones pueden ayudar a bloquear aplicaciones malintencionadas, los atacantes desarrollan continuamente nuevas técnicas para evadir la detección y eludir las reseñas de la tienda. Además, algunas aplicaciones malintencionadas se distribuyen a través de plataformas de terceros en las que incitan a los usuarios a descargarlas e instalarlas. El </w:t>
      </w:r>
      <w:r w:rsidRPr="00A348DD">
        <w:rPr>
          <w:i/>
          <w:iCs/>
          <w:lang w:val="es-ES"/>
        </w:rPr>
        <w:t>software</w:t>
      </w:r>
      <w:r w:rsidRPr="00A348DD">
        <w:rPr>
          <w:lang w:val="es-ES"/>
        </w:rPr>
        <w:t xml:space="preserve"> de seguridad móvil </w:t>
      </w:r>
      <w:proofErr w:type="gramStart"/>
      <w:r w:rsidRPr="00A348DD">
        <w:rPr>
          <w:lang w:val="es-ES"/>
        </w:rPr>
        <w:t>se centra principalmente en</w:t>
      </w:r>
      <w:proofErr w:type="gramEnd"/>
      <w:r w:rsidRPr="00A348DD">
        <w:rPr>
          <w:lang w:val="es-ES"/>
        </w:rPr>
        <w:t xml:space="preserve"> la detección de virus y vulnerabilidades de las aplicaciones, lo que dificulta la identificación eficaz de aplicaciones malintencionadas diseñadas específicamente para llevar a cabo actividades maliciosas.</w:t>
      </w:r>
    </w:p>
    <w:p w14:paraId="3C2E5BC6" w14:textId="77777777" w:rsidR="00A348DD" w:rsidRPr="00A348DD" w:rsidRDefault="00A348DD" w:rsidP="00A348DD">
      <w:pPr>
        <w:rPr>
          <w:lang w:val="es-ES"/>
        </w:rPr>
      </w:pPr>
      <w:r w:rsidRPr="00A348DD">
        <w:rPr>
          <w:lang w:val="es-ES"/>
        </w:rPr>
        <w:t>Las aplicaciones malintencionadas en dispositivos móviles suelen operar en cuatro etapas: descarga, instalación, ejecución e incitación al pago. Cada etapa presenta riesgos diferenciados.</w:t>
      </w:r>
    </w:p>
    <w:p w14:paraId="59837EF7" w14:textId="77777777" w:rsidR="00A348DD" w:rsidRPr="00A348DD" w:rsidRDefault="00A348DD" w:rsidP="00487833">
      <w:pPr>
        <w:rPr>
          <w:lang w:val="es-ES"/>
        </w:rPr>
      </w:pPr>
      <w:r w:rsidRPr="00A348DD">
        <w:rPr>
          <w:lang w:val="es-ES"/>
        </w:rPr>
        <w:t xml:space="preserve">Durante las etapas de descarga e instalación, las aplicaciones malintencionadas a menudo adoptan la forma de aplicaciones legítimas para evitar ser detectadas por el </w:t>
      </w:r>
      <w:r w:rsidRPr="00A348DD">
        <w:rPr>
          <w:i/>
          <w:iCs/>
          <w:lang w:val="es-ES"/>
        </w:rPr>
        <w:t>software</w:t>
      </w:r>
      <w:r w:rsidRPr="00A348DD">
        <w:rPr>
          <w:lang w:val="es-ES"/>
        </w:rPr>
        <w:t xml:space="preserve"> de seguridad. También pueden introducir troyanos en el dispositivo móvil durante esta fase.</w:t>
      </w:r>
    </w:p>
    <w:p w14:paraId="24AAA0E0" w14:textId="77777777" w:rsidR="00A348DD" w:rsidRPr="00A348DD" w:rsidRDefault="00A348DD" w:rsidP="00A348DD">
      <w:pPr>
        <w:rPr>
          <w:lang w:val="es-ES"/>
        </w:rPr>
      </w:pPr>
      <w:r w:rsidRPr="00A348DD">
        <w:rPr>
          <w:lang w:val="es-ES"/>
        </w:rPr>
        <w:t>En la etapa de ejecución, estas aplicaciones pueden robar información del usuario a través de los troyanos introducidos o imitar aplicaciones legítimas para engañar a los usuarios y conseguir que revelen información confidencial de forma voluntaria.</w:t>
      </w:r>
    </w:p>
    <w:p w14:paraId="40EA6E5E" w14:textId="77777777" w:rsidR="00A348DD" w:rsidRPr="00A348DD" w:rsidRDefault="00A348DD" w:rsidP="00A348DD">
      <w:pPr>
        <w:rPr>
          <w:lang w:val="es-ES"/>
        </w:rPr>
      </w:pPr>
      <w:r w:rsidRPr="00A348DD">
        <w:rPr>
          <w:lang w:val="es-ES"/>
        </w:rPr>
        <w:t xml:space="preserve">En la etapa de incitación al pago, las aplicaciones malintencionadas suelen generar confianza ofreciendo pequeñas recompensas o beneficios a través de diversos mecanismos. Una vez conseguida su confianza, confunden al usuario para que transfiera dinero. En algunos casos, el </w:t>
      </w:r>
      <w:r w:rsidRPr="00A348DD">
        <w:rPr>
          <w:lang w:val="es-ES"/>
        </w:rPr>
        <w:lastRenderedPageBreak/>
        <w:t>engaño es directo, por ejemplo, haciéndose pasar por aplicaciones de compras legítimas para explotar a usuarios desprevenidos.</w:t>
      </w:r>
    </w:p>
    <w:p w14:paraId="7C98E070" w14:textId="77777777" w:rsidR="00A348DD" w:rsidRPr="00A348DD" w:rsidRDefault="00A348DD" w:rsidP="00A348DD">
      <w:pPr>
        <w:rPr>
          <w:lang w:val="es-ES"/>
        </w:rPr>
      </w:pPr>
      <w:r w:rsidRPr="00A348DD">
        <w:rPr>
          <w:lang w:val="es-ES"/>
        </w:rPr>
        <w:t>Todo el proceso de detección y prevención de actividades maliciosas es extremadamente complejo y requiere una coordinación estrecha entre los dispositivos móviles y las aplicaciones. En esta Recomendación se analizan las características y los riesgos de las aplicaciones malintencionadas en las diferentes etapas, a saber, descarga, instalación, ejecución e incitación al pago, y se ofrece una solución técnica completa para detectar y prevenir actividades maliciosas basada en las interacciones entre los dispositivos móviles y las aplicaciones.</w:t>
      </w:r>
    </w:p>
    <w:p w14:paraId="0FE73628" w14:textId="6E4A9452" w:rsidR="00A348DD" w:rsidRPr="00910A87" w:rsidRDefault="003F2262" w:rsidP="003F2262">
      <w:pPr>
        <w:pStyle w:val="Heading1"/>
      </w:pPr>
      <w:r w:rsidRPr="00910A87">
        <w:t>6</w:t>
      </w:r>
      <w:r w:rsidRPr="00910A87">
        <w:tab/>
      </w:r>
      <w:proofErr w:type="gramStart"/>
      <w:r w:rsidR="00A348DD" w:rsidRPr="00910A87">
        <w:t>Proyecto</w:t>
      </w:r>
      <w:proofErr w:type="gramEnd"/>
      <w:r w:rsidR="00A348DD" w:rsidRPr="00910A87">
        <w:t xml:space="preserve"> de nueva Recomendación UIT-T X.1457 (ex </w:t>
      </w:r>
      <w:proofErr w:type="spellStart"/>
      <w:r w:rsidR="00A348DD" w:rsidRPr="00910A87">
        <w:t>X.str-irs</w:t>
      </w:r>
      <w:proofErr w:type="spellEnd"/>
      <w:r w:rsidR="00A348DD" w:rsidRPr="00910A87">
        <w:t>) [</w:t>
      </w:r>
      <w:hyperlink r:id="rId25" w:history="1">
        <w:r w:rsidR="00A348DD" w:rsidRPr="00A348DD">
          <w:rPr>
            <w:rStyle w:val="Hyperlink"/>
            <w:bCs/>
            <w:lang w:val="es-ES"/>
          </w:rPr>
          <w:t>SG17-R11</w:t>
        </w:r>
      </w:hyperlink>
      <w:r w:rsidR="00A348DD" w:rsidRPr="00910A87">
        <w:t>]</w:t>
      </w:r>
      <w:hyperlink r:id="rId26" w:history="1"/>
    </w:p>
    <w:p w14:paraId="34154D9C" w14:textId="77777777" w:rsidR="00A348DD" w:rsidRPr="00A348DD" w:rsidRDefault="00A348DD" w:rsidP="00910A87">
      <w:pPr>
        <w:rPr>
          <w:lang w:val="es-ES"/>
        </w:rPr>
      </w:pPr>
      <w:r w:rsidRPr="00A348DD">
        <w:rPr>
          <w:lang w:val="es-ES"/>
        </w:rPr>
        <w:t>Amenazas y requisitos de seguridad para el servicio de recomendación de información</w:t>
      </w:r>
    </w:p>
    <w:p w14:paraId="304F328A" w14:textId="77777777" w:rsidR="00A348DD" w:rsidRPr="00A348DD" w:rsidRDefault="00A348DD" w:rsidP="003F2262">
      <w:pPr>
        <w:pStyle w:val="Headingb0"/>
        <w:rPr>
          <w:lang w:val="es-ES"/>
        </w:rPr>
      </w:pPr>
      <w:r w:rsidRPr="00A348DD">
        <w:rPr>
          <w:lang w:val="es-ES"/>
        </w:rPr>
        <w:t>Resumen</w:t>
      </w:r>
    </w:p>
    <w:p w14:paraId="69529BF1" w14:textId="77777777" w:rsidR="00A348DD" w:rsidRPr="00A348DD" w:rsidRDefault="00A348DD" w:rsidP="00A348DD">
      <w:pPr>
        <w:rPr>
          <w:lang w:val="es-ES"/>
        </w:rPr>
      </w:pPr>
      <w:r w:rsidRPr="00A348DD">
        <w:rPr>
          <w:lang w:val="es-ES"/>
        </w:rPr>
        <w:t>El servicio de recomendación de información se utiliza ampliamente en diversos sitios web y aplicaciones. Por ejemplo, el servicio de recomendación de información educativa es un factor importante para facilitar el intercambio de información educativa. Dentro de la gran cantidad de información educativa disponible, los usuarios pueden encontrar rápidamente los recursos de información educativa que necesitan, satisfacer sus necesidades de aprendizaje y disfrutar de una experiencia de aprendizaje de calidad. Sin embargo, no se deben ignorar los problemas de seguridad asociados al servicio de recomendación de información, como las amenazas a la integridad de los datos, la manipulación de datos, los ataques de evasión, entre otros.</w:t>
      </w:r>
    </w:p>
    <w:p w14:paraId="21355527" w14:textId="77777777" w:rsidR="00A348DD" w:rsidRPr="00A348DD" w:rsidRDefault="00A348DD" w:rsidP="00A348DD">
      <w:pPr>
        <w:rPr>
          <w:lang w:val="es-ES"/>
        </w:rPr>
      </w:pPr>
      <w:r w:rsidRPr="00A348DD">
        <w:rPr>
          <w:lang w:val="es-ES"/>
        </w:rPr>
        <w:t>En la presente Recomendación se proporciona un análisis de las amenazas de seguridad y los requisitos para el servicio de recomendación de información. Se identifican las amenazas de seguridad implicadas en el servicio de recomendación de información y se especifican los requisitos de seguridad establecidos para abordar estas amenazas.</w:t>
      </w:r>
    </w:p>
    <w:p w14:paraId="16108287" w14:textId="3A0D51B5" w:rsidR="00A348DD" w:rsidRPr="00910A87" w:rsidRDefault="003F2262" w:rsidP="003F2262">
      <w:pPr>
        <w:pStyle w:val="Heading1"/>
      </w:pPr>
      <w:r w:rsidRPr="00910A87">
        <w:t>7</w:t>
      </w:r>
      <w:r w:rsidRPr="00910A87">
        <w:tab/>
      </w:r>
      <w:proofErr w:type="gramStart"/>
      <w:r w:rsidR="00A348DD" w:rsidRPr="00910A87">
        <w:t>Proyecto</w:t>
      </w:r>
      <w:proofErr w:type="gramEnd"/>
      <w:r w:rsidR="00A348DD" w:rsidRPr="00910A87">
        <w:t xml:space="preserve"> de nueva Recomendación UIT-T X.1753 (ex </w:t>
      </w:r>
      <w:proofErr w:type="spellStart"/>
      <w:proofErr w:type="gramStart"/>
      <w:r w:rsidR="00A348DD" w:rsidRPr="00910A87">
        <w:t>X.gdsml</w:t>
      </w:r>
      <w:proofErr w:type="spellEnd"/>
      <w:proofErr w:type="gramEnd"/>
      <w:r w:rsidR="00A348DD" w:rsidRPr="00910A87">
        <w:t>) [</w:t>
      </w:r>
      <w:hyperlink r:id="rId27" w:history="1">
        <w:r w:rsidR="00A348DD" w:rsidRPr="00A348DD">
          <w:rPr>
            <w:rStyle w:val="Hyperlink"/>
            <w:bCs/>
            <w:lang w:val="es-ES"/>
          </w:rPr>
          <w:t>SG17-R12</w:t>
        </w:r>
      </w:hyperlink>
      <w:r w:rsidR="00A348DD" w:rsidRPr="00910A87">
        <w:t>]</w:t>
      </w:r>
      <w:hyperlink r:id="rId28" w:history="1"/>
    </w:p>
    <w:p w14:paraId="126C21DA" w14:textId="77777777" w:rsidR="00A348DD" w:rsidRPr="00A348DD" w:rsidRDefault="00A348DD" w:rsidP="00910A87">
      <w:pPr>
        <w:rPr>
          <w:lang w:val="es-ES"/>
        </w:rPr>
      </w:pPr>
      <w:r w:rsidRPr="00A348DD">
        <w:rPr>
          <w:lang w:val="es-ES"/>
        </w:rPr>
        <w:t>Directrices sobre seguridad de datos mediante aprendizaje automático en infraestructuras de macrodatos</w:t>
      </w:r>
    </w:p>
    <w:p w14:paraId="595B737F" w14:textId="77777777" w:rsidR="00A348DD" w:rsidRPr="00A348DD" w:rsidRDefault="00A348DD" w:rsidP="003F2262">
      <w:pPr>
        <w:pStyle w:val="Headingb0"/>
        <w:rPr>
          <w:lang w:val="es-ES"/>
        </w:rPr>
      </w:pPr>
      <w:r w:rsidRPr="00A348DD">
        <w:rPr>
          <w:lang w:val="es-ES"/>
        </w:rPr>
        <w:t>Resumen</w:t>
      </w:r>
    </w:p>
    <w:p w14:paraId="246ABE08" w14:textId="77777777" w:rsidR="00A348DD" w:rsidRPr="00A348DD" w:rsidRDefault="00A348DD" w:rsidP="00487833">
      <w:pPr>
        <w:rPr>
          <w:lang w:val="es-ES"/>
        </w:rPr>
      </w:pPr>
      <w:r w:rsidRPr="00A348DD">
        <w:rPr>
          <w:lang w:val="es-ES"/>
        </w:rPr>
        <w:t>En las infraestructuras de macrodatos, existen numerosas amenazas a la seguridad respecto del proceso de recopilación, almacenamiento, procesamiento y gestión de datos. La manera de supervisar y analizar las amenazas a la seguridad de los datos, así como de responder a ellas, de manera dinámica e inteligente, constituye un problema que ha de resolverse en las infraestructuras de macrodatos. El aprendizaje automático tiene las capacidades del aprendizaje automático y el reconocimiento de patrones, que pueden detectar posibles amenazas a la seguridad y comportamientos anómalos en una gran cantidad de datos de manera que se puedan tomar medidas defensivas proactivas. El uso del aprendizaje automático para mejorar la seguridad de los datos se ha ido gradualmente convirtiendo en una tecnología necesaria para las infraestructuras de macrodatos.</w:t>
      </w:r>
    </w:p>
    <w:p w14:paraId="2E090C27" w14:textId="77777777" w:rsidR="00A348DD" w:rsidRPr="00A348DD" w:rsidRDefault="00A348DD" w:rsidP="00A348DD">
      <w:pPr>
        <w:rPr>
          <w:lang w:val="es-ES"/>
        </w:rPr>
      </w:pPr>
      <w:r w:rsidRPr="00A348DD">
        <w:rPr>
          <w:lang w:val="es-ES"/>
        </w:rPr>
        <w:t>En esta Recomendación se analizan las amenazas a la seguridad de los datos en las infraestructuras de macrodatos y los casos en los que puede aplicarse el aprendizaje automático a la protección de seguridad de datos de las infraestructuras de macrodatos. Asimismo, en ella se ofrecen directrices relativas al uso del aprendizaje automático para proteger la seguridad de los datos de las infraestructuras de macrodatos.</w:t>
      </w:r>
    </w:p>
    <w:p w14:paraId="2C240671" w14:textId="5291907B" w:rsidR="00A348DD" w:rsidRPr="00910A87" w:rsidRDefault="003F2262" w:rsidP="003F2262">
      <w:pPr>
        <w:pStyle w:val="Heading1"/>
      </w:pPr>
      <w:r w:rsidRPr="00910A87">
        <w:t>8</w:t>
      </w:r>
      <w:r w:rsidRPr="00910A87">
        <w:tab/>
      </w:r>
      <w:proofErr w:type="gramStart"/>
      <w:r w:rsidR="00A348DD" w:rsidRPr="00910A87">
        <w:t>Proyecto</w:t>
      </w:r>
      <w:proofErr w:type="gramEnd"/>
      <w:r w:rsidR="00A348DD" w:rsidRPr="00910A87">
        <w:t xml:space="preserve"> de nueva Recomendación UIT-T X.1649 (ex </w:t>
      </w:r>
      <w:proofErr w:type="spellStart"/>
      <w:proofErr w:type="gramStart"/>
      <w:r w:rsidR="00A348DD" w:rsidRPr="00910A87">
        <w:t>X.sgmc</w:t>
      </w:r>
      <w:proofErr w:type="spellEnd"/>
      <w:proofErr w:type="gramEnd"/>
      <w:r w:rsidR="00A348DD" w:rsidRPr="00910A87">
        <w:t>) [</w:t>
      </w:r>
      <w:hyperlink r:id="rId29" w:history="1">
        <w:r w:rsidR="00A348DD" w:rsidRPr="00A348DD">
          <w:rPr>
            <w:rStyle w:val="Hyperlink"/>
            <w:bCs/>
            <w:lang w:val="es-ES"/>
          </w:rPr>
          <w:t>SG17-R14</w:t>
        </w:r>
      </w:hyperlink>
      <w:r w:rsidR="00A348DD" w:rsidRPr="00910A87">
        <w:t>]</w:t>
      </w:r>
      <w:hyperlink r:id="rId30" w:history="1"/>
    </w:p>
    <w:p w14:paraId="7D17E175" w14:textId="77777777" w:rsidR="00A348DD" w:rsidRPr="00A348DD" w:rsidRDefault="00A348DD" w:rsidP="00910A87">
      <w:pPr>
        <w:rPr>
          <w:lang w:val="es-ES"/>
        </w:rPr>
      </w:pPr>
      <w:r w:rsidRPr="00A348DD">
        <w:rPr>
          <w:lang w:val="es-ES"/>
        </w:rPr>
        <w:t>Directrices de seguridad para varios sistemas en la nube</w:t>
      </w:r>
    </w:p>
    <w:p w14:paraId="18313F7D" w14:textId="77777777" w:rsidR="00A348DD" w:rsidRPr="00A348DD" w:rsidRDefault="00A348DD" w:rsidP="003F2262">
      <w:pPr>
        <w:pStyle w:val="Headingb0"/>
        <w:rPr>
          <w:lang w:val="es-ES"/>
        </w:rPr>
      </w:pPr>
      <w:r w:rsidRPr="00A348DD">
        <w:rPr>
          <w:lang w:val="es-ES"/>
        </w:rPr>
        <w:lastRenderedPageBreak/>
        <w:t>Resumen</w:t>
      </w:r>
    </w:p>
    <w:p w14:paraId="345D6D29" w14:textId="77777777" w:rsidR="00A348DD" w:rsidRPr="00A348DD" w:rsidRDefault="00A348DD" w:rsidP="00A348DD">
      <w:pPr>
        <w:rPr>
          <w:lang w:val="es-ES"/>
        </w:rPr>
      </w:pPr>
      <w:r w:rsidRPr="00A348DD">
        <w:rPr>
          <w:lang w:val="es-ES"/>
        </w:rPr>
        <w:t xml:space="preserve">En esta Recomendación se ofrece una reseña de la </w:t>
      </w:r>
      <w:proofErr w:type="spellStart"/>
      <w:r w:rsidRPr="00A348DD">
        <w:rPr>
          <w:lang w:val="es-ES"/>
        </w:rPr>
        <w:t>multinube</w:t>
      </w:r>
      <w:proofErr w:type="spellEnd"/>
      <w:r w:rsidRPr="00A348DD">
        <w:rPr>
          <w:lang w:val="es-ES"/>
        </w:rPr>
        <w:t xml:space="preserve">, incluida su definición y el contexto en el que apareció. En ella también se analizan los riesgos de seguridad y se especifican orientaciones apropiadas para la </w:t>
      </w:r>
      <w:proofErr w:type="spellStart"/>
      <w:r w:rsidRPr="00A348DD">
        <w:rPr>
          <w:lang w:val="es-ES"/>
        </w:rPr>
        <w:t>multinube</w:t>
      </w:r>
      <w:proofErr w:type="spellEnd"/>
      <w:r w:rsidRPr="00A348DD">
        <w:rPr>
          <w:lang w:val="es-ES"/>
        </w:rPr>
        <w:t xml:space="preserve"> a fin de mitigar los riesgos de seguridad.</w:t>
      </w:r>
    </w:p>
    <w:p w14:paraId="7F31940F" w14:textId="5AD2C5B8" w:rsidR="00A348DD" w:rsidRPr="00910A87" w:rsidRDefault="003F2262" w:rsidP="003F2262">
      <w:pPr>
        <w:pStyle w:val="Heading1"/>
      </w:pPr>
      <w:r w:rsidRPr="00910A87">
        <w:t>9</w:t>
      </w:r>
      <w:r w:rsidRPr="00910A87">
        <w:tab/>
      </w:r>
      <w:proofErr w:type="gramStart"/>
      <w:r w:rsidR="00A348DD" w:rsidRPr="00910A87">
        <w:t>Proyecto</w:t>
      </w:r>
      <w:proofErr w:type="gramEnd"/>
      <w:r w:rsidR="00A348DD" w:rsidRPr="00910A87">
        <w:t xml:space="preserve"> de Recomendación revisada UIT-T X.1250 [</w:t>
      </w:r>
      <w:hyperlink r:id="rId31" w:history="1">
        <w:r w:rsidR="00A348DD" w:rsidRPr="00A348DD">
          <w:rPr>
            <w:rStyle w:val="Hyperlink"/>
            <w:bCs/>
            <w:lang w:val="es-ES"/>
          </w:rPr>
          <w:t>SG17-R15</w:t>
        </w:r>
      </w:hyperlink>
      <w:r w:rsidR="00A348DD" w:rsidRPr="00910A87">
        <w:t>]</w:t>
      </w:r>
      <w:hyperlink r:id="rId32" w:history="1"/>
    </w:p>
    <w:p w14:paraId="2C09FF4F" w14:textId="77777777" w:rsidR="00A348DD" w:rsidRPr="00A348DD" w:rsidRDefault="00A348DD" w:rsidP="00910A87">
      <w:pPr>
        <w:rPr>
          <w:lang w:val="es-ES"/>
        </w:rPr>
      </w:pPr>
      <w:r w:rsidRPr="00A348DD">
        <w:rPr>
          <w:lang w:val="es-ES"/>
        </w:rPr>
        <w:t>Capacidades básicas para una mejor gestión e interoperabilidad de identidades</w:t>
      </w:r>
    </w:p>
    <w:p w14:paraId="169436EB" w14:textId="77777777" w:rsidR="00A348DD" w:rsidRPr="00A348DD" w:rsidRDefault="00A348DD" w:rsidP="003F2262">
      <w:pPr>
        <w:pStyle w:val="Headingb0"/>
        <w:rPr>
          <w:lang w:val="es-ES"/>
        </w:rPr>
      </w:pPr>
      <w:r w:rsidRPr="00A348DD">
        <w:rPr>
          <w:lang w:val="es-ES"/>
        </w:rPr>
        <w:t>Resumen</w:t>
      </w:r>
    </w:p>
    <w:p w14:paraId="4F0B9835" w14:textId="77777777" w:rsidR="00A348DD" w:rsidRPr="00A348DD" w:rsidRDefault="00A348DD" w:rsidP="00A348DD">
      <w:pPr>
        <w:rPr>
          <w:lang w:val="es-ES"/>
        </w:rPr>
      </w:pPr>
      <w:r w:rsidRPr="00A348DD">
        <w:rPr>
          <w:lang w:val="es-ES"/>
        </w:rPr>
        <w:t>En este documento se exponen las principales disposiciones para crear y desplegar sistemas de gestión de identidades estructurados e interoperables en las redes de telecomunicaciones y TI, garantizando la privacidad y el cumplimiento de las políticas regionales. Abarca temas como los modelos de gestión de identidades estructurados para lograr intercambios de identidades seguros y eficientes, la protección y asignación de atributos de identidad y la detección de proveedores de servicios de identidad. Asimismo, aborda la interoperabilidad entre las plataformas de identidad, medidas de seguridad para mitigar las amenazas, la auditoría con fines de cumplimiento y la importancia de la usabilidad y escalabilidad. El objetivo general consiste en crear sistemas de gestión de identidades robustos, transparentes y adaptables que mejoren la confianza, la seguridad y la experiencia del usuario en las interacciones digitales, y cumplan a su vez las normas reglamentarias.</w:t>
      </w:r>
    </w:p>
    <w:p w14:paraId="0ADB03FF" w14:textId="4574BAB1" w:rsidR="00A348DD" w:rsidRPr="00910A87" w:rsidRDefault="003F2262" w:rsidP="003F2262">
      <w:pPr>
        <w:pStyle w:val="Heading1"/>
      </w:pPr>
      <w:r w:rsidRPr="00910A87">
        <w:t>10</w:t>
      </w:r>
      <w:r w:rsidRPr="00910A87">
        <w:tab/>
      </w:r>
      <w:proofErr w:type="gramStart"/>
      <w:r w:rsidR="00A348DD" w:rsidRPr="00910A87">
        <w:t>Proyecto</w:t>
      </w:r>
      <w:proofErr w:type="gramEnd"/>
      <w:r w:rsidR="00A348DD" w:rsidRPr="00910A87">
        <w:t xml:space="preserve"> de Recomendación revisada UIT-T X.1631 [</w:t>
      </w:r>
      <w:hyperlink r:id="rId33" w:history="1">
        <w:r w:rsidR="00A348DD" w:rsidRPr="00A348DD">
          <w:rPr>
            <w:rStyle w:val="Hyperlink"/>
            <w:bCs/>
            <w:lang w:val="es-ES"/>
          </w:rPr>
          <w:t>SG17-R13</w:t>
        </w:r>
      </w:hyperlink>
      <w:r w:rsidR="00A348DD" w:rsidRPr="00910A87">
        <w:t>]</w:t>
      </w:r>
      <w:hyperlink r:id="rId34" w:history="1"/>
    </w:p>
    <w:p w14:paraId="0F34FFD8" w14:textId="77777777" w:rsidR="00A348DD" w:rsidRPr="00A348DD" w:rsidRDefault="00A348DD" w:rsidP="00487833">
      <w:pPr>
        <w:rPr>
          <w:lang w:val="es-ES"/>
        </w:rPr>
      </w:pPr>
      <w:r w:rsidRPr="00A348DD">
        <w:rPr>
          <w:lang w:val="es-ES"/>
        </w:rPr>
        <w:t>Controles de seguridad de la información basados en la ISO/CEI 27002 para los servicios en la nube</w:t>
      </w:r>
    </w:p>
    <w:p w14:paraId="7F47A967" w14:textId="77777777" w:rsidR="00A348DD" w:rsidRPr="00A348DD" w:rsidRDefault="00A348DD" w:rsidP="003F2262">
      <w:pPr>
        <w:pStyle w:val="Headingb0"/>
        <w:rPr>
          <w:lang w:val="es-ES"/>
        </w:rPr>
      </w:pPr>
      <w:r w:rsidRPr="00A348DD">
        <w:rPr>
          <w:lang w:val="es-ES"/>
        </w:rPr>
        <w:t>Resumen</w:t>
      </w:r>
    </w:p>
    <w:p w14:paraId="7B3ACD80" w14:textId="77777777" w:rsidR="00A348DD" w:rsidRPr="00A348DD" w:rsidRDefault="00A348DD" w:rsidP="00A348DD">
      <w:pPr>
        <w:rPr>
          <w:lang w:val="es-ES"/>
        </w:rPr>
      </w:pPr>
      <w:r w:rsidRPr="00A348DD">
        <w:rPr>
          <w:lang w:val="es-ES"/>
        </w:rPr>
        <w:t>Las directrices que figuran en esta Recomendación | norma internacional se añaden y completan las directrices proporcionadas en la ISO/CEI 27002:2022.</w:t>
      </w:r>
    </w:p>
    <w:p w14:paraId="19EA95B9" w14:textId="486A3083" w:rsidR="00A348DD" w:rsidRPr="00A348DD" w:rsidRDefault="00A348DD" w:rsidP="00A348DD">
      <w:pPr>
        <w:rPr>
          <w:lang w:val="es-ES"/>
        </w:rPr>
      </w:pPr>
      <w:r w:rsidRPr="00A348DD">
        <w:rPr>
          <w:lang w:val="es-ES"/>
        </w:rPr>
        <w:t>En concreto, esta Recomendación | norma internacional ofrece directrices para la implementación de controles de seguridad de la información para clientes y proveedores de servicios en la nube (CSC y CSP respectivamente). Algunas directrices se destinan a los</w:t>
      </w:r>
      <w:r w:rsidR="009A6DBC">
        <w:rPr>
          <w:lang w:val="es-ES"/>
        </w:rPr>
        <w:t> </w:t>
      </w:r>
      <w:r w:rsidRPr="00A348DD">
        <w:rPr>
          <w:lang w:val="es-ES"/>
        </w:rPr>
        <w:t>CSC que implementan los controles y otras a los</w:t>
      </w:r>
      <w:r w:rsidR="009A6DBC">
        <w:rPr>
          <w:lang w:val="es-ES"/>
        </w:rPr>
        <w:t> </w:t>
      </w:r>
      <w:r w:rsidRPr="00A348DD">
        <w:rPr>
          <w:lang w:val="es-ES"/>
        </w:rPr>
        <w:t>CSP para apoyar la implementación de dichos controles. La determinación de los controles de seguridad de la información adecuados y el grado de uso de las directrices proporcionadas dependerá de los resultados de la correspondiente evaluación de riesgos y la existencia de requisitos jurídicos, reglamentarios, contractuales u otros requisitos de seguridad de la información específicos de la computación en la nube.</w:t>
      </w:r>
    </w:p>
    <w:p w14:paraId="2E2DB751" w14:textId="77777777" w:rsidR="00A348DD" w:rsidRPr="00A348DD" w:rsidRDefault="00A348DD" w:rsidP="00A348DD">
      <w:pPr>
        <w:rPr>
          <w:lang w:val="es-ES"/>
        </w:rPr>
      </w:pPr>
      <w:r w:rsidRPr="00A348DD">
        <w:rPr>
          <w:lang w:val="es-ES"/>
        </w:rPr>
        <w:br w:type="page"/>
      </w:r>
    </w:p>
    <w:p w14:paraId="2ADE5B58" w14:textId="63F9E95A" w:rsidR="00A348DD" w:rsidRPr="00A348DD" w:rsidRDefault="00A348DD" w:rsidP="00487833">
      <w:pPr>
        <w:pStyle w:val="AnnexNotitle"/>
        <w:spacing w:after="240"/>
        <w:rPr>
          <w:lang w:val="es-ES"/>
        </w:rPr>
      </w:pPr>
      <w:r w:rsidRPr="00A348DD">
        <w:rPr>
          <w:lang w:val="es-ES"/>
        </w:rPr>
        <w:lastRenderedPageBreak/>
        <w:t>Anexo 2</w:t>
      </w:r>
      <w:r w:rsidRPr="00A348DD">
        <w:rPr>
          <w:lang w:val="es-ES"/>
        </w:rPr>
        <w:br/>
        <w:t xml:space="preserve">Asunto: Respuesta de los Estados Miembros a la Circular TSB 50: </w:t>
      </w:r>
      <w:r w:rsidR="00BD00F6">
        <w:rPr>
          <w:lang w:val="es-ES"/>
        </w:rPr>
        <w:br/>
      </w:r>
      <w:r w:rsidRPr="00A348DD">
        <w:rPr>
          <w:lang w:val="es-ES"/>
        </w:rPr>
        <w:t>Consulta sobre los proyectos de nuevas Recomendaciones determinadas UIT-T X.1062 (ex</w:t>
      </w:r>
      <w:r w:rsidR="00BD00F6">
        <w:rPr>
          <w:lang w:val="es-ES"/>
        </w:rPr>
        <w:t> </w:t>
      </w:r>
      <w:proofErr w:type="spellStart"/>
      <w:proofErr w:type="gramStart"/>
      <w:r w:rsidRPr="00A348DD">
        <w:rPr>
          <w:lang w:val="es-ES"/>
        </w:rPr>
        <w:t>X.shcd</w:t>
      </w:r>
      <w:proofErr w:type="spellEnd"/>
      <w:proofErr w:type="gramEnd"/>
      <w:r w:rsidRPr="00A348DD">
        <w:rPr>
          <w:lang w:val="es-ES"/>
        </w:rPr>
        <w:t>), X.1238 (ex</w:t>
      </w:r>
      <w:r w:rsidR="00BD00F6">
        <w:rPr>
          <w:lang w:val="es-ES"/>
        </w:rPr>
        <w:t> </w:t>
      </w:r>
      <w:proofErr w:type="spellStart"/>
      <w:r w:rsidRPr="00A348DD">
        <w:rPr>
          <w:lang w:val="es-ES"/>
        </w:rPr>
        <w:t>X.sgc-rcs</w:t>
      </w:r>
      <w:proofErr w:type="spellEnd"/>
      <w:r w:rsidRPr="00A348DD">
        <w:rPr>
          <w:lang w:val="es-ES"/>
        </w:rPr>
        <w:t>), X.1128 (ex</w:t>
      </w:r>
      <w:r w:rsidR="00BD00F6">
        <w:rPr>
          <w:lang w:val="es-ES"/>
        </w:rPr>
        <w:t> </w:t>
      </w:r>
      <w:r w:rsidRPr="00A348DD">
        <w:rPr>
          <w:lang w:val="es-ES"/>
        </w:rPr>
        <w:t>X.mt-</w:t>
      </w:r>
      <w:proofErr w:type="spellStart"/>
      <w:r w:rsidRPr="00A348DD">
        <w:rPr>
          <w:lang w:val="es-ES"/>
        </w:rPr>
        <w:t>feature</w:t>
      </w:r>
      <w:proofErr w:type="spellEnd"/>
      <w:r w:rsidRPr="00A348DD">
        <w:rPr>
          <w:lang w:val="es-ES"/>
        </w:rPr>
        <w:t>), X.1129 (ex</w:t>
      </w:r>
      <w:r w:rsidR="00BD00F6">
        <w:rPr>
          <w:lang w:val="es-ES"/>
        </w:rPr>
        <w:t> </w:t>
      </w:r>
      <w:r w:rsidRPr="00A348DD">
        <w:rPr>
          <w:lang w:val="es-ES"/>
        </w:rPr>
        <w:t>X.mt-</w:t>
      </w:r>
      <w:proofErr w:type="spellStart"/>
      <w:r w:rsidRPr="00A348DD">
        <w:rPr>
          <w:lang w:val="es-ES"/>
        </w:rPr>
        <w:t>integrity</w:t>
      </w:r>
      <w:proofErr w:type="spellEnd"/>
      <w:r w:rsidRPr="00A348DD">
        <w:rPr>
          <w:lang w:val="es-ES"/>
        </w:rPr>
        <w:t>), X.1130 (ex</w:t>
      </w:r>
      <w:r w:rsidR="00BD00F6">
        <w:rPr>
          <w:lang w:val="es-ES"/>
        </w:rPr>
        <w:t> </w:t>
      </w:r>
      <w:r w:rsidRPr="00A348DD">
        <w:rPr>
          <w:lang w:val="es-ES"/>
        </w:rPr>
        <w:t>X.tg-</w:t>
      </w:r>
      <w:proofErr w:type="spellStart"/>
      <w:r w:rsidRPr="00A348DD">
        <w:rPr>
          <w:lang w:val="es-ES"/>
        </w:rPr>
        <w:t>fdma</w:t>
      </w:r>
      <w:proofErr w:type="spellEnd"/>
      <w:r w:rsidRPr="00A348DD">
        <w:rPr>
          <w:lang w:val="es-ES"/>
        </w:rPr>
        <w:t>), X.1457 (ex</w:t>
      </w:r>
      <w:r w:rsidR="00BD00F6">
        <w:rPr>
          <w:lang w:val="es-ES"/>
        </w:rPr>
        <w:t> </w:t>
      </w:r>
      <w:proofErr w:type="spellStart"/>
      <w:r w:rsidRPr="00A348DD">
        <w:rPr>
          <w:lang w:val="es-ES"/>
        </w:rPr>
        <w:t>X.str-irs</w:t>
      </w:r>
      <w:proofErr w:type="spellEnd"/>
      <w:r w:rsidRPr="00A348DD">
        <w:rPr>
          <w:lang w:val="es-ES"/>
        </w:rPr>
        <w:t>), X.1753 (ex</w:t>
      </w:r>
      <w:r w:rsidR="00BD00F6">
        <w:rPr>
          <w:lang w:val="es-ES"/>
        </w:rPr>
        <w:t> </w:t>
      </w:r>
      <w:proofErr w:type="spellStart"/>
      <w:proofErr w:type="gramStart"/>
      <w:r w:rsidRPr="00A348DD">
        <w:rPr>
          <w:lang w:val="es-ES"/>
        </w:rPr>
        <w:t>X.gdsml</w:t>
      </w:r>
      <w:proofErr w:type="spellEnd"/>
      <w:proofErr w:type="gramEnd"/>
      <w:r w:rsidRPr="00A348DD">
        <w:rPr>
          <w:lang w:val="es-ES"/>
        </w:rPr>
        <w:t>) y X.1649 (ex</w:t>
      </w:r>
      <w:r w:rsidR="00BD00F6">
        <w:rPr>
          <w:lang w:val="es-ES"/>
        </w:rPr>
        <w:t> </w:t>
      </w:r>
      <w:proofErr w:type="spellStart"/>
      <w:proofErr w:type="gramStart"/>
      <w:r w:rsidRPr="00A348DD">
        <w:rPr>
          <w:lang w:val="es-ES"/>
        </w:rPr>
        <w:t>X.sgmc</w:t>
      </w:r>
      <w:proofErr w:type="spellEnd"/>
      <w:proofErr w:type="gramEnd"/>
      <w:r w:rsidRPr="00A348DD">
        <w:rPr>
          <w:lang w:val="es-ES"/>
        </w:rPr>
        <w:t>), y de Recomendaciones revisadas UIT-T X.1250 y X.1631</w:t>
      </w:r>
    </w:p>
    <w:tbl>
      <w:tblPr>
        <w:tblW w:w="9639" w:type="dxa"/>
        <w:jc w:val="center"/>
        <w:tblLayout w:type="fixed"/>
        <w:tblLook w:val="04A0" w:firstRow="1" w:lastRow="0" w:firstColumn="1" w:lastColumn="0" w:noHBand="0" w:noVBand="1"/>
      </w:tblPr>
      <w:tblGrid>
        <w:gridCol w:w="1120"/>
        <w:gridCol w:w="4382"/>
        <w:gridCol w:w="1119"/>
        <w:gridCol w:w="3018"/>
      </w:tblGrid>
      <w:tr w:rsidR="00A348DD" w:rsidRPr="00A348DD" w14:paraId="7E3DE4B6" w14:textId="77777777" w:rsidTr="00BD00F6">
        <w:trPr>
          <w:jc w:val="center"/>
        </w:trPr>
        <w:tc>
          <w:tcPr>
            <w:tcW w:w="1120" w:type="dxa"/>
            <w:shd w:val="clear" w:color="auto" w:fill="auto"/>
          </w:tcPr>
          <w:p w14:paraId="05DB8479" w14:textId="77777777" w:rsidR="00A348DD" w:rsidRPr="005508CE" w:rsidRDefault="00A348DD" w:rsidP="005508CE">
            <w:pPr>
              <w:pStyle w:val="Tabletext0"/>
              <w:jc w:val="right"/>
              <w:rPr>
                <w:b/>
                <w:bCs/>
                <w:lang w:val="es-ES"/>
              </w:rPr>
            </w:pPr>
            <w:r w:rsidRPr="005508CE">
              <w:rPr>
                <w:b/>
                <w:bCs/>
                <w:lang w:val="es-ES"/>
              </w:rPr>
              <w:t>A:</w:t>
            </w:r>
          </w:p>
        </w:tc>
        <w:tc>
          <w:tcPr>
            <w:tcW w:w="4382" w:type="dxa"/>
            <w:tcBorders>
              <w:right w:val="single" w:sz="8" w:space="0" w:color="auto"/>
            </w:tcBorders>
            <w:shd w:val="clear" w:color="auto" w:fill="auto"/>
          </w:tcPr>
          <w:p w14:paraId="334E4B44" w14:textId="5509AE5E" w:rsidR="00A348DD" w:rsidRPr="00A348DD" w:rsidRDefault="00A348DD" w:rsidP="00BB1F3F">
            <w:pPr>
              <w:pStyle w:val="Tabletext0"/>
              <w:rPr>
                <w:lang w:val="es-ES"/>
              </w:rPr>
            </w:pPr>
            <w:r w:rsidRPr="00A348DD">
              <w:rPr>
                <w:lang w:val="es-ES"/>
              </w:rPr>
              <w:t xml:space="preserve">El </w:t>
            </w:r>
            <w:proofErr w:type="gramStart"/>
            <w:r w:rsidRPr="00A348DD">
              <w:rPr>
                <w:lang w:val="es-ES"/>
              </w:rPr>
              <w:t>Director</w:t>
            </w:r>
            <w:proofErr w:type="gramEnd"/>
            <w:r w:rsidRPr="00A348DD">
              <w:rPr>
                <w:lang w:val="es-ES"/>
              </w:rPr>
              <w:t xml:space="preserve"> de la </w:t>
            </w:r>
            <w:r w:rsidR="00BD00F6">
              <w:rPr>
                <w:lang w:val="es-ES"/>
              </w:rPr>
              <w:br/>
            </w:r>
            <w:r w:rsidRPr="00A348DD">
              <w:rPr>
                <w:lang w:val="es-ES"/>
              </w:rPr>
              <w:t>Oficina de Normalización de las Telecomunicaciones,</w:t>
            </w:r>
            <w:r w:rsidR="00BB1F3F">
              <w:rPr>
                <w:lang w:val="es-ES"/>
              </w:rPr>
              <w:br/>
            </w:r>
            <w:r w:rsidRPr="00A348DD">
              <w:rPr>
                <w:lang w:val="es-ES"/>
              </w:rPr>
              <w:t>Unión Internacional de Telecomunicaciones</w:t>
            </w:r>
            <w:r w:rsidR="00BB1F3F">
              <w:rPr>
                <w:lang w:val="es-ES"/>
              </w:rPr>
              <w:br/>
            </w:r>
            <w:r w:rsidRPr="00A348DD">
              <w:rPr>
                <w:lang w:val="es-ES"/>
              </w:rPr>
              <w:t xml:space="preserve">Place des </w:t>
            </w:r>
            <w:proofErr w:type="spellStart"/>
            <w:r w:rsidRPr="00A348DD">
              <w:rPr>
                <w:lang w:val="es-ES"/>
              </w:rPr>
              <w:t>Nations</w:t>
            </w:r>
            <w:proofErr w:type="spellEnd"/>
            <w:r w:rsidR="00BB1F3F">
              <w:rPr>
                <w:lang w:val="es-ES"/>
              </w:rPr>
              <w:br/>
            </w:r>
            <w:r w:rsidRPr="00A348DD">
              <w:rPr>
                <w:lang w:val="es-ES"/>
              </w:rPr>
              <w:t>CH 1211 Ginebra 20, Suiza</w:t>
            </w:r>
          </w:p>
        </w:tc>
        <w:tc>
          <w:tcPr>
            <w:tcW w:w="1119" w:type="dxa"/>
            <w:tcBorders>
              <w:left w:val="single" w:sz="8" w:space="0" w:color="auto"/>
            </w:tcBorders>
            <w:shd w:val="clear" w:color="auto" w:fill="auto"/>
          </w:tcPr>
          <w:p w14:paraId="5DAA4AAA" w14:textId="77777777" w:rsidR="00A348DD" w:rsidRPr="00BD00F6" w:rsidRDefault="00A348DD" w:rsidP="00BD00F6">
            <w:pPr>
              <w:pStyle w:val="Tabletext0"/>
              <w:jc w:val="right"/>
              <w:rPr>
                <w:b/>
                <w:bCs/>
                <w:lang w:val="es-ES"/>
              </w:rPr>
            </w:pPr>
            <w:r w:rsidRPr="00BD00F6">
              <w:rPr>
                <w:b/>
                <w:bCs/>
                <w:lang w:val="es-ES"/>
              </w:rPr>
              <w:t>De:</w:t>
            </w:r>
          </w:p>
        </w:tc>
        <w:tc>
          <w:tcPr>
            <w:tcW w:w="3018" w:type="dxa"/>
            <w:shd w:val="clear" w:color="auto" w:fill="auto"/>
          </w:tcPr>
          <w:p w14:paraId="06FEF65C" w14:textId="7AA92F68" w:rsidR="00A348DD" w:rsidRPr="00A348DD" w:rsidRDefault="00A348DD" w:rsidP="00335802">
            <w:pPr>
              <w:pStyle w:val="Tabletext0"/>
              <w:rPr>
                <w:lang w:val="es-ES"/>
              </w:rPr>
            </w:pPr>
            <w:r w:rsidRPr="00335802">
              <w:rPr>
                <w:highlight w:val="green"/>
                <w:lang w:val="es-ES"/>
              </w:rPr>
              <w:t>[Nombre]</w:t>
            </w:r>
            <w:r w:rsidR="00335802" w:rsidRPr="00335802">
              <w:rPr>
                <w:highlight w:val="green"/>
                <w:lang w:val="es-ES"/>
              </w:rPr>
              <w:br/>
            </w:r>
            <w:r w:rsidRPr="00335802">
              <w:rPr>
                <w:highlight w:val="green"/>
                <w:lang w:val="es-ES"/>
              </w:rPr>
              <w:t>[Cargo oficial/título]</w:t>
            </w:r>
            <w:r w:rsidR="00335802" w:rsidRPr="00335802">
              <w:rPr>
                <w:highlight w:val="green"/>
                <w:lang w:val="es-ES"/>
              </w:rPr>
              <w:br/>
            </w:r>
            <w:r w:rsidRPr="00335802">
              <w:rPr>
                <w:highlight w:val="green"/>
                <w:lang w:val="es-ES"/>
              </w:rPr>
              <w:t>[Dirección]</w:t>
            </w:r>
          </w:p>
        </w:tc>
      </w:tr>
      <w:tr w:rsidR="00A348DD" w:rsidRPr="00A348DD" w14:paraId="675510E1" w14:textId="77777777" w:rsidTr="00BD00F6">
        <w:trPr>
          <w:jc w:val="center"/>
        </w:trPr>
        <w:tc>
          <w:tcPr>
            <w:tcW w:w="1120" w:type="dxa"/>
            <w:shd w:val="clear" w:color="auto" w:fill="auto"/>
          </w:tcPr>
          <w:p w14:paraId="277C0A49" w14:textId="77777777" w:rsidR="00A348DD" w:rsidRPr="005508CE" w:rsidRDefault="00A348DD" w:rsidP="005508CE">
            <w:pPr>
              <w:pStyle w:val="Tabletext0"/>
              <w:jc w:val="right"/>
              <w:rPr>
                <w:b/>
                <w:bCs/>
                <w:lang w:val="es-ES"/>
              </w:rPr>
            </w:pPr>
            <w:r w:rsidRPr="005508CE">
              <w:rPr>
                <w:b/>
                <w:bCs/>
                <w:lang w:val="es-ES"/>
              </w:rPr>
              <w:t>Fax:</w:t>
            </w:r>
          </w:p>
        </w:tc>
        <w:tc>
          <w:tcPr>
            <w:tcW w:w="4382" w:type="dxa"/>
            <w:tcBorders>
              <w:right w:val="single" w:sz="8" w:space="0" w:color="auto"/>
            </w:tcBorders>
            <w:shd w:val="clear" w:color="auto" w:fill="auto"/>
          </w:tcPr>
          <w:p w14:paraId="5CA36936" w14:textId="4B79BF39" w:rsidR="00A348DD" w:rsidRPr="00A348DD" w:rsidRDefault="00A348DD" w:rsidP="00335802">
            <w:pPr>
              <w:pStyle w:val="Tabletext0"/>
              <w:rPr>
                <w:lang w:val="es-ES"/>
              </w:rPr>
            </w:pPr>
            <w:r w:rsidRPr="00A348DD">
              <w:rPr>
                <w:lang w:val="es-ES"/>
              </w:rPr>
              <w:t>+41</w:t>
            </w:r>
            <w:r w:rsidR="0069619E">
              <w:rPr>
                <w:lang w:val="es-ES"/>
              </w:rPr>
              <w:t xml:space="preserve"> </w:t>
            </w:r>
            <w:r w:rsidRPr="00A348DD">
              <w:rPr>
                <w:lang w:val="es-ES"/>
              </w:rPr>
              <w:t>22</w:t>
            </w:r>
            <w:r w:rsidR="0069619E">
              <w:rPr>
                <w:lang w:val="es-ES"/>
              </w:rPr>
              <w:t xml:space="preserve"> </w:t>
            </w:r>
            <w:r w:rsidRPr="00A348DD">
              <w:rPr>
                <w:lang w:val="es-ES"/>
              </w:rPr>
              <w:t>730</w:t>
            </w:r>
            <w:r w:rsidR="0069619E">
              <w:rPr>
                <w:lang w:val="es-ES"/>
              </w:rPr>
              <w:t xml:space="preserve"> </w:t>
            </w:r>
            <w:r w:rsidRPr="00A348DD">
              <w:rPr>
                <w:lang w:val="es-ES"/>
              </w:rPr>
              <w:t>5853</w:t>
            </w:r>
          </w:p>
        </w:tc>
        <w:tc>
          <w:tcPr>
            <w:tcW w:w="1119" w:type="dxa"/>
            <w:tcBorders>
              <w:left w:val="single" w:sz="8" w:space="0" w:color="auto"/>
            </w:tcBorders>
            <w:shd w:val="clear" w:color="auto" w:fill="auto"/>
          </w:tcPr>
          <w:p w14:paraId="04081C88" w14:textId="77777777" w:rsidR="00A348DD" w:rsidRPr="00BD00F6" w:rsidRDefault="00A348DD" w:rsidP="00BD00F6">
            <w:pPr>
              <w:pStyle w:val="Tabletext0"/>
              <w:jc w:val="right"/>
              <w:rPr>
                <w:b/>
                <w:bCs/>
                <w:lang w:val="es-ES"/>
              </w:rPr>
            </w:pPr>
            <w:r w:rsidRPr="00BD00F6">
              <w:rPr>
                <w:b/>
                <w:bCs/>
                <w:lang w:val="es-ES"/>
              </w:rPr>
              <w:t>Fax:</w:t>
            </w:r>
          </w:p>
        </w:tc>
        <w:tc>
          <w:tcPr>
            <w:tcW w:w="3018" w:type="dxa"/>
            <w:shd w:val="clear" w:color="auto" w:fill="auto"/>
          </w:tcPr>
          <w:p w14:paraId="463B2DB3" w14:textId="77777777" w:rsidR="00A348DD" w:rsidRPr="00A348DD" w:rsidRDefault="00A348DD" w:rsidP="00335802">
            <w:pPr>
              <w:pStyle w:val="Tabletext0"/>
              <w:rPr>
                <w:lang w:val="es-ES"/>
              </w:rPr>
            </w:pPr>
          </w:p>
        </w:tc>
      </w:tr>
      <w:tr w:rsidR="00A348DD" w:rsidRPr="00A348DD" w14:paraId="64FDD6C6" w14:textId="77777777" w:rsidTr="00BD00F6">
        <w:trPr>
          <w:jc w:val="center"/>
        </w:trPr>
        <w:tc>
          <w:tcPr>
            <w:tcW w:w="1120" w:type="dxa"/>
            <w:shd w:val="clear" w:color="auto" w:fill="auto"/>
          </w:tcPr>
          <w:p w14:paraId="4575744F" w14:textId="77777777" w:rsidR="00A348DD" w:rsidRPr="005508CE" w:rsidRDefault="00A348DD" w:rsidP="005508CE">
            <w:pPr>
              <w:pStyle w:val="Tabletext0"/>
              <w:jc w:val="right"/>
              <w:rPr>
                <w:b/>
                <w:bCs/>
                <w:lang w:val="es-ES"/>
              </w:rPr>
            </w:pPr>
            <w:r w:rsidRPr="005508CE">
              <w:rPr>
                <w:b/>
                <w:bCs/>
                <w:lang w:val="es-ES"/>
              </w:rPr>
              <w:t>Correo-e:</w:t>
            </w:r>
          </w:p>
        </w:tc>
        <w:tc>
          <w:tcPr>
            <w:tcW w:w="4382" w:type="dxa"/>
            <w:tcBorders>
              <w:right w:val="single" w:sz="8" w:space="0" w:color="auto"/>
            </w:tcBorders>
            <w:shd w:val="clear" w:color="auto" w:fill="auto"/>
          </w:tcPr>
          <w:p w14:paraId="45FBDC1B" w14:textId="77777777" w:rsidR="00A348DD" w:rsidRPr="00A348DD" w:rsidRDefault="00A348DD" w:rsidP="00335802">
            <w:pPr>
              <w:pStyle w:val="Tabletext0"/>
              <w:rPr>
                <w:lang w:val="es-ES"/>
              </w:rPr>
            </w:pPr>
            <w:hyperlink r:id="rId35" w:history="1">
              <w:r w:rsidRPr="00A348DD">
                <w:rPr>
                  <w:rStyle w:val="Hyperlink"/>
                  <w:lang w:val="es-ES"/>
                </w:rPr>
                <w:t>tsbdir@itu.int</w:t>
              </w:r>
            </w:hyperlink>
          </w:p>
        </w:tc>
        <w:tc>
          <w:tcPr>
            <w:tcW w:w="1119" w:type="dxa"/>
            <w:tcBorders>
              <w:left w:val="single" w:sz="8" w:space="0" w:color="auto"/>
            </w:tcBorders>
            <w:shd w:val="clear" w:color="auto" w:fill="auto"/>
          </w:tcPr>
          <w:p w14:paraId="6A37D6BE" w14:textId="77777777" w:rsidR="00A348DD" w:rsidRPr="00BD00F6" w:rsidRDefault="00A348DD" w:rsidP="00BD00F6">
            <w:pPr>
              <w:pStyle w:val="Tabletext0"/>
              <w:jc w:val="right"/>
              <w:rPr>
                <w:b/>
                <w:bCs/>
                <w:lang w:val="es-ES"/>
              </w:rPr>
            </w:pPr>
            <w:r w:rsidRPr="00BD00F6">
              <w:rPr>
                <w:b/>
                <w:bCs/>
                <w:lang w:val="es-ES"/>
              </w:rPr>
              <w:t>Correo-e:</w:t>
            </w:r>
          </w:p>
        </w:tc>
        <w:tc>
          <w:tcPr>
            <w:tcW w:w="3018" w:type="dxa"/>
            <w:shd w:val="clear" w:color="auto" w:fill="auto"/>
          </w:tcPr>
          <w:p w14:paraId="7B36162E" w14:textId="77777777" w:rsidR="00A348DD" w:rsidRPr="00A348DD" w:rsidRDefault="00A348DD" w:rsidP="00335802">
            <w:pPr>
              <w:pStyle w:val="Tabletext0"/>
              <w:rPr>
                <w:lang w:val="es-ES"/>
              </w:rPr>
            </w:pPr>
          </w:p>
        </w:tc>
      </w:tr>
      <w:tr w:rsidR="00A348DD" w:rsidRPr="00A348DD" w14:paraId="2A016051" w14:textId="77777777" w:rsidTr="00BD00F6">
        <w:trPr>
          <w:jc w:val="center"/>
        </w:trPr>
        <w:tc>
          <w:tcPr>
            <w:tcW w:w="1120" w:type="dxa"/>
            <w:shd w:val="clear" w:color="auto" w:fill="auto"/>
          </w:tcPr>
          <w:p w14:paraId="792551B4" w14:textId="77777777" w:rsidR="00A348DD" w:rsidRPr="005508CE" w:rsidRDefault="00A348DD" w:rsidP="005508CE">
            <w:pPr>
              <w:pStyle w:val="Tabletext0"/>
              <w:jc w:val="right"/>
              <w:rPr>
                <w:b/>
                <w:bCs/>
                <w:lang w:val="es-ES"/>
              </w:rPr>
            </w:pPr>
          </w:p>
        </w:tc>
        <w:tc>
          <w:tcPr>
            <w:tcW w:w="4382" w:type="dxa"/>
            <w:tcBorders>
              <w:right w:val="single" w:sz="8" w:space="0" w:color="auto"/>
            </w:tcBorders>
            <w:shd w:val="clear" w:color="auto" w:fill="auto"/>
          </w:tcPr>
          <w:p w14:paraId="27BC562F" w14:textId="77777777" w:rsidR="00A348DD" w:rsidRPr="00A348DD" w:rsidRDefault="00A348DD" w:rsidP="00335802">
            <w:pPr>
              <w:pStyle w:val="Tabletext0"/>
              <w:rPr>
                <w:lang w:val="es-ES"/>
              </w:rPr>
            </w:pPr>
          </w:p>
        </w:tc>
        <w:tc>
          <w:tcPr>
            <w:tcW w:w="1119" w:type="dxa"/>
            <w:tcBorders>
              <w:left w:val="single" w:sz="8" w:space="0" w:color="auto"/>
            </w:tcBorders>
            <w:shd w:val="clear" w:color="auto" w:fill="auto"/>
          </w:tcPr>
          <w:p w14:paraId="7F432336" w14:textId="77777777" w:rsidR="00A348DD" w:rsidRPr="00BD00F6" w:rsidRDefault="00A348DD" w:rsidP="00BD00F6">
            <w:pPr>
              <w:pStyle w:val="Tabletext0"/>
              <w:jc w:val="right"/>
              <w:rPr>
                <w:b/>
                <w:bCs/>
                <w:lang w:val="es-ES"/>
              </w:rPr>
            </w:pPr>
            <w:r w:rsidRPr="00BD00F6">
              <w:rPr>
                <w:b/>
                <w:bCs/>
                <w:lang w:val="es-ES"/>
              </w:rPr>
              <w:t>Fecha:</w:t>
            </w:r>
          </w:p>
        </w:tc>
        <w:tc>
          <w:tcPr>
            <w:tcW w:w="3018" w:type="dxa"/>
            <w:shd w:val="clear" w:color="auto" w:fill="auto"/>
          </w:tcPr>
          <w:p w14:paraId="4DAABC29" w14:textId="77777777" w:rsidR="00A348DD" w:rsidRPr="00A348DD" w:rsidRDefault="00A348DD" w:rsidP="00335802">
            <w:pPr>
              <w:pStyle w:val="Tabletext0"/>
              <w:rPr>
                <w:lang w:val="es-ES"/>
              </w:rPr>
            </w:pPr>
            <w:r w:rsidRPr="00335802">
              <w:rPr>
                <w:highlight w:val="green"/>
                <w:lang w:val="es-ES"/>
              </w:rPr>
              <w:t>[Lugar,] [Fecha]</w:t>
            </w:r>
          </w:p>
        </w:tc>
      </w:tr>
    </w:tbl>
    <w:p w14:paraId="11D8BABA" w14:textId="77777777" w:rsidR="00A348DD" w:rsidRPr="00A348DD" w:rsidRDefault="00A348DD" w:rsidP="00BB1F3F">
      <w:pPr>
        <w:pStyle w:val="Normalaftertitle0"/>
        <w:rPr>
          <w:lang w:val="es-ES"/>
        </w:rPr>
      </w:pPr>
      <w:r w:rsidRPr="00A348DD">
        <w:rPr>
          <w:lang w:val="es-ES"/>
        </w:rPr>
        <w:t>Estimado Señor/Estimada Señora:</w:t>
      </w:r>
    </w:p>
    <w:p w14:paraId="428026FF" w14:textId="3237878F" w:rsidR="00A348DD" w:rsidRPr="00A348DD" w:rsidRDefault="00A348DD" w:rsidP="00BB1F3F">
      <w:pPr>
        <w:spacing w:after="240"/>
        <w:rPr>
          <w:lang w:val="es-ES"/>
        </w:rPr>
      </w:pPr>
      <w:r w:rsidRPr="00A348DD">
        <w:rPr>
          <w:lang w:val="es-ES"/>
        </w:rPr>
        <w:t>En lo que respecta a la consulta a los Estados Miembros sobre los proyectos determinados que se enumeran en la Circular</w:t>
      </w:r>
      <w:r w:rsidR="00BB1F3F">
        <w:rPr>
          <w:lang w:val="es-ES"/>
        </w:rPr>
        <w:t> </w:t>
      </w:r>
      <w:r w:rsidR="00E773C3">
        <w:rPr>
          <w:lang w:val="es-ES"/>
        </w:rPr>
        <w:t>50</w:t>
      </w:r>
      <w:r w:rsidR="00BB1F3F">
        <w:rPr>
          <w:lang w:val="es-ES"/>
        </w:rPr>
        <w:t xml:space="preserve"> </w:t>
      </w:r>
      <w:r w:rsidRPr="00A348DD">
        <w:rPr>
          <w:lang w:val="es-ES"/>
        </w:rPr>
        <w:t>de la</w:t>
      </w:r>
      <w:r w:rsidR="00BB1F3F">
        <w:rPr>
          <w:lang w:val="es-ES"/>
        </w:rPr>
        <w:t> </w:t>
      </w:r>
      <w:r w:rsidRPr="00A348DD">
        <w:rPr>
          <w:lang w:val="es-ES"/>
        </w:rPr>
        <w:t>TSB, deseo informarle de la opinión de esta Administración, que se refleja en el siguiente cuadro:</w:t>
      </w:r>
    </w:p>
    <w:tbl>
      <w:tblPr>
        <w:tblStyle w:val="TableGrid"/>
        <w:tblW w:w="9639" w:type="dxa"/>
        <w:jc w:val="center"/>
        <w:tblLayout w:type="fixed"/>
        <w:tblLook w:val="04A0" w:firstRow="1" w:lastRow="0" w:firstColumn="1" w:lastColumn="0" w:noHBand="0" w:noVBand="1"/>
      </w:tblPr>
      <w:tblGrid>
        <w:gridCol w:w="2245"/>
        <w:gridCol w:w="7394"/>
      </w:tblGrid>
      <w:tr w:rsidR="00A348DD" w:rsidRPr="00A348DD" w14:paraId="6DB04116" w14:textId="77777777" w:rsidTr="00BB1F3F">
        <w:trPr>
          <w:tblHeader/>
          <w:jc w:val="center"/>
        </w:trPr>
        <w:tc>
          <w:tcPr>
            <w:tcW w:w="2245" w:type="dxa"/>
          </w:tcPr>
          <w:p w14:paraId="3AE64074" w14:textId="77777777" w:rsidR="00A348DD" w:rsidRPr="00335802" w:rsidRDefault="00A348DD" w:rsidP="00335802">
            <w:pPr>
              <w:pStyle w:val="Tablehead0"/>
              <w:rPr>
                <w:lang w:val="es-ES"/>
              </w:rPr>
            </w:pPr>
            <w:bookmarkStart w:id="4" w:name="_Hlk204005032"/>
          </w:p>
        </w:tc>
        <w:tc>
          <w:tcPr>
            <w:tcW w:w="7394" w:type="dxa"/>
          </w:tcPr>
          <w:p w14:paraId="2E437A1C" w14:textId="77777777" w:rsidR="00A348DD" w:rsidRPr="00A348DD" w:rsidRDefault="00A348DD" w:rsidP="00335802">
            <w:pPr>
              <w:pStyle w:val="Tablehead0"/>
              <w:rPr>
                <w:lang w:val="es-ES"/>
              </w:rPr>
            </w:pPr>
            <w:r w:rsidRPr="00A348DD">
              <w:rPr>
                <w:lang w:val="es-ES"/>
              </w:rPr>
              <w:t>Seleccione una de las dos casillas</w:t>
            </w:r>
          </w:p>
        </w:tc>
      </w:tr>
      <w:bookmarkEnd w:id="4"/>
      <w:tr w:rsidR="00A348DD" w:rsidRPr="00A348DD" w14:paraId="6D864FF8" w14:textId="77777777" w:rsidTr="00BB1F3F">
        <w:trPr>
          <w:trHeight w:val="748"/>
          <w:jc w:val="center"/>
        </w:trPr>
        <w:tc>
          <w:tcPr>
            <w:tcW w:w="2245" w:type="dxa"/>
            <w:vMerge w:val="restart"/>
            <w:vAlign w:val="center"/>
          </w:tcPr>
          <w:p w14:paraId="1DBDDCAF" w14:textId="77777777" w:rsidR="00A348DD" w:rsidRPr="00335802" w:rsidRDefault="00A348DD" w:rsidP="00335802">
            <w:pPr>
              <w:pStyle w:val="Tabletext0"/>
              <w:jc w:val="center"/>
              <w:rPr>
                <w:b/>
                <w:bCs/>
              </w:rPr>
            </w:pPr>
            <w:r w:rsidRPr="00335802">
              <w:rPr>
                <w:b/>
                <w:bCs/>
              </w:rPr>
              <w:t xml:space="preserve">Proyecto de nueva Recomendación X.1062 (ex </w:t>
            </w:r>
            <w:proofErr w:type="spellStart"/>
            <w:proofErr w:type="gramStart"/>
            <w:r w:rsidRPr="00335802">
              <w:rPr>
                <w:b/>
                <w:bCs/>
              </w:rPr>
              <w:t>X.shcd</w:t>
            </w:r>
            <w:proofErr w:type="spellEnd"/>
            <w:proofErr w:type="gramEnd"/>
            <w:r w:rsidRPr="00335802">
              <w:rPr>
                <w:b/>
                <w:bCs/>
              </w:rPr>
              <w:t>)</w:t>
            </w:r>
          </w:p>
        </w:tc>
        <w:tc>
          <w:tcPr>
            <w:tcW w:w="7394" w:type="dxa"/>
          </w:tcPr>
          <w:p w14:paraId="17C7EA70" w14:textId="0F2542CC"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Otorga autoridad</w:t>
            </w:r>
            <w:r w:rsidR="00A348DD" w:rsidRPr="00A348DD">
              <w:rPr>
                <w:lang w:val="es-ES"/>
              </w:rPr>
              <w:t xml:space="preserve"> a la Comisión de Estudio</w:t>
            </w:r>
            <w:r w:rsidR="00BB1F3F">
              <w:rPr>
                <w:lang w:val="es-ES"/>
              </w:rPr>
              <w:t> </w:t>
            </w:r>
            <w:r w:rsidR="00A348DD" w:rsidRPr="00A348DD">
              <w:rPr>
                <w:lang w:val="es-ES"/>
              </w:rPr>
              <w:t>17 para examinar este texto para aprobación (en cuyo caso, seleccione una de las dos opciones ⃝):</w:t>
            </w:r>
          </w:p>
          <w:p w14:paraId="6B797B63"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Sin comentarios o cambios sugeridos</w:t>
            </w:r>
          </w:p>
          <w:p w14:paraId="2E7F87B7"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0C8D3E8E" w14:textId="77777777" w:rsidTr="00BB1F3F">
        <w:trPr>
          <w:trHeight w:val="747"/>
          <w:jc w:val="center"/>
        </w:trPr>
        <w:tc>
          <w:tcPr>
            <w:tcW w:w="2245" w:type="dxa"/>
            <w:vMerge/>
            <w:vAlign w:val="center"/>
          </w:tcPr>
          <w:p w14:paraId="54B6CACA" w14:textId="77777777" w:rsidR="00A348DD" w:rsidRPr="00A348DD" w:rsidRDefault="00A348DD" w:rsidP="00335802">
            <w:pPr>
              <w:jc w:val="center"/>
              <w:rPr>
                <w:b/>
                <w:lang w:val="es-ES"/>
              </w:rPr>
            </w:pPr>
          </w:p>
        </w:tc>
        <w:tc>
          <w:tcPr>
            <w:tcW w:w="7394" w:type="dxa"/>
          </w:tcPr>
          <w:p w14:paraId="038E7E3B" w14:textId="1CE8189A"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A348DD">
              <w:rPr>
                <w:lang w:val="es-ES"/>
              </w:rPr>
              <w:t>17 a fin de examinar este texto para aprobación (se adjuntan los motivos de esta decisión y las posibles modificaciones que permitirían que prosiguieran los trabajos)</w:t>
            </w:r>
          </w:p>
        </w:tc>
      </w:tr>
      <w:tr w:rsidR="00A348DD" w:rsidRPr="00A348DD" w14:paraId="211AF0C9" w14:textId="77777777" w:rsidTr="00BB1F3F">
        <w:trPr>
          <w:trHeight w:val="747"/>
          <w:jc w:val="center"/>
        </w:trPr>
        <w:tc>
          <w:tcPr>
            <w:tcW w:w="2245" w:type="dxa"/>
            <w:vMerge w:val="restart"/>
            <w:vAlign w:val="center"/>
          </w:tcPr>
          <w:p w14:paraId="21A58C01" w14:textId="77777777" w:rsidR="00A348DD" w:rsidRPr="00335802" w:rsidRDefault="00A348DD" w:rsidP="00335802">
            <w:pPr>
              <w:pStyle w:val="Tabletext0"/>
              <w:jc w:val="center"/>
              <w:rPr>
                <w:b/>
                <w:bCs/>
              </w:rPr>
            </w:pPr>
            <w:r w:rsidRPr="00335802">
              <w:rPr>
                <w:b/>
                <w:bCs/>
              </w:rPr>
              <w:t xml:space="preserve">Proyecto de nueva Recomendación X.1238 (ex </w:t>
            </w:r>
            <w:proofErr w:type="spellStart"/>
            <w:r w:rsidRPr="00335802">
              <w:rPr>
                <w:b/>
                <w:bCs/>
              </w:rPr>
              <w:t>X.sgc-rcs</w:t>
            </w:r>
            <w:proofErr w:type="spellEnd"/>
            <w:r w:rsidRPr="00335802">
              <w:rPr>
                <w:b/>
                <w:bCs/>
              </w:rPr>
              <w:t>)</w:t>
            </w:r>
          </w:p>
        </w:tc>
        <w:tc>
          <w:tcPr>
            <w:tcW w:w="7394" w:type="dxa"/>
          </w:tcPr>
          <w:p w14:paraId="66F8C19A" w14:textId="7BCED32D"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Otorga autoridad </w:t>
            </w:r>
            <w:r w:rsidR="00A348DD" w:rsidRPr="00A348DD">
              <w:rPr>
                <w:lang w:val="es-ES"/>
              </w:rPr>
              <w:t xml:space="preserve">a la </w:t>
            </w:r>
            <w:r w:rsidR="00A348DD" w:rsidRPr="00335802">
              <w:rPr>
                <w:szCs w:val="22"/>
              </w:rPr>
              <w:t>Comisión</w:t>
            </w:r>
            <w:r w:rsidR="00A348DD" w:rsidRPr="00A348DD">
              <w:rPr>
                <w:lang w:val="es-ES"/>
              </w:rPr>
              <w:t xml:space="preserve"> de Estudio</w:t>
            </w:r>
            <w:r w:rsidR="00BB1F3F">
              <w:rPr>
                <w:lang w:val="es-ES"/>
              </w:rPr>
              <w:t> </w:t>
            </w:r>
            <w:r w:rsidR="00A348DD" w:rsidRPr="00A348DD">
              <w:rPr>
                <w:lang w:val="es-ES"/>
              </w:rPr>
              <w:t>17 para examinar este texto para aprobación (en cuyo caso, seleccione una de las dos opciones ⃝):</w:t>
            </w:r>
          </w:p>
          <w:p w14:paraId="70281678"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Sin comentarios o cambios sugeridos</w:t>
            </w:r>
          </w:p>
          <w:p w14:paraId="4CF2FE84"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1CE0F2E6" w14:textId="77777777" w:rsidTr="00BB1F3F">
        <w:trPr>
          <w:trHeight w:val="747"/>
          <w:jc w:val="center"/>
        </w:trPr>
        <w:tc>
          <w:tcPr>
            <w:tcW w:w="2245" w:type="dxa"/>
            <w:vMerge/>
            <w:tcBorders>
              <w:bottom w:val="single" w:sz="4" w:space="0" w:color="auto"/>
            </w:tcBorders>
            <w:vAlign w:val="center"/>
          </w:tcPr>
          <w:p w14:paraId="219418E7" w14:textId="77777777" w:rsidR="00A348DD" w:rsidRPr="00A348DD" w:rsidRDefault="00A348DD" w:rsidP="00335802">
            <w:pPr>
              <w:pStyle w:val="Tabletext0"/>
              <w:jc w:val="center"/>
              <w:rPr>
                <w:b/>
                <w:bCs/>
              </w:rPr>
            </w:pPr>
          </w:p>
        </w:tc>
        <w:tc>
          <w:tcPr>
            <w:tcW w:w="7394" w:type="dxa"/>
          </w:tcPr>
          <w:p w14:paraId="498C0D24" w14:textId="271D9AF7"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335802">
              <w:rPr>
                <w:szCs w:val="22"/>
              </w:rPr>
              <w:t>17</w:t>
            </w:r>
            <w:r w:rsidR="00A348DD" w:rsidRPr="00A348DD">
              <w:rPr>
                <w:lang w:val="es-ES"/>
              </w:rPr>
              <w:t xml:space="preserve"> a fin de examinar este texto para aprobación (se adjuntan los motivos de esta decisión y las posibles modificaciones que permitirían que prosiguieran los trabajos)</w:t>
            </w:r>
          </w:p>
        </w:tc>
      </w:tr>
      <w:tr w:rsidR="00A348DD" w:rsidRPr="00A348DD" w14:paraId="66355E9C" w14:textId="77777777" w:rsidTr="00BB1F3F">
        <w:trPr>
          <w:trHeight w:val="357"/>
          <w:jc w:val="center"/>
        </w:trPr>
        <w:tc>
          <w:tcPr>
            <w:tcW w:w="2245" w:type="dxa"/>
            <w:vMerge w:val="restart"/>
            <w:vAlign w:val="center"/>
          </w:tcPr>
          <w:p w14:paraId="7CD32CB4" w14:textId="585B77ED" w:rsidR="00A348DD" w:rsidRPr="00335802" w:rsidRDefault="00A348DD" w:rsidP="00335802">
            <w:pPr>
              <w:pStyle w:val="Tabletext0"/>
              <w:jc w:val="center"/>
              <w:rPr>
                <w:b/>
                <w:bCs/>
              </w:rPr>
            </w:pPr>
            <w:r w:rsidRPr="00335802">
              <w:rPr>
                <w:b/>
                <w:bCs/>
              </w:rPr>
              <w:t>Proyecto de nueva Recomendación X.1128 (ex</w:t>
            </w:r>
            <w:r w:rsidR="00BB1F3F">
              <w:rPr>
                <w:b/>
                <w:bCs/>
              </w:rPr>
              <w:t> </w:t>
            </w:r>
            <w:r w:rsidRPr="00335802">
              <w:rPr>
                <w:b/>
                <w:bCs/>
              </w:rPr>
              <w:t>X.mt</w:t>
            </w:r>
            <w:r w:rsidR="00BB1F3F">
              <w:rPr>
                <w:b/>
                <w:bCs/>
              </w:rPr>
              <w:noBreakHyphen/>
            </w:r>
            <w:proofErr w:type="spellStart"/>
            <w:r w:rsidRPr="00335802">
              <w:rPr>
                <w:b/>
                <w:bCs/>
              </w:rPr>
              <w:t>feature</w:t>
            </w:r>
            <w:proofErr w:type="spellEnd"/>
            <w:r w:rsidRPr="00335802">
              <w:rPr>
                <w:b/>
                <w:bCs/>
              </w:rPr>
              <w:t>)</w:t>
            </w:r>
          </w:p>
        </w:tc>
        <w:tc>
          <w:tcPr>
            <w:tcW w:w="7394" w:type="dxa"/>
          </w:tcPr>
          <w:p w14:paraId="4C66FCB6" w14:textId="7973BBB9"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Otorga autoridad </w:t>
            </w:r>
            <w:r w:rsidR="00A348DD" w:rsidRPr="00A348DD">
              <w:rPr>
                <w:lang w:val="es-ES"/>
              </w:rPr>
              <w:t>a la Comisión de Estudio</w:t>
            </w:r>
            <w:r w:rsidR="00BB1F3F">
              <w:rPr>
                <w:lang w:val="es-ES"/>
              </w:rPr>
              <w:t> </w:t>
            </w:r>
            <w:r w:rsidR="00A348DD" w:rsidRPr="00A348DD">
              <w:rPr>
                <w:lang w:val="es-ES"/>
              </w:rPr>
              <w:t xml:space="preserve">17 para examinar este texto para aprobación (en cuyo caso, </w:t>
            </w:r>
            <w:r w:rsidR="00A348DD" w:rsidRPr="00335802">
              <w:rPr>
                <w:szCs w:val="22"/>
              </w:rPr>
              <w:t>seleccione</w:t>
            </w:r>
            <w:r w:rsidR="00A348DD" w:rsidRPr="00A348DD">
              <w:rPr>
                <w:lang w:val="es-ES"/>
              </w:rPr>
              <w:t xml:space="preserve"> una de las dos opciones ⃝):</w:t>
            </w:r>
          </w:p>
          <w:p w14:paraId="25F9ADC2"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Sin comentarios o cambios sugeridos</w:t>
            </w:r>
          </w:p>
          <w:p w14:paraId="768BA492"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2D2AC278" w14:textId="77777777" w:rsidTr="00BB1F3F">
        <w:trPr>
          <w:trHeight w:val="380"/>
          <w:jc w:val="center"/>
        </w:trPr>
        <w:tc>
          <w:tcPr>
            <w:tcW w:w="2245" w:type="dxa"/>
            <w:vMerge/>
            <w:vAlign w:val="center"/>
          </w:tcPr>
          <w:p w14:paraId="287B8454" w14:textId="77777777" w:rsidR="00A348DD" w:rsidRPr="00A348DD" w:rsidRDefault="00A348DD" w:rsidP="00335802">
            <w:pPr>
              <w:jc w:val="center"/>
              <w:rPr>
                <w:b/>
                <w:lang w:val="es-ES"/>
              </w:rPr>
            </w:pPr>
          </w:p>
        </w:tc>
        <w:tc>
          <w:tcPr>
            <w:tcW w:w="7394" w:type="dxa"/>
          </w:tcPr>
          <w:p w14:paraId="25905572" w14:textId="7F6A7B60"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A348DD">
              <w:rPr>
                <w:lang w:val="es-ES"/>
              </w:rPr>
              <w:t>17 a fin de examinar este texto para aprobación (se adjuntan los motivos de esta decisión y las posibles modificaciones que permitirían que prosiguieran los trabajos)</w:t>
            </w:r>
          </w:p>
        </w:tc>
      </w:tr>
      <w:tr w:rsidR="00A348DD" w:rsidRPr="00A348DD" w14:paraId="229C6679" w14:textId="77777777" w:rsidTr="00BB1F3F">
        <w:trPr>
          <w:cantSplit/>
          <w:trHeight w:val="368"/>
          <w:jc w:val="center"/>
        </w:trPr>
        <w:tc>
          <w:tcPr>
            <w:tcW w:w="2245" w:type="dxa"/>
            <w:vMerge w:val="restart"/>
            <w:vAlign w:val="center"/>
          </w:tcPr>
          <w:p w14:paraId="5C733714" w14:textId="7CBC38AD" w:rsidR="00A348DD" w:rsidRPr="00335802" w:rsidRDefault="00A348DD" w:rsidP="00335802">
            <w:pPr>
              <w:pStyle w:val="Tabletext0"/>
              <w:jc w:val="center"/>
              <w:rPr>
                <w:b/>
                <w:bCs/>
              </w:rPr>
            </w:pPr>
            <w:r w:rsidRPr="00335802">
              <w:rPr>
                <w:b/>
                <w:bCs/>
              </w:rPr>
              <w:t>Proyecto de nueva Recomendación X.1129 (ex</w:t>
            </w:r>
            <w:r w:rsidR="00BB1F3F">
              <w:rPr>
                <w:b/>
                <w:bCs/>
              </w:rPr>
              <w:t> </w:t>
            </w:r>
            <w:r w:rsidRPr="00335802">
              <w:rPr>
                <w:b/>
                <w:bCs/>
              </w:rPr>
              <w:t>X.mt</w:t>
            </w:r>
            <w:r w:rsidR="00BB1F3F">
              <w:rPr>
                <w:b/>
                <w:bCs/>
              </w:rPr>
              <w:noBreakHyphen/>
            </w:r>
            <w:proofErr w:type="spellStart"/>
            <w:r w:rsidRPr="00335802">
              <w:rPr>
                <w:b/>
                <w:bCs/>
              </w:rPr>
              <w:t>integrity</w:t>
            </w:r>
            <w:proofErr w:type="spellEnd"/>
            <w:r w:rsidRPr="00335802">
              <w:rPr>
                <w:b/>
                <w:bCs/>
              </w:rPr>
              <w:t>)</w:t>
            </w:r>
          </w:p>
        </w:tc>
        <w:tc>
          <w:tcPr>
            <w:tcW w:w="7394" w:type="dxa"/>
          </w:tcPr>
          <w:p w14:paraId="4B14F107" w14:textId="58E6961C"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Otorga autoridad </w:t>
            </w:r>
            <w:r w:rsidR="00A348DD" w:rsidRPr="00A348DD">
              <w:rPr>
                <w:lang w:val="es-ES"/>
              </w:rPr>
              <w:t>a la Comisión de Estudio</w:t>
            </w:r>
            <w:r w:rsidR="00BB1F3F">
              <w:rPr>
                <w:lang w:val="es-ES"/>
              </w:rPr>
              <w:t> </w:t>
            </w:r>
            <w:r w:rsidR="00A348DD" w:rsidRPr="00A348DD">
              <w:rPr>
                <w:lang w:val="es-ES"/>
              </w:rPr>
              <w:t xml:space="preserve">17 para examinar este texto para aprobación (en cuyo caso, </w:t>
            </w:r>
            <w:r w:rsidR="00A348DD" w:rsidRPr="00335802">
              <w:rPr>
                <w:szCs w:val="22"/>
              </w:rPr>
              <w:t>seleccione</w:t>
            </w:r>
            <w:r w:rsidR="00A348DD" w:rsidRPr="00A348DD">
              <w:rPr>
                <w:lang w:val="es-ES"/>
              </w:rPr>
              <w:t xml:space="preserve"> una de las dos opciones ⃝):</w:t>
            </w:r>
          </w:p>
          <w:p w14:paraId="7D6F6F8F"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Sin comentarios o cambios sugeridos</w:t>
            </w:r>
          </w:p>
          <w:p w14:paraId="3717AEDF"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3BCEBAB5" w14:textId="77777777" w:rsidTr="00BB1F3F">
        <w:trPr>
          <w:trHeight w:val="380"/>
          <w:jc w:val="center"/>
        </w:trPr>
        <w:tc>
          <w:tcPr>
            <w:tcW w:w="2245" w:type="dxa"/>
            <w:vMerge/>
            <w:vAlign w:val="center"/>
          </w:tcPr>
          <w:p w14:paraId="6513F20B" w14:textId="77777777" w:rsidR="00A348DD" w:rsidRPr="00A348DD" w:rsidRDefault="00A348DD" w:rsidP="00335802">
            <w:pPr>
              <w:pStyle w:val="Tabletext0"/>
              <w:jc w:val="center"/>
              <w:rPr>
                <w:b/>
                <w:bCs/>
              </w:rPr>
            </w:pPr>
          </w:p>
        </w:tc>
        <w:tc>
          <w:tcPr>
            <w:tcW w:w="7394" w:type="dxa"/>
          </w:tcPr>
          <w:p w14:paraId="493971C7" w14:textId="2FA7B448"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A348DD">
              <w:rPr>
                <w:lang w:val="es-ES"/>
              </w:rPr>
              <w:t>17 a fin de examinar este texto para aprobación (se adjuntan los motivos de esta decisión y las posibles modificaciones que permitirían que prosiguieran los trabajos)</w:t>
            </w:r>
          </w:p>
        </w:tc>
      </w:tr>
      <w:tr w:rsidR="00A348DD" w:rsidRPr="00A348DD" w14:paraId="7331CE83" w14:textId="77777777" w:rsidTr="00BB1F3F">
        <w:trPr>
          <w:trHeight w:val="380"/>
          <w:jc w:val="center"/>
        </w:trPr>
        <w:tc>
          <w:tcPr>
            <w:tcW w:w="2245" w:type="dxa"/>
            <w:vMerge w:val="restart"/>
            <w:vAlign w:val="center"/>
          </w:tcPr>
          <w:p w14:paraId="04DD7C50" w14:textId="77777777" w:rsidR="00A348DD" w:rsidRPr="00335802" w:rsidRDefault="00A348DD" w:rsidP="00335802">
            <w:pPr>
              <w:pStyle w:val="Tabletext0"/>
              <w:jc w:val="center"/>
              <w:rPr>
                <w:b/>
                <w:bCs/>
              </w:rPr>
            </w:pPr>
            <w:r w:rsidRPr="00335802">
              <w:rPr>
                <w:b/>
                <w:bCs/>
              </w:rPr>
              <w:t>Proyecto de nueva Recomendación X.1130 (ex X.tg-</w:t>
            </w:r>
            <w:proofErr w:type="spellStart"/>
            <w:r w:rsidRPr="00335802">
              <w:rPr>
                <w:b/>
                <w:bCs/>
              </w:rPr>
              <w:t>fdma</w:t>
            </w:r>
            <w:proofErr w:type="spellEnd"/>
            <w:r w:rsidRPr="00335802">
              <w:rPr>
                <w:b/>
                <w:bCs/>
              </w:rPr>
              <w:t>)</w:t>
            </w:r>
          </w:p>
        </w:tc>
        <w:tc>
          <w:tcPr>
            <w:tcW w:w="7394" w:type="dxa"/>
          </w:tcPr>
          <w:p w14:paraId="3FF6B246" w14:textId="684C51D9"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Otorga autoridad </w:t>
            </w:r>
            <w:r w:rsidR="00A348DD" w:rsidRPr="00A348DD">
              <w:rPr>
                <w:lang w:val="es-ES"/>
              </w:rPr>
              <w:t xml:space="preserve">a la </w:t>
            </w:r>
            <w:r w:rsidR="00A348DD" w:rsidRPr="00335802">
              <w:rPr>
                <w:szCs w:val="22"/>
              </w:rPr>
              <w:t>Comisión</w:t>
            </w:r>
            <w:r w:rsidR="00A348DD" w:rsidRPr="00A348DD">
              <w:rPr>
                <w:lang w:val="es-ES"/>
              </w:rPr>
              <w:t xml:space="preserve"> de Estudio</w:t>
            </w:r>
            <w:r w:rsidR="00BB1F3F">
              <w:rPr>
                <w:lang w:val="es-ES"/>
              </w:rPr>
              <w:t> </w:t>
            </w:r>
            <w:r w:rsidR="00A348DD" w:rsidRPr="00A348DD">
              <w:rPr>
                <w:lang w:val="es-ES"/>
              </w:rPr>
              <w:t>17 para examinar este texto para aprobación (en cuyo caso, seleccione una de las dos opciones ⃝):</w:t>
            </w:r>
          </w:p>
          <w:p w14:paraId="7621FD85"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Sin comentarios o cambios sugeridos</w:t>
            </w:r>
          </w:p>
          <w:p w14:paraId="1107CC35"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71B87C4D" w14:textId="77777777" w:rsidTr="00BB1F3F">
        <w:trPr>
          <w:trHeight w:val="380"/>
          <w:jc w:val="center"/>
        </w:trPr>
        <w:tc>
          <w:tcPr>
            <w:tcW w:w="2245" w:type="dxa"/>
            <w:vMerge/>
            <w:vAlign w:val="center"/>
          </w:tcPr>
          <w:p w14:paraId="58CC7FCF" w14:textId="77777777" w:rsidR="00A348DD" w:rsidRPr="00A348DD" w:rsidRDefault="00A348DD" w:rsidP="00335802">
            <w:pPr>
              <w:jc w:val="center"/>
              <w:rPr>
                <w:b/>
                <w:lang w:val="es-ES"/>
              </w:rPr>
            </w:pPr>
          </w:p>
        </w:tc>
        <w:tc>
          <w:tcPr>
            <w:tcW w:w="7394" w:type="dxa"/>
          </w:tcPr>
          <w:p w14:paraId="38500ABB" w14:textId="23D024CC"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A348DD">
              <w:rPr>
                <w:lang w:val="es-ES"/>
              </w:rPr>
              <w:t>17 a fin de examinar este texto para aprobación (se adjuntan los motivos de esta decisión y las posibles modificaciones que permitirían que prosiguieran los trabajos)</w:t>
            </w:r>
          </w:p>
        </w:tc>
      </w:tr>
      <w:tr w:rsidR="00A348DD" w:rsidRPr="00A348DD" w14:paraId="7D30BD57" w14:textId="77777777" w:rsidTr="00BB1F3F">
        <w:trPr>
          <w:trHeight w:val="380"/>
          <w:jc w:val="center"/>
        </w:trPr>
        <w:tc>
          <w:tcPr>
            <w:tcW w:w="2245" w:type="dxa"/>
            <w:vMerge w:val="restart"/>
            <w:vAlign w:val="center"/>
          </w:tcPr>
          <w:p w14:paraId="4D85840B" w14:textId="77777777" w:rsidR="00A348DD" w:rsidRPr="00335802" w:rsidRDefault="00A348DD" w:rsidP="00335802">
            <w:pPr>
              <w:pStyle w:val="Tabletext0"/>
              <w:jc w:val="center"/>
              <w:rPr>
                <w:b/>
                <w:bCs/>
              </w:rPr>
            </w:pPr>
            <w:r w:rsidRPr="00335802">
              <w:rPr>
                <w:b/>
                <w:bCs/>
              </w:rPr>
              <w:t xml:space="preserve">Proyecto de nueva Recomendación X.1457 (ex </w:t>
            </w:r>
            <w:proofErr w:type="spellStart"/>
            <w:r w:rsidRPr="00335802">
              <w:rPr>
                <w:b/>
                <w:bCs/>
              </w:rPr>
              <w:t>X.str-irs</w:t>
            </w:r>
            <w:proofErr w:type="spellEnd"/>
            <w:r w:rsidRPr="00335802">
              <w:rPr>
                <w:b/>
                <w:bCs/>
              </w:rPr>
              <w:t>)</w:t>
            </w:r>
          </w:p>
        </w:tc>
        <w:tc>
          <w:tcPr>
            <w:tcW w:w="7394" w:type="dxa"/>
          </w:tcPr>
          <w:p w14:paraId="16276D65" w14:textId="650D99A4"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Otorga autoridad </w:t>
            </w:r>
            <w:r w:rsidR="00A348DD" w:rsidRPr="00A348DD">
              <w:rPr>
                <w:lang w:val="es-ES"/>
              </w:rPr>
              <w:t>a la Comisión de Estudio</w:t>
            </w:r>
            <w:r w:rsidR="00BB1F3F">
              <w:rPr>
                <w:lang w:val="es-ES"/>
              </w:rPr>
              <w:t> </w:t>
            </w:r>
            <w:r w:rsidR="00A348DD" w:rsidRPr="00A348DD">
              <w:rPr>
                <w:lang w:val="es-ES"/>
              </w:rPr>
              <w:t xml:space="preserve">17 para examinar este texto para aprobación (en cuyo caso, </w:t>
            </w:r>
            <w:r w:rsidR="00A348DD" w:rsidRPr="00335802">
              <w:rPr>
                <w:szCs w:val="22"/>
              </w:rPr>
              <w:t>seleccione</w:t>
            </w:r>
            <w:r w:rsidR="00A348DD" w:rsidRPr="00A348DD">
              <w:rPr>
                <w:lang w:val="es-ES"/>
              </w:rPr>
              <w:t xml:space="preserve"> una de las dos opciones ⃝):</w:t>
            </w:r>
          </w:p>
          <w:p w14:paraId="019C758A"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Sin comentarios o cambios sugeridos</w:t>
            </w:r>
          </w:p>
          <w:p w14:paraId="6A55EB4C"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291BB3E0" w14:textId="77777777" w:rsidTr="00BB1F3F">
        <w:trPr>
          <w:trHeight w:val="357"/>
          <w:jc w:val="center"/>
        </w:trPr>
        <w:tc>
          <w:tcPr>
            <w:tcW w:w="2245" w:type="dxa"/>
            <w:vMerge/>
            <w:vAlign w:val="center"/>
          </w:tcPr>
          <w:p w14:paraId="51DCAC23" w14:textId="77777777" w:rsidR="00A348DD" w:rsidRPr="00A348DD" w:rsidRDefault="00A348DD" w:rsidP="00335802">
            <w:pPr>
              <w:pStyle w:val="Tabletext0"/>
              <w:jc w:val="center"/>
              <w:rPr>
                <w:b/>
                <w:bCs/>
              </w:rPr>
            </w:pPr>
          </w:p>
        </w:tc>
        <w:tc>
          <w:tcPr>
            <w:tcW w:w="7394" w:type="dxa"/>
          </w:tcPr>
          <w:p w14:paraId="19C4AC89" w14:textId="57A83D3D"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A348DD">
              <w:rPr>
                <w:lang w:val="es-ES"/>
              </w:rPr>
              <w:t>17 a fin de examinar este texto para aprobación (se adjuntan los motivos de esta decisión y las posibles modificaciones que permitirían que prosiguieran los trabajos)</w:t>
            </w:r>
          </w:p>
        </w:tc>
      </w:tr>
      <w:tr w:rsidR="00A348DD" w:rsidRPr="00A348DD" w14:paraId="186F1B8B" w14:textId="77777777" w:rsidTr="00BB1F3F">
        <w:trPr>
          <w:trHeight w:val="380"/>
          <w:jc w:val="center"/>
        </w:trPr>
        <w:tc>
          <w:tcPr>
            <w:tcW w:w="2245" w:type="dxa"/>
            <w:vMerge w:val="restart"/>
            <w:vAlign w:val="center"/>
          </w:tcPr>
          <w:p w14:paraId="26D06361" w14:textId="77777777" w:rsidR="00A348DD" w:rsidRPr="00335802" w:rsidRDefault="00A348DD" w:rsidP="00335802">
            <w:pPr>
              <w:pStyle w:val="Tabletext0"/>
              <w:jc w:val="center"/>
              <w:rPr>
                <w:b/>
                <w:bCs/>
              </w:rPr>
            </w:pPr>
            <w:r w:rsidRPr="00335802">
              <w:rPr>
                <w:b/>
                <w:bCs/>
              </w:rPr>
              <w:t xml:space="preserve">Proyecto de nueva Recomendación X.1753 (ex </w:t>
            </w:r>
            <w:proofErr w:type="spellStart"/>
            <w:proofErr w:type="gramStart"/>
            <w:r w:rsidRPr="00335802">
              <w:rPr>
                <w:b/>
                <w:bCs/>
              </w:rPr>
              <w:t>X.gdsml</w:t>
            </w:r>
            <w:proofErr w:type="spellEnd"/>
            <w:proofErr w:type="gramEnd"/>
            <w:r w:rsidRPr="00335802">
              <w:rPr>
                <w:b/>
                <w:bCs/>
              </w:rPr>
              <w:t>)</w:t>
            </w:r>
          </w:p>
        </w:tc>
        <w:tc>
          <w:tcPr>
            <w:tcW w:w="7394" w:type="dxa"/>
          </w:tcPr>
          <w:p w14:paraId="23815343" w14:textId="7B6DCFE4"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Otorga autoridad </w:t>
            </w:r>
            <w:r w:rsidR="00A348DD" w:rsidRPr="00A348DD">
              <w:rPr>
                <w:lang w:val="es-ES"/>
              </w:rPr>
              <w:t xml:space="preserve">a la </w:t>
            </w:r>
            <w:r w:rsidR="00A348DD" w:rsidRPr="00335802">
              <w:rPr>
                <w:szCs w:val="22"/>
              </w:rPr>
              <w:t>Comisión</w:t>
            </w:r>
            <w:r w:rsidR="00A348DD" w:rsidRPr="00A348DD">
              <w:rPr>
                <w:lang w:val="es-ES"/>
              </w:rPr>
              <w:t xml:space="preserve"> de Estudio</w:t>
            </w:r>
            <w:r w:rsidR="00BB1F3F">
              <w:rPr>
                <w:lang w:val="es-ES"/>
              </w:rPr>
              <w:t> </w:t>
            </w:r>
            <w:r w:rsidR="00A348DD" w:rsidRPr="00A348DD">
              <w:rPr>
                <w:lang w:val="es-ES"/>
              </w:rPr>
              <w:t>17 para examinar este texto para aprobación (en cuyo caso, seleccione una de las dos opciones ⃝):</w:t>
            </w:r>
          </w:p>
          <w:p w14:paraId="3363EEB5"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Sin comentarios o cambios sugeridos</w:t>
            </w:r>
          </w:p>
          <w:p w14:paraId="1BC96687"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38A8C638" w14:textId="77777777" w:rsidTr="00BB1F3F">
        <w:trPr>
          <w:trHeight w:val="380"/>
          <w:jc w:val="center"/>
        </w:trPr>
        <w:tc>
          <w:tcPr>
            <w:tcW w:w="2245" w:type="dxa"/>
            <w:vMerge/>
            <w:vAlign w:val="center"/>
          </w:tcPr>
          <w:p w14:paraId="79805672" w14:textId="77777777" w:rsidR="00A348DD" w:rsidRPr="00A348DD" w:rsidRDefault="00A348DD" w:rsidP="00335802">
            <w:pPr>
              <w:pStyle w:val="Tabletext0"/>
              <w:jc w:val="center"/>
              <w:rPr>
                <w:b/>
                <w:bCs/>
              </w:rPr>
            </w:pPr>
          </w:p>
        </w:tc>
        <w:tc>
          <w:tcPr>
            <w:tcW w:w="7394" w:type="dxa"/>
          </w:tcPr>
          <w:p w14:paraId="4B814109" w14:textId="46F624CE"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335802">
              <w:rPr>
                <w:szCs w:val="22"/>
              </w:rPr>
              <w:t>17</w:t>
            </w:r>
            <w:r w:rsidR="00A348DD" w:rsidRPr="00A348DD">
              <w:rPr>
                <w:lang w:val="es-ES"/>
              </w:rPr>
              <w:t xml:space="preserve"> a fin de examinar este texto para aprobación (se adjuntan los motivos de esta decisión y las posibles modificaciones que permitirían que prosiguieran los trabajos)</w:t>
            </w:r>
          </w:p>
        </w:tc>
      </w:tr>
      <w:tr w:rsidR="00A348DD" w:rsidRPr="00A348DD" w14:paraId="04C6AF5B" w14:textId="77777777" w:rsidTr="00BB1F3F">
        <w:trPr>
          <w:trHeight w:val="380"/>
          <w:jc w:val="center"/>
        </w:trPr>
        <w:tc>
          <w:tcPr>
            <w:tcW w:w="2245" w:type="dxa"/>
            <w:vMerge w:val="restart"/>
            <w:vAlign w:val="center"/>
          </w:tcPr>
          <w:p w14:paraId="3DC924EA" w14:textId="77777777" w:rsidR="00A348DD" w:rsidRPr="00335802" w:rsidRDefault="00A348DD" w:rsidP="00335802">
            <w:pPr>
              <w:pStyle w:val="Tabletext0"/>
              <w:jc w:val="center"/>
              <w:rPr>
                <w:b/>
                <w:bCs/>
              </w:rPr>
            </w:pPr>
            <w:r w:rsidRPr="00335802">
              <w:rPr>
                <w:b/>
                <w:bCs/>
              </w:rPr>
              <w:t xml:space="preserve">Proyecto de nueva Recomendación X.1649 (ex </w:t>
            </w:r>
            <w:proofErr w:type="spellStart"/>
            <w:proofErr w:type="gramStart"/>
            <w:r w:rsidRPr="00335802">
              <w:rPr>
                <w:b/>
                <w:bCs/>
              </w:rPr>
              <w:t>X.sgmc</w:t>
            </w:r>
            <w:proofErr w:type="spellEnd"/>
            <w:proofErr w:type="gramEnd"/>
            <w:r w:rsidRPr="00335802">
              <w:rPr>
                <w:b/>
                <w:bCs/>
              </w:rPr>
              <w:t>)</w:t>
            </w:r>
          </w:p>
        </w:tc>
        <w:tc>
          <w:tcPr>
            <w:tcW w:w="7394" w:type="dxa"/>
          </w:tcPr>
          <w:p w14:paraId="689A054A" w14:textId="5243DAE4"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Otorga autoridad </w:t>
            </w:r>
            <w:r w:rsidR="00A348DD" w:rsidRPr="00A348DD">
              <w:rPr>
                <w:lang w:val="es-ES"/>
              </w:rPr>
              <w:t xml:space="preserve">a la </w:t>
            </w:r>
            <w:r w:rsidR="00A348DD" w:rsidRPr="00335802">
              <w:rPr>
                <w:szCs w:val="22"/>
              </w:rPr>
              <w:t>Comisión</w:t>
            </w:r>
            <w:r w:rsidR="00A348DD" w:rsidRPr="00A348DD">
              <w:rPr>
                <w:lang w:val="es-ES"/>
              </w:rPr>
              <w:t xml:space="preserve"> de Estudio</w:t>
            </w:r>
            <w:r w:rsidR="00BB1F3F">
              <w:rPr>
                <w:lang w:val="es-ES"/>
              </w:rPr>
              <w:t> </w:t>
            </w:r>
            <w:r w:rsidR="00A348DD" w:rsidRPr="00A348DD">
              <w:rPr>
                <w:lang w:val="es-ES"/>
              </w:rPr>
              <w:t>17 para examinar este texto para aprobación (en cuyo caso, seleccione una de las dos opciones ⃝):</w:t>
            </w:r>
          </w:p>
          <w:p w14:paraId="77C9D161"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Sin comentarios o cambios sugeridos</w:t>
            </w:r>
          </w:p>
          <w:p w14:paraId="14726CDA"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30EF18ED" w14:textId="77777777" w:rsidTr="00BB1F3F">
        <w:trPr>
          <w:trHeight w:val="357"/>
          <w:jc w:val="center"/>
        </w:trPr>
        <w:tc>
          <w:tcPr>
            <w:tcW w:w="2245" w:type="dxa"/>
            <w:vMerge/>
            <w:vAlign w:val="center"/>
          </w:tcPr>
          <w:p w14:paraId="5541E676" w14:textId="77777777" w:rsidR="00A348DD" w:rsidRPr="00A348DD" w:rsidRDefault="00A348DD" w:rsidP="00335802">
            <w:pPr>
              <w:jc w:val="center"/>
              <w:rPr>
                <w:b/>
                <w:lang w:val="es-ES"/>
              </w:rPr>
            </w:pPr>
          </w:p>
        </w:tc>
        <w:tc>
          <w:tcPr>
            <w:tcW w:w="7394" w:type="dxa"/>
          </w:tcPr>
          <w:p w14:paraId="5C3323BE" w14:textId="63606225"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A348DD">
              <w:rPr>
                <w:lang w:val="es-ES"/>
              </w:rPr>
              <w:t>17 a fin de examinar este texto para aprobación (se adjuntan los motivos de esta decisión y las posibles modificaciones que permitirían que prosiguieran los trabajos)</w:t>
            </w:r>
          </w:p>
        </w:tc>
      </w:tr>
      <w:tr w:rsidR="00A348DD" w:rsidRPr="00A348DD" w14:paraId="5F69CAAA" w14:textId="77777777" w:rsidTr="00BB1F3F">
        <w:trPr>
          <w:trHeight w:val="380"/>
          <w:jc w:val="center"/>
        </w:trPr>
        <w:tc>
          <w:tcPr>
            <w:tcW w:w="2245" w:type="dxa"/>
            <w:vMerge w:val="restart"/>
            <w:vAlign w:val="center"/>
          </w:tcPr>
          <w:p w14:paraId="5F9BFAF6" w14:textId="77777777" w:rsidR="00A348DD" w:rsidRPr="00335802" w:rsidRDefault="00A348DD" w:rsidP="00335802">
            <w:pPr>
              <w:pStyle w:val="Tabletext0"/>
              <w:jc w:val="center"/>
              <w:rPr>
                <w:b/>
                <w:bCs/>
              </w:rPr>
            </w:pPr>
            <w:r w:rsidRPr="00335802">
              <w:rPr>
                <w:b/>
                <w:bCs/>
              </w:rPr>
              <w:t>Proyecto de Recomendación revisada X.1250</w:t>
            </w:r>
          </w:p>
        </w:tc>
        <w:tc>
          <w:tcPr>
            <w:tcW w:w="7394" w:type="dxa"/>
          </w:tcPr>
          <w:p w14:paraId="7DF7986A" w14:textId="54BB59BE"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Otorga autoridad </w:t>
            </w:r>
            <w:r w:rsidR="00A348DD" w:rsidRPr="00A348DD">
              <w:rPr>
                <w:lang w:val="es-ES"/>
              </w:rPr>
              <w:t>a la Comisión de Estudio</w:t>
            </w:r>
            <w:r w:rsidR="00BB1F3F">
              <w:rPr>
                <w:lang w:val="es-ES"/>
              </w:rPr>
              <w:t> </w:t>
            </w:r>
            <w:r w:rsidR="00A348DD" w:rsidRPr="00A348DD">
              <w:rPr>
                <w:lang w:val="es-ES"/>
              </w:rPr>
              <w:t xml:space="preserve">17 para examinar este texto para aprobación (en cuyo caso, </w:t>
            </w:r>
            <w:r w:rsidR="00A348DD" w:rsidRPr="00335802">
              <w:rPr>
                <w:szCs w:val="22"/>
              </w:rPr>
              <w:t>seleccione</w:t>
            </w:r>
            <w:r w:rsidR="00A348DD" w:rsidRPr="00A348DD">
              <w:rPr>
                <w:lang w:val="es-ES"/>
              </w:rPr>
              <w:t xml:space="preserve"> una de las dos opciones ⃝):</w:t>
            </w:r>
          </w:p>
          <w:p w14:paraId="1E9F0DAD"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Sin comentarios o cambios sugeridos</w:t>
            </w:r>
          </w:p>
          <w:p w14:paraId="56DC605E" w14:textId="77777777" w:rsidR="00A348DD" w:rsidRPr="00A348DD" w:rsidRDefault="00A348DD" w:rsidP="00335802">
            <w:pPr>
              <w:pStyle w:val="Tabletext0"/>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3D18B54C" w14:textId="77777777" w:rsidTr="00BB1F3F">
        <w:trPr>
          <w:trHeight w:val="357"/>
          <w:jc w:val="center"/>
        </w:trPr>
        <w:tc>
          <w:tcPr>
            <w:tcW w:w="2245" w:type="dxa"/>
            <w:vMerge/>
            <w:vAlign w:val="center"/>
          </w:tcPr>
          <w:p w14:paraId="7890D7C3" w14:textId="77777777" w:rsidR="00A348DD" w:rsidRPr="00A348DD" w:rsidRDefault="00A348DD" w:rsidP="00335802">
            <w:pPr>
              <w:pStyle w:val="Tabletext0"/>
              <w:jc w:val="center"/>
              <w:rPr>
                <w:b/>
                <w:bCs/>
              </w:rPr>
            </w:pPr>
          </w:p>
        </w:tc>
        <w:tc>
          <w:tcPr>
            <w:tcW w:w="7394" w:type="dxa"/>
          </w:tcPr>
          <w:p w14:paraId="67B24547" w14:textId="5B1D1B03"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A348DD">
              <w:rPr>
                <w:lang w:val="es-ES"/>
              </w:rPr>
              <w:t>17 a fin de examinar este texto para aprobación (se adjuntan los motivos de esta decisión y las posibles modificaciones que permitirían que prosiguieran los trabajos)</w:t>
            </w:r>
          </w:p>
        </w:tc>
      </w:tr>
      <w:tr w:rsidR="00A348DD" w:rsidRPr="00A348DD" w14:paraId="66583E98" w14:textId="77777777" w:rsidTr="00BB1F3F">
        <w:trPr>
          <w:trHeight w:val="357"/>
          <w:jc w:val="center"/>
        </w:trPr>
        <w:tc>
          <w:tcPr>
            <w:tcW w:w="2245" w:type="dxa"/>
            <w:vMerge w:val="restart"/>
            <w:vAlign w:val="center"/>
          </w:tcPr>
          <w:p w14:paraId="77EFEBCA" w14:textId="77777777" w:rsidR="00A348DD" w:rsidRPr="00335802" w:rsidRDefault="00A348DD" w:rsidP="00BB1F3F">
            <w:pPr>
              <w:pStyle w:val="Tabletext0"/>
              <w:keepNext/>
              <w:keepLines/>
              <w:jc w:val="center"/>
              <w:rPr>
                <w:b/>
                <w:bCs/>
              </w:rPr>
            </w:pPr>
            <w:r w:rsidRPr="00335802">
              <w:rPr>
                <w:b/>
                <w:bCs/>
              </w:rPr>
              <w:t>Proyecto de Recomendación revisada X.1631</w:t>
            </w:r>
          </w:p>
        </w:tc>
        <w:tc>
          <w:tcPr>
            <w:tcW w:w="7394" w:type="dxa"/>
          </w:tcPr>
          <w:p w14:paraId="4A3593A7" w14:textId="5CB7B5AA" w:rsidR="00A348DD" w:rsidRPr="00A348DD" w:rsidRDefault="00335802" w:rsidP="00BB1F3F">
            <w:pPr>
              <w:pStyle w:val="Tabletext0"/>
              <w:keepNext/>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Otorga autoridad </w:t>
            </w:r>
            <w:r w:rsidR="00A348DD" w:rsidRPr="00A348DD">
              <w:rPr>
                <w:lang w:val="es-ES"/>
              </w:rPr>
              <w:t>a la Comisión de Estudio</w:t>
            </w:r>
            <w:r w:rsidR="00BB1F3F">
              <w:rPr>
                <w:lang w:val="es-ES"/>
              </w:rPr>
              <w:t> </w:t>
            </w:r>
            <w:r w:rsidR="00A348DD" w:rsidRPr="00A348DD">
              <w:rPr>
                <w:lang w:val="es-ES"/>
              </w:rPr>
              <w:t>17 para examinar este texto para aprobación (en cuyo caso, seleccione una de las dos opciones ⃝):</w:t>
            </w:r>
          </w:p>
          <w:p w14:paraId="046E3D78" w14:textId="77777777" w:rsidR="00A348DD" w:rsidRPr="00A348DD" w:rsidRDefault="00A348DD" w:rsidP="00BB1F3F">
            <w:pPr>
              <w:pStyle w:val="Tabletext0"/>
              <w:keepNext/>
              <w:tabs>
                <w:tab w:val="clear" w:pos="851"/>
                <w:tab w:val="left" w:pos="906"/>
              </w:tabs>
              <w:ind w:left="482"/>
              <w:rPr>
                <w:lang w:val="es-ES"/>
              </w:rPr>
            </w:pPr>
            <w:r w:rsidRPr="00A348DD">
              <w:rPr>
                <w:lang w:val="es-ES"/>
              </w:rPr>
              <w:t>⃝</w:t>
            </w:r>
            <w:r w:rsidRPr="00A348DD">
              <w:rPr>
                <w:lang w:val="es-ES"/>
              </w:rPr>
              <w:tab/>
              <w:t>Sin comentarios o cambios sugeridos</w:t>
            </w:r>
          </w:p>
          <w:p w14:paraId="1438E93B" w14:textId="77777777" w:rsidR="00A348DD" w:rsidRPr="00A348DD" w:rsidRDefault="00A348DD" w:rsidP="00BB1F3F">
            <w:pPr>
              <w:pStyle w:val="Tabletext0"/>
              <w:keepNext/>
              <w:tabs>
                <w:tab w:val="clear" w:pos="851"/>
                <w:tab w:val="left" w:pos="906"/>
              </w:tabs>
              <w:ind w:left="482"/>
              <w:rPr>
                <w:lang w:val="es-ES"/>
              </w:rPr>
            </w:pPr>
            <w:r w:rsidRPr="00A348DD">
              <w:rPr>
                <w:lang w:val="es-ES"/>
              </w:rPr>
              <w:t>⃝</w:t>
            </w:r>
            <w:r w:rsidRPr="00A348DD">
              <w:rPr>
                <w:lang w:val="es-ES"/>
              </w:rPr>
              <w:tab/>
              <w:t>Se adjuntan los comentarios o cambios sugeridos</w:t>
            </w:r>
          </w:p>
        </w:tc>
      </w:tr>
      <w:tr w:rsidR="00A348DD" w:rsidRPr="00A348DD" w14:paraId="2ACC9AE5" w14:textId="77777777" w:rsidTr="00BB1F3F">
        <w:trPr>
          <w:trHeight w:val="357"/>
          <w:jc w:val="center"/>
        </w:trPr>
        <w:tc>
          <w:tcPr>
            <w:tcW w:w="2245" w:type="dxa"/>
            <w:vMerge/>
          </w:tcPr>
          <w:p w14:paraId="626635F7" w14:textId="77777777" w:rsidR="00A348DD" w:rsidRPr="00A348DD" w:rsidRDefault="00A348DD" w:rsidP="00335802">
            <w:pPr>
              <w:jc w:val="center"/>
              <w:rPr>
                <w:b/>
                <w:lang w:val="es-ES"/>
              </w:rPr>
            </w:pPr>
          </w:p>
        </w:tc>
        <w:tc>
          <w:tcPr>
            <w:tcW w:w="7394" w:type="dxa"/>
          </w:tcPr>
          <w:p w14:paraId="06314264" w14:textId="2219F219" w:rsidR="00A348DD" w:rsidRPr="00A348DD" w:rsidRDefault="00335802" w:rsidP="00335802">
            <w:pPr>
              <w:pStyle w:val="Tabletext0"/>
              <w:tabs>
                <w:tab w:val="clear" w:pos="284"/>
                <w:tab w:val="clear" w:pos="567"/>
                <w:tab w:val="left" w:pos="480"/>
              </w:tabs>
              <w:ind w:left="480" w:hanging="480"/>
              <w:rPr>
                <w:lang w:val="es-ES"/>
              </w:rPr>
            </w:pPr>
            <w:r w:rsidRPr="00C37279">
              <w:rPr>
                <w:szCs w:val="22"/>
              </w:rPr>
              <w:fldChar w:fldCharType="begin">
                <w:ffData>
                  <w:name w:val="Check1"/>
                  <w:enabled/>
                  <w:calcOnExit w:val="0"/>
                  <w:checkBox>
                    <w:sizeAuto/>
                    <w:default w:val="0"/>
                  </w:checkBox>
                </w:ffData>
              </w:fldChar>
            </w:r>
            <w:r w:rsidRPr="00C37279">
              <w:rPr>
                <w:szCs w:val="22"/>
              </w:rPr>
              <w:instrText xml:space="preserve"> FORMCHECKBOX </w:instrText>
            </w:r>
            <w:r w:rsidRPr="00C37279">
              <w:rPr>
                <w:szCs w:val="22"/>
              </w:rPr>
            </w:r>
            <w:r w:rsidRPr="00C37279">
              <w:rPr>
                <w:szCs w:val="22"/>
              </w:rPr>
              <w:fldChar w:fldCharType="separate"/>
            </w:r>
            <w:r w:rsidRPr="00C37279">
              <w:rPr>
                <w:szCs w:val="22"/>
              </w:rPr>
              <w:fldChar w:fldCharType="end"/>
            </w:r>
            <w:r w:rsidR="00A348DD" w:rsidRPr="00A348DD">
              <w:rPr>
                <w:lang w:val="es-ES"/>
              </w:rPr>
              <w:tab/>
            </w:r>
            <w:r w:rsidR="00A348DD" w:rsidRPr="00A348DD">
              <w:rPr>
                <w:b/>
                <w:bCs/>
                <w:lang w:val="es-ES"/>
              </w:rPr>
              <w:t xml:space="preserve">No otorga autoridad </w:t>
            </w:r>
            <w:r w:rsidR="00A348DD" w:rsidRPr="00A348DD">
              <w:rPr>
                <w:lang w:val="es-ES"/>
              </w:rPr>
              <w:t xml:space="preserve">a la </w:t>
            </w:r>
            <w:r w:rsidR="00BB1F3F" w:rsidRPr="00BB1F3F">
              <w:rPr>
                <w:lang w:val="es-ES"/>
              </w:rPr>
              <w:t>Comisión de Estudio</w:t>
            </w:r>
            <w:r w:rsidR="00BB1F3F">
              <w:rPr>
                <w:lang w:val="es-ES"/>
              </w:rPr>
              <w:t> </w:t>
            </w:r>
            <w:r w:rsidR="00A348DD" w:rsidRPr="00A348DD">
              <w:rPr>
                <w:lang w:val="es-ES"/>
              </w:rPr>
              <w:t>17 a fin de examinar este texto para aprobación (se adjuntan los motivos de esta decisión y las posibles modificaciones que permitirían que prosiguieran los trabajos)</w:t>
            </w:r>
          </w:p>
        </w:tc>
      </w:tr>
    </w:tbl>
    <w:p w14:paraId="065F0F3F" w14:textId="77777777" w:rsidR="00A348DD" w:rsidRPr="00A348DD" w:rsidRDefault="00A348DD" w:rsidP="00BB1F3F">
      <w:pPr>
        <w:pStyle w:val="Normalaftertitle0"/>
        <w:rPr>
          <w:lang w:val="pt-BR"/>
        </w:rPr>
      </w:pPr>
      <w:r w:rsidRPr="00A348DD">
        <w:rPr>
          <w:lang w:val="pt-BR"/>
        </w:rPr>
        <w:t>Atentamente,</w:t>
      </w:r>
    </w:p>
    <w:p w14:paraId="37895485" w14:textId="29C2C684" w:rsidR="00101541" w:rsidRPr="003F2262" w:rsidRDefault="00A348DD" w:rsidP="00BB1F3F">
      <w:pPr>
        <w:spacing w:before="840"/>
        <w:rPr>
          <w:lang w:val="es-ES"/>
        </w:rPr>
      </w:pPr>
      <w:r w:rsidRPr="00A348DD">
        <w:rPr>
          <w:highlight w:val="green"/>
          <w:lang w:val="pt-BR"/>
        </w:rPr>
        <w:lastRenderedPageBreak/>
        <w:t>[Nombre]</w:t>
      </w:r>
      <w:r w:rsidR="00BB1F3F">
        <w:rPr>
          <w:lang w:val="pt-BR"/>
        </w:rPr>
        <w:br/>
      </w:r>
      <w:r w:rsidRPr="00A348DD">
        <w:rPr>
          <w:highlight w:val="green"/>
          <w:lang w:val="pt-BR"/>
        </w:rPr>
        <w:t>[Cargo oficial/título]</w:t>
      </w:r>
      <w:r w:rsidR="00BB1F3F">
        <w:rPr>
          <w:lang w:val="pt-BR"/>
        </w:rPr>
        <w:br/>
      </w:r>
      <w:r w:rsidRPr="00A348DD">
        <w:rPr>
          <w:lang w:val="es-ES"/>
        </w:rPr>
        <w:t xml:space="preserve">Administración de </w:t>
      </w:r>
      <w:r w:rsidRPr="00A348DD">
        <w:rPr>
          <w:highlight w:val="green"/>
          <w:lang w:val="es-ES"/>
        </w:rPr>
        <w:t>[Estado Miembro]</w:t>
      </w:r>
    </w:p>
    <w:sectPr w:rsidR="00101541" w:rsidRPr="003F2262" w:rsidSect="00160FEB">
      <w:headerReference w:type="default" r:id="rId36"/>
      <w:footerReference w:type="first" r:id="rId37"/>
      <w:pgSz w:w="11907" w:h="16840" w:code="9"/>
      <w:pgMar w:top="1134" w:right="1134" w:bottom="630" w:left="1134" w:header="567" w:footer="28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270B" w14:textId="77777777" w:rsidR="00D97832" w:rsidRDefault="00D97832">
      <w:r>
        <w:separator/>
      </w:r>
    </w:p>
  </w:endnote>
  <w:endnote w:type="continuationSeparator" w:id="0">
    <w:p w14:paraId="0EF61A8E" w14:textId="77777777" w:rsidR="00D97832" w:rsidRDefault="00D9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2DDA" w14:textId="2A7C35AE"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Tel</w:t>
    </w:r>
    <w:r w:rsidR="00101541">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7F00" w14:textId="77777777" w:rsidR="00D97832" w:rsidRDefault="00D97832">
      <w:r>
        <w:t>____________________</w:t>
      </w:r>
    </w:p>
  </w:footnote>
  <w:footnote w:type="continuationSeparator" w:id="0">
    <w:p w14:paraId="63DA93B5" w14:textId="77777777" w:rsidR="00D97832" w:rsidRDefault="00D9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CB14" w14:textId="4E1E967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6800910" w14:textId="6F243908" w:rsidR="00101541" w:rsidRPr="00303D62" w:rsidRDefault="00101541">
    <w:pPr>
      <w:pStyle w:val="Header"/>
      <w:rPr>
        <w:sz w:val="18"/>
        <w:szCs w:val="18"/>
      </w:rPr>
    </w:pPr>
    <w:r w:rsidRPr="00101541">
      <w:rPr>
        <w:sz w:val="18"/>
        <w:szCs w:val="18"/>
      </w:rPr>
      <w:t xml:space="preserve">Circular TSB </w:t>
    </w:r>
    <w:r w:rsidR="003F2262">
      <w:rPr>
        <w:sz w:val="18"/>
        <w:szCs w:val="18"/>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4C9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68B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2EA6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6C8C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88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C9E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AC81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B85C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167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021F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10"/>
  </w:num>
  <w:num w:numId="2" w16cid:durableId="1345282128">
    <w:abstractNumId w:val="14"/>
  </w:num>
  <w:num w:numId="3" w16cid:durableId="1069613404">
    <w:abstractNumId w:val="12"/>
  </w:num>
  <w:num w:numId="4" w16cid:durableId="374936234">
    <w:abstractNumId w:val="11"/>
  </w:num>
  <w:num w:numId="5" w16cid:durableId="789402292">
    <w:abstractNumId w:val="13"/>
  </w:num>
  <w:num w:numId="6" w16cid:durableId="602349198">
    <w:abstractNumId w:val="9"/>
  </w:num>
  <w:num w:numId="7" w16cid:durableId="294524336">
    <w:abstractNumId w:val="7"/>
  </w:num>
  <w:num w:numId="8" w16cid:durableId="2042170320">
    <w:abstractNumId w:val="6"/>
  </w:num>
  <w:num w:numId="9" w16cid:durableId="830216940">
    <w:abstractNumId w:val="5"/>
  </w:num>
  <w:num w:numId="10" w16cid:durableId="708452654">
    <w:abstractNumId w:val="4"/>
  </w:num>
  <w:num w:numId="11" w16cid:durableId="605502497">
    <w:abstractNumId w:val="8"/>
  </w:num>
  <w:num w:numId="12" w16cid:durableId="87703614">
    <w:abstractNumId w:val="3"/>
  </w:num>
  <w:num w:numId="13" w16cid:durableId="1460803011">
    <w:abstractNumId w:val="2"/>
  </w:num>
  <w:num w:numId="14" w16cid:durableId="1267351717">
    <w:abstractNumId w:val="1"/>
  </w:num>
  <w:num w:numId="15" w16cid:durableId="198681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58"/>
    <w:rsid w:val="00002529"/>
    <w:rsid w:val="00005EBD"/>
    <w:rsid w:val="00020CC0"/>
    <w:rsid w:val="000311AF"/>
    <w:rsid w:val="00042EFD"/>
    <w:rsid w:val="00085662"/>
    <w:rsid w:val="000B1BA2"/>
    <w:rsid w:val="000C382F"/>
    <w:rsid w:val="00101541"/>
    <w:rsid w:val="00110B04"/>
    <w:rsid w:val="001173CC"/>
    <w:rsid w:val="001350B9"/>
    <w:rsid w:val="0014464D"/>
    <w:rsid w:val="00160FEB"/>
    <w:rsid w:val="001A54CC"/>
    <w:rsid w:val="001D3A62"/>
    <w:rsid w:val="00241979"/>
    <w:rsid w:val="00257FB4"/>
    <w:rsid w:val="002E496E"/>
    <w:rsid w:val="00303D62"/>
    <w:rsid w:val="00335367"/>
    <w:rsid w:val="00335802"/>
    <w:rsid w:val="00370C2D"/>
    <w:rsid w:val="003B0CBC"/>
    <w:rsid w:val="003D1E8D"/>
    <w:rsid w:val="003D673B"/>
    <w:rsid w:val="003F2262"/>
    <w:rsid w:val="003F2855"/>
    <w:rsid w:val="00401C20"/>
    <w:rsid w:val="00487833"/>
    <w:rsid w:val="004A7957"/>
    <w:rsid w:val="004C317F"/>
    <w:rsid w:val="004C4144"/>
    <w:rsid w:val="005508CE"/>
    <w:rsid w:val="0055719E"/>
    <w:rsid w:val="0069619E"/>
    <w:rsid w:val="006969B4"/>
    <w:rsid w:val="006E4F7B"/>
    <w:rsid w:val="00766C41"/>
    <w:rsid w:val="00781E2A"/>
    <w:rsid w:val="007933A2"/>
    <w:rsid w:val="0079744B"/>
    <w:rsid w:val="007B6316"/>
    <w:rsid w:val="00814503"/>
    <w:rsid w:val="0081473C"/>
    <w:rsid w:val="008258C2"/>
    <w:rsid w:val="008505BD"/>
    <w:rsid w:val="00850C78"/>
    <w:rsid w:val="0086190D"/>
    <w:rsid w:val="00876165"/>
    <w:rsid w:val="00884D12"/>
    <w:rsid w:val="008C17AD"/>
    <w:rsid w:val="008D02CD"/>
    <w:rsid w:val="00910A87"/>
    <w:rsid w:val="0091370C"/>
    <w:rsid w:val="0095172A"/>
    <w:rsid w:val="009A0BA0"/>
    <w:rsid w:val="009A6DBC"/>
    <w:rsid w:val="00A31158"/>
    <w:rsid w:val="00A348DD"/>
    <w:rsid w:val="00A54E47"/>
    <w:rsid w:val="00AB6E3A"/>
    <w:rsid w:val="00AE7093"/>
    <w:rsid w:val="00B422BC"/>
    <w:rsid w:val="00B43F77"/>
    <w:rsid w:val="00B55A3E"/>
    <w:rsid w:val="00B87E9E"/>
    <w:rsid w:val="00B95F0A"/>
    <w:rsid w:val="00B96180"/>
    <w:rsid w:val="00BA6F31"/>
    <w:rsid w:val="00BB1F3F"/>
    <w:rsid w:val="00BC3052"/>
    <w:rsid w:val="00BD00F6"/>
    <w:rsid w:val="00C116FE"/>
    <w:rsid w:val="00C17AC0"/>
    <w:rsid w:val="00C34772"/>
    <w:rsid w:val="00C5465A"/>
    <w:rsid w:val="00D54642"/>
    <w:rsid w:val="00D767C5"/>
    <w:rsid w:val="00D834E7"/>
    <w:rsid w:val="00D97832"/>
    <w:rsid w:val="00DD77C9"/>
    <w:rsid w:val="00DF3538"/>
    <w:rsid w:val="00E773C3"/>
    <w:rsid w:val="00E839B0"/>
    <w:rsid w:val="00E92C09"/>
    <w:rsid w:val="00F14380"/>
    <w:rsid w:val="00F632ED"/>
    <w:rsid w:val="00F6461F"/>
    <w:rsid w:val="00FB1474"/>
    <w:rsid w:val="00FC416A"/>
    <w:rsid w:val="00FD2B2D"/>
    <w:rsid w:val="00FD56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B0B40"/>
  <w15:docId w15:val="{5B4F3BED-0458-4426-AA5D-B74EAC6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487833"/>
    <w:pPr>
      <w:keepNext/>
      <w:keepLines/>
      <w:tabs>
        <w:tab w:val="clear" w:pos="1191"/>
        <w:tab w:val="clear" w:pos="1588"/>
        <w:tab w:val="clear" w:pos="1985"/>
        <w:tab w:val="left" w:pos="2127"/>
        <w:tab w:val="left" w:pos="2410"/>
        <w:tab w:val="left" w:pos="2921"/>
        <w:tab w:val="left" w:pos="3261"/>
      </w:tabs>
      <w:spacing w:before="2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042EFD"/>
    <w:rPr>
      <w:color w:val="605E5C"/>
      <w:shd w:val="clear" w:color="auto" w:fill="E1DFDD"/>
    </w:rPr>
  </w:style>
  <w:style w:type="table" w:styleId="TableGridLight">
    <w:name w:val="Grid Table Light"/>
    <w:basedOn w:val="TableNormal"/>
    <w:uiPriority w:val="40"/>
    <w:rsid w:val="003358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335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358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9619E"/>
    <w:rPr>
      <w:rFonts w:asciiTheme="minorHAnsi" w:hAnsiTheme="minorHAns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ipr/" TargetMode="External"/><Relationship Id="rId18" Type="http://schemas.openxmlformats.org/officeDocument/2006/relationships/hyperlink" Target="https://www.itu.int/md/meetingdoc.asp?lang=en&amp;parent=T25-SG17-R-0007" TargetMode="External"/><Relationship Id="rId26" Type="http://schemas.openxmlformats.org/officeDocument/2006/relationships/hyperlink" Target="https://www.itu.int/md/meetingdoc.asp?lang=en&amp;parent=T25-SG17-R-0011" TargetMode="External"/><Relationship Id="rId39" Type="http://schemas.openxmlformats.org/officeDocument/2006/relationships/theme" Target="theme/theme1.xml"/><Relationship Id="rId21" Type="http://schemas.openxmlformats.org/officeDocument/2006/relationships/hyperlink" Target="https://www.itu.int/md/T25-SG17-R-0009/es" TargetMode="External"/><Relationship Id="rId34" Type="http://schemas.openxmlformats.org/officeDocument/2006/relationships/hyperlink" Target="https://www.itu.int/md/meetingdoc.asp?lang=en&amp;parent=T25-SG17-R-0013" TargetMode="External"/><Relationship Id="rId7" Type="http://schemas.openxmlformats.org/officeDocument/2006/relationships/endnotes" Target="endnotes.xml"/><Relationship Id="rId12" Type="http://schemas.openxmlformats.org/officeDocument/2006/relationships/hyperlink" Target="http://www.itu.int/ipr/" TargetMode="External"/><Relationship Id="rId17" Type="http://schemas.openxmlformats.org/officeDocument/2006/relationships/hyperlink" Target="https://www.itu.int/md/T25-SG17-R-0007/es" TargetMode="External"/><Relationship Id="rId25" Type="http://schemas.openxmlformats.org/officeDocument/2006/relationships/hyperlink" Target="https://www.itu.int/md/T25-SG17-R-0011/es" TargetMode="External"/><Relationship Id="rId33" Type="http://schemas.openxmlformats.org/officeDocument/2006/relationships/hyperlink" Target="https://www.itu.int/md/T25-SG17-R-0013/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meetingdoc.asp?lang=en&amp;parent=T25-SG17-R-0006" TargetMode="External"/><Relationship Id="rId20" Type="http://schemas.openxmlformats.org/officeDocument/2006/relationships/hyperlink" Target="https://www.itu.int/md/meetingdoc.asp?lang=en&amp;parent=T25-SG17-R-0008" TargetMode="External"/><Relationship Id="rId29" Type="http://schemas.openxmlformats.org/officeDocument/2006/relationships/hyperlink" Target="https://www.itu.int/md/T25-SG17-R-0014/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4/en" TargetMode="External"/><Relationship Id="rId24" Type="http://schemas.openxmlformats.org/officeDocument/2006/relationships/hyperlink" Target="https://www.itu.int/md/meetingdoc.asp?lang=en&amp;parent=T25-SG17-R-0010" TargetMode="External"/><Relationship Id="rId32" Type="http://schemas.openxmlformats.org/officeDocument/2006/relationships/hyperlink" Target="https://www.itu.int/md/meetingdoc.asp?lang=en&amp;parent=T25-SG17-R-0015"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T25-SG17-R-0006/es" TargetMode="External"/><Relationship Id="rId23" Type="http://schemas.openxmlformats.org/officeDocument/2006/relationships/hyperlink" Target="https://www.itu.int/md/T25-SG17-R-0010/es" TargetMode="External"/><Relationship Id="rId28" Type="http://schemas.openxmlformats.org/officeDocument/2006/relationships/hyperlink" Target="https://www.itu.int/md/meetingdoc.asp?lang=en&amp;parent=T25-SG17-R-0012" TargetMode="External"/><Relationship Id="rId36" Type="http://schemas.openxmlformats.org/officeDocument/2006/relationships/header" Target="header1.xml"/><Relationship Id="rId10" Type="http://schemas.openxmlformats.org/officeDocument/2006/relationships/hyperlink" Target="https://www.itu.int/md/T25-SG17-COL-0004/en" TargetMode="External"/><Relationship Id="rId19" Type="http://schemas.openxmlformats.org/officeDocument/2006/relationships/hyperlink" Target="https://www.itu.int/md/T25-SG17-R-0008/es" TargetMode="External"/><Relationship Id="rId31" Type="http://schemas.openxmlformats.org/officeDocument/2006/relationships/hyperlink" Target="https://www.itu.int/md/T25-SG17-R-0015/es"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image" Target="media/image2.png"/><Relationship Id="rId22" Type="http://schemas.openxmlformats.org/officeDocument/2006/relationships/hyperlink" Target="https://www.itu.int/md/meetingdoc.asp?lang=en&amp;parent=T25-SG17-R-0009" TargetMode="External"/><Relationship Id="rId27" Type="http://schemas.openxmlformats.org/officeDocument/2006/relationships/hyperlink" Target="https://www.itu.int/md/T25-SG17-R-0012/es" TargetMode="External"/><Relationship Id="rId30" Type="http://schemas.openxmlformats.org/officeDocument/2006/relationships/hyperlink" Target="https://www.itu.int/md/meetingdoc.asp?lang=en&amp;parent=T25-SG17-R-0014" TargetMode="External"/><Relationship Id="rId35" Type="http://schemas.openxmlformats.org/officeDocument/2006/relationships/hyperlink" Target="mailto:tsbdir@itu.int"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108</TotalTime>
  <Pages>8</Pages>
  <Words>3343</Words>
  <Characters>20657</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23953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Braud, Olivia</cp:lastModifiedBy>
  <cp:revision>11</cp:revision>
  <cp:lastPrinted>2025-08-12T12:37:00Z</cp:lastPrinted>
  <dcterms:created xsi:type="dcterms:W3CDTF">2025-07-30T06:41:00Z</dcterms:created>
  <dcterms:modified xsi:type="dcterms:W3CDTF">2025-08-12T12:37:00Z</dcterms:modified>
</cp:coreProperties>
</file>