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418"/>
        <w:gridCol w:w="3260"/>
        <w:gridCol w:w="3149"/>
        <w:gridCol w:w="1984"/>
        <w:gridCol w:w="6"/>
      </w:tblGrid>
      <w:tr w:rsidR="00FA46A0" w:rsidRPr="00A71EFE" w14:paraId="493727AE" w14:textId="77777777" w:rsidTr="00ED2F1E">
        <w:trPr>
          <w:gridAfter w:val="1"/>
          <w:wAfter w:w="6" w:type="dxa"/>
          <w:trHeight w:val="1282"/>
        </w:trPr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F26A42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F26A42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696DFD0B" w14:textId="77777777" w:rsidR="00FA46A0" w:rsidRPr="00F26A42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F26A42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F26A42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F26A42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2D62E1" w14:textId="77777777" w:rsidR="00FA46A0" w:rsidRPr="00F26A42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F26A42" w14:paraId="0DC86AF3" w14:textId="77777777" w:rsidTr="00414B3C">
        <w:trPr>
          <w:gridAfter w:val="1"/>
          <w:wAfter w:w="6" w:type="dxa"/>
          <w:cantSplit/>
          <w:trHeight w:val="73"/>
        </w:trPr>
        <w:tc>
          <w:tcPr>
            <w:tcW w:w="4678" w:type="dxa"/>
            <w:gridSpan w:val="2"/>
            <w:vAlign w:val="center"/>
          </w:tcPr>
          <w:p w14:paraId="63FA2529" w14:textId="77777777" w:rsidR="00FA46A0" w:rsidRPr="00F26A42" w:rsidRDefault="00FA46A0" w:rsidP="00414B3C">
            <w:pPr>
              <w:pStyle w:val="Tabletext"/>
              <w:spacing w:before="240" w:after="240"/>
              <w:jc w:val="right"/>
              <w:rPr>
                <w:szCs w:val="22"/>
                <w:lang w:val="ru-RU"/>
              </w:rPr>
            </w:pPr>
          </w:p>
        </w:tc>
        <w:tc>
          <w:tcPr>
            <w:tcW w:w="5133" w:type="dxa"/>
            <w:gridSpan w:val="2"/>
            <w:vAlign w:val="center"/>
          </w:tcPr>
          <w:p w14:paraId="0E7085C4" w14:textId="068E8BFC" w:rsidR="00FA46A0" w:rsidRPr="00F26A42" w:rsidRDefault="00DF3447" w:rsidP="00414B3C">
            <w:pPr>
              <w:pStyle w:val="Tabletext"/>
              <w:spacing w:before="240" w:after="240"/>
              <w:rPr>
                <w:szCs w:val="22"/>
                <w:lang w:val="ru-RU"/>
              </w:rPr>
            </w:pPr>
            <w:r w:rsidRPr="00F26A42">
              <w:rPr>
                <w:lang w:val="ru-RU"/>
              </w:rPr>
              <w:t xml:space="preserve">Женева, </w:t>
            </w:r>
            <w:r w:rsidR="00D1428E" w:rsidRPr="00F47160">
              <w:rPr>
                <w:color w:val="000000"/>
                <w:lang w:val="ru-RU"/>
              </w:rPr>
              <w:t>23 июля 2025 года</w:t>
            </w:r>
          </w:p>
        </w:tc>
      </w:tr>
      <w:tr w:rsidR="00B84746" w:rsidRPr="00A71EFE" w14:paraId="21DD573F" w14:textId="77777777" w:rsidTr="00ED2F1E">
        <w:trPr>
          <w:cantSplit/>
          <w:trHeight w:val="306"/>
        </w:trPr>
        <w:tc>
          <w:tcPr>
            <w:tcW w:w="1418" w:type="dxa"/>
          </w:tcPr>
          <w:p w14:paraId="5CBBAF56" w14:textId="77777777" w:rsidR="00B84746" w:rsidRPr="00F26A42" w:rsidRDefault="00B84746" w:rsidP="00414B3C">
            <w:pPr>
              <w:pStyle w:val="Tabletext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Осн</w:t>
            </w:r>
            <w:r w:rsidRPr="00F26A42">
              <w:rPr>
                <w:szCs w:val="22"/>
                <w:lang w:val="ru-RU"/>
              </w:rPr>
              <w:t>.:</w:t>
            </w:r>
          </w:p>
        </w:tc>
        <w:tc>
          <w:tcPr>
            <w:tcW w:w="3260" w:type="dxa"/>
          </w:tcPr>
          <w:p w14:paraId="274265E3" w14:textId="2DC91D24" w:rsidR="00B84746" w:rsidRPr="00F26A42" w:rsidRDefault="00B84746" w:rsidP="00B84746">
            <w:pPr>
              <w:pStyle w:val="Tabletext"/>
              <w:jc w:val="left"/>
              <w:rPr>
                <w:b/>
                <w:bCs/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 xml:space="preserve">Циркуляр </w:t>
            </w:r>
            <w:r w:rsidR="00D1428E">
              <w:rPr>
                <w:b/>
                <w:bCs/>
                <w:szCs w:val="22"/>
                <w:lang w:val="ru-RU"/>
              </w:rPr>
              <w:t>50</w:t>
            </w:r>
            <w:r w:rsidRPr="00F26A42">
              <w:rPr>
                <w:b/>
                <w:bCs/>
                <w:szCs w:val="22"/>
                <w:lang w:val="ru-RU"/>
              </w:rPr>
              <w:t xml:space="preserve"> БСЭ</w:t>
            </w:r>
            <w:r w:rsidRPr="00F26A42">
              <w:rPr>
                <w:b/>
                <w:bCs/>
                <w:szCs w:val="22"/>
                <w:lang w:val="ru-RU"/>
              </w:rPr>
              <w:br/>
            </w:r>
            <w:r w:rsidR="00D1428E" w:rsidRPr="00F47160">
              <w:rPr>
                <w:color w:val="000000"/>
                <w:lang w:val="ru-RU"/>
              </w:rPr>
              <w:t>SG17/XY</w:t>
            </w:r>
          </w:p>
        </w:tc>
        <w:tc>
          <w:tcPr>
            <w:tcW w:w="5139" w:type="dxa"/>
            <w:gridSpan w:val="3"/>
            <w:vMerge w:val="restart"/>
          </w:tcPr>
          <w:p w14:paraId="04E7EB04" w14:textId="73F39979" w:rsidR="00B84746" w:rsidRPr="00F26A42" w:rsidRDefault="00B84746" w:rsidP="00414B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40" w:after="40"/>
              <w:ind w:left="284" w:hanging="284"/>
              <w:jc w:val="left"/>
              <w:textAlignment w:val="auto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Кому</w:t>
            </w:r>
            <w:r w:rsidRPr="00F26A42">
              <w:rPr>
                <w:szCs w:val="22"/>
                <w:lang w:val="ru-RU"/>
              </w:rPr>
              <w:t>:</w:t>
            </w:r>
          </w:p>
          <w:p w14:paraId="1A727018" w14:textId="35BD67D9" w:rsidR="00B84746" w:rsidRPr="00F26A42" w:rsidRDefault="00D1428E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>
              <w:rPr>
                <w:rFonts w:cs="Calibri"/>
                <w:szCs w:val="22"/>
                <w:lang w:val="ru-RU"/>
              </w:rPr>
              <w:t>−</w:t>
            </w:r>
            <w:r w:rsidR="00B84746" w:rsidRPr="00F26A42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30EFCD1F" w14:textId="77777777" w:rsidR="00E30580" w:rsidRPr="00F26A42" w:rsidRDefault="00E30580" w:rsidP="00E3058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Копии</w:t>
            </w:r>
            <w:r w:rsidRPr="00F26A42">
              <w:rPr>
                <w:szCs w:val="22"/>
                <w:lang w:val="ru-RU"/>
              </w:rPr>
              <w:t>:</w:t>
            </w:r>
          </w:p>
          <w:p w14:paraId="081F1570" w14:textId="335E27E8" w:rsidR="00B84746" w:rsidRPr="00F26A42" w:rsidRDefault="00D1428E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b/>
                <w:bCs/>
                <w:szCs w:val="22"/>
                <w:lang w:val="ru-RU"/>
              </w:rPr>
            </w:pPr>
            <w:r>
              <w:rPr>
                <w:rFonts w:cs="Calibri"/>
                <w:szCs w:val="22"/>
                <w:lang w:val="ru-RU"/>
              </w:rPr>
              <w:t>−</w:t>
            </w:r>
            <w:r w:rsidR="00B84746" w:rsidRPr="00F26A42">
              <w:rPr>
                <w:szCs w:val="22"/>
                <w:lang w:val="ru-RU"/>
              </w:rPr>
              <w:tab/>
              <w:t>Членам Сектора МСЭ-Т</w:t>
            </w:r>
          </w:p>
          <w:p w14:paraId="121DBC0C" w14:textId="7B4A95CC" w:rsidR="00B84746" w:rsidRPr="00F26A42" w:rsidRDefault="00D1428E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>
              <w:rPr>
                <w:rFonts w:cs="Calibri"/>
                <w:szCs w:val="22"/>
                <w:lang w:val="ru-RU"/>
              </w:rPr>
              <w:t>−</w:t>
            </w:r>
            <w:r w:rsidR="00B84746" w:rsidRPr="00F26A42">
              <w:rPr>
                <w:szCs w:val="22"/>
                <w:lang w:val="ru-RU"/>
              </w:rPr>
              <w:tab/>
              <w:t>Ассоциированным членам МСЭ-Т</w:t>
            </w:r>
            <w:r w:rsidR="00F12D97" w:rsidRPr="00F26A42">
              <w:rPr>
                <w:szCs w:val="22"/>
                <w:lang w:val="ru-RU"/>
              </w:rPr>
              <w:t xml:space="preserve">, </w:t>
            </w:r>
            <w:r w:rsidR="00F12D97" w:rsidRPr="00F26A42">
              <w:rPr>
                <w:lang w:val="ru-RU"/>
              </w:rPr>
              <w:t xml:space="preserve">участвующим в работе </w:t>
            </w:r>
            <w:r>
              <w:rPr>
                <w:lang w:val="ru-RU"/>
              </w:rPr>
              <w:t>17</w:t>
            </w:r>
            <w:r w:rsidR="00F12D97" w:rsidRPr="00F26A42">
              <w:rPr>
                <w:lang w:val="ru-RU"/>
              </w:rPr>
              <w:noBreakHyphen/>
              <w:t>й Исследовательской комиссии</w:t>
            </w:r>
          </w:p>
          <w:p w14:paraId="16ECAE56" w14:textId="7720B8B9" w:rsidR="00B84746" w:rsidRPr="00F26A42" w:rsidRDefault="00D1428E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>
              <w:rPr>
                <w:rFonts w:cs="Calibri"/>
                <w:szCs w:val="22"/>
                <w:lang w:val="ru-RU"/>
              </w:rPr>
              <w:t>−</w:t>
            </w:r>
            <w:r w:rsidR="00B84746" w:rsidRPr="00F26A42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42C0D163" w14:textId="7DE8EF40" w:rsidR="00B84746" w:rsidRPr="00F26A42" w:rsidRDefault="00D1428E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>
              <w:rPr>
                <w:rFonts w:cs="Calibri"/>
                <w:szCs w:val="22"/>
                <w:lang w:val="ru-RU"/>
              </w:rPr>
              <w:t>−</w:t>
            </w:r>
            <w:r w:rsidR="00B84746" w:rsidRPr="00F26A42">
              <w:rPr>
                <w:szCs w:val="22"/>
                <w:lang w:val="ru-RU"/>
              </w:rPr>
              <w:tab/>
            </w:r>
            <w:r w:rsidR="00F12D97" w:rsidRPr="00F26A42">
              <w:rPr>
                <w:lang w:val="ru-RU"/>
              </w:rPr>
              <w:t xml:space="preserve">Председателю и заместителям </w:t>
            </w:r>
            <w:r w:rsidR="00F26A42" w:rsidRPr="00F26A42">
              <w:rPr>
                <w:lang w:val="ru-RU"/>
              </w:rPr>
              <w:t xml:space="preserve">Председателя </w:t>
            </w:r>
            <w:r w:rsidR="00EA6345" w:rsidRPr="00F26A42">
              <w:rPr>
                <w:lang w:val="ru-RU"/>
              </w:rPr>
              <w:br/>
            </w:r>
            <w:r>
              <w:rPr>
                <w:lang w:val="ru-RU"/>
              </w:rPr>
              <w:t>17</w:t>
            </w:r>
            <w:r w:rsidR="00F12D97" w:rsidRPr="00F26A42">
              <w:rPr>
                <w:lang w:val="ru-RU"/>
              </w:rPr>
              <w:noBreakHyphen/>
              <w:t>й Исследовательской комиссии МСЭ-Т</w:t>
            </w:r>
          </w:p>
          <w:p w14:paraId="7A2D983B" w14:textId="6F36B6CA" w:rsidR="00B84746" w:rsidRPr="00F26A42" w:rsidRDefault="00D1428E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>
              <w:rPr>
                <w:rFonts w:cs="Calibri"/>
                <w:szCs w:val="22"/>
                <w:lang w:val="ru-RU"/>
              </w:rPr>
              <w:t>−</w:t>
            </w:r>
            <w:r w:rsidR="00B84746" w:rsidRPr="00F26A42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78139238" w14:textId="62DFEC1B" w:rsidR="00ED2F1E" w:rsidRPr="00F26A42" w:rsidRDefault="00D1428E" w:rsidP="003E38F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120"/>
              <w:ind w:left="284" w:hanging="284"/>
              <w:jc w:val="left"/>
              <w:rPr>
                <w:szCs w:val="22"/>
                <w:lang w:val="ru-RU"/>
              </w:rPr>
            </w:pPr>
            <w:r>
              <w:rPr>
                <w:rFonts w:cs="Calibri"/>
                <w:szCs w:val="22"/>
                <w:lang w:val="ru-RU"/>
              </w:rPr>
              <w:t>−</w:t>
            </w:r>
            <w:r w:rsidR="00B84746" w:rsidRPr="00F26A42"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  <w:tr w:rsidR="00F5182A" w:rsidRPr="00F26A42" w14:paraId="59643F58" w14:textId="77777777" w:rsidTr="00ED2F1E">
        <w:trPr>
          <w:cantSplit/>
          <w:trHeight w:val="70"/>
        </w:trPr>
        <w:tc>
          <w:tcPr>
            <w:tcW w:w="1418" w:type="dxa"/>
          </w:tcPr>
          <w:p w14:paraId="0F76D4B7" w14:textId="1F5DB193" w:rsidR="00F5182A" w:rsidRPr="00A71EFE" w:rsidRDefault="00F5182A" w:rsidP="00F5182A">
            <w:pPr>
              <w:pStyle w:val="Tabletext"/>
              <w:rPr>
                <w:szCs w:val="22"/>
                <w:lang w:val="ru-RU"/>
              </w:rPr>
            </w:pPr>
            <w:r w:rsidRPr="00A71EFE">
              <w:rPr>
                <w:szCs w:val="22"/>
                <w:lang w:val="ru-RU"/>
              </w:rPr>
              <w:t>Тел</w:t>
            </w:r>
            <w:r w:rsidR="00832E53" w:rsidRPr="00A71EFE">
              <w:rPr>
                <w:szCs w:val="22"/>
                <w:lang w:val="ru-RU"/>
              </w:rPr>
              <w:t>.</w:t>
            </w:r>
            <w:r w:rsidRPr="00A71EFE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5CCB23E1" w14:textId="28FDDB60" w:rsidR="00F5182A" w:rsidRPr="00F26A42" w:rsidRDefault="00B9071B" w:rsidP="00F5182A">
            <w:pPr>
              <w:pStyle w:val="Tabletext"/>
              <w:rPr>
                <w:b/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 xml:space="preserve">+41 22 730 </w:t>
            </w:r>
            <w:r w:rsidR="00D1428E" w:rsidRPr="00F47160">
              <w:rPr>
                <w:color w:val="000000"/>
                <w:lang w:val="ru-RU"/>
              </w:rPr>
              <w:t>6206</w:t>
            </w:r>
          </w:p>
        </w:tc>
        <w:tc>
          <w:tcPr>
            <w:tcW w:w="5139" w:type="dxa"/>
            <w:gridSpan w:val="3"/>
            <w:vMerge/>
          </w:tcPr>
          <w:p w14:paraId="782C5FCD" w14:textId="77777777" w:rsidR="00F5182A" w:rsidRPr="00F26A42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F26A42" w14:paraId="3EF71149" w14:textId="77777777" w:rsidTr="00ED2F1E">
        <w:trPr>
          <w:cantSplit/>
          <w:trHeight w:val="388"/>
        </w:trPr>
        <w:tc>
          <w:tcPr>
            <w:tcW w:w="1418" w:type="dxa"/>
          </w:tcPr>
          <w:p w14:paraId="65A440B2" w14:textId="7E271778" w:rsidR="00F5182A" w:rsidRPr="00A71EFE" w:rsidRDefault="00F5182A" w:rsidP="00764A38">
            <w:pPr>
              <w:pStyle w:val="Tabletext"/>
              <w:rPr>
                <w:szCs w:val="22"/>
                <w:lang w:val="ru-RU"/>
              </w:rPr>
            </w:pPr>
            <w:r w:rsidRPr="00A71EFE">
              <w:rPr>
                <w:szCs w:val="22"/>
                <w:lang w:val="ru-RU"/>
              </w:rPr>
              <w:t>Факс:</w:t>
            </w:r>
          </w:p>
        </w:tc>
        <w:tc>
          <w:tcPr>
            <w:tcW w:w="3260" w:type="dxa"/>
          </w:tcPr>
          <w:p w14:paraId="6952E333" w14:textId="42492A4F" w:rsidR="00F5182A" w:rsidRPr="00F26A42" w:rsidRDefault="00B9071B" w:rsidP="00764A38">
            <w:pPr>
              <w:pStyle w:val="Tabletex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 xml:space="preserve">+41 22 730 </w:t>
            </w:r>
            <w:r w:rsidR="00D1428E" w:rsidRPr="00F47160">
              <w:rPr>
                <w:color w:val="000000"/>
                <w:lang w:val="ru-RU"/>
              </w:rPr>
              <w:t>5853</w:t>
            </w:r>
          </w:p>
        </w:tc>
        <w:tc>
          <w:tcPr>
            <w:tcW w:w="5139" w:type="dxa"/>
            <w:gridSpan w:val="3"/>
            <w:vMerge/>
          </w:tcPr>
          <w:p w14:paraId="2BE30301" w14:textId="77777777" w:rsidR="00F5182A" w:rsidRPr="00F26A42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F26A42" w14:paraId="14553D92" w14:textId="77777777" w:rsidTr="00ED2F1E">
        <w:trPr>
          <w:cantSplit/>
          <w:trHeight w:val="801"/>
        </w:trPr>
        <w:tc>
          <w:tcPr>
            <w:tcW w:w="1418" w:type="dxa"/>
          </w:tcPr>
          <w:p w14:paraId="75DF072E" w14:textId="209F9EC1" w:rsidR="00F5182A" w:rsidRPr="00A71EFE" w:rsidRDefault="00F5182A" w:rsidP="00F5182A">
            <w:pPr>
              <w:pStyle w:val="Tabletext"/>
              <w:rPr>
                <w:szCs w:val="22"/>
                <w:lang w:val="ru-RU"/>
              </w:rPr>
            </w:pPr>
            <w:r w:rsidRPr="00A71EFE">
              <w:rPr>
                <w:szCs w:val="22"/>
                <w:lang w:val="ru-RU"/>
              </w:rPr>
              <w:t>Эл. почта:</w:t>
            </w:r>
          </w:p>
        </w:tc>
        <w:tc>
          <w:tcPr>
            <w:tcW w:w="3260" w:type="dxa"/>
          </w:tcPr>
          <w:p w14:paraId="0823655A" w14:textId="0A22A612" w:rsidR="00F5182A" w:rsidRPr="00F26A42" w:rsidRDefault="00D1428E" w:rsidP="00F12D9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hyperlink r:id="rId12" w:history="1">
              <w:r w:rsidRPr="00F47160">
                <w:rPr>
                  <w:rStyle w:val="Hyperlink"/>
                  <w:szCs w:val="22"/>
                  <w:lang w:val="ru-RU"/>
                </w:rPr>
                <w:t>tsbsg17@itu.int</w:t>
              </w:r>
            </w:hyperlink>
          </w:p>
        </w:tc>
        <w:tc>
          <w:tcPr>
            <w:tcW w:w="5139" w:type="dxa"/>
            <w:gridSpan w:val="3"/>
            <w:vMerge/>
          </w:tcPr>
          <w:p w14:paraId="498BD41D" w14:textId="33BA8E1E" w:rsidR="00F5182A" w:rsidRPr="00F26A42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12D97" w:rsidRPr="00A71EFE" w14:paraId="5C105EF0" w14:textId="77777777" w:rsidTr="00ED2F1E">
        <w:trPr>
          <w:cantSplit/>
        </w:trPr>
        <w:tc>
          <w:tcPr>
            <w:tcW w:w="1418" w:type="dxa"/>
          </w:tcPr>
          <w:p w14:paraId="2527C622" w14:textId="77777777" w:rsidR="00F12D97" w:rsidRPr="00F26A42" w:rsidRDefault="00F12D97" w:rsidP="00F12D97">
            <w:pPr>
              <w:pStyle w:val="Tabletext"/>
              <w:spacing w:before="120" w:after="0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Предмет</w:t>
            </w:r>
            <w:r w:rsidRPr="00F26A42">
              <w:rPr>
                <w:szCs w:val="22"/>
                <w:lang w:val="ru-RU"/>
              </w:rPr>
              <w:t>:</w:t>
            </w:r>
          </w:p>
        </w:tc>
        <w:tc>
          <w:tcPr>
            <w:tcW w:w="8399" w:type="dxa"/>
            <w:gridSpan w:val="4"/>
          </w:tcPr>
          <w:p w14:paraId="01E8D3C2" w14:textId="346046F9" w:rsidR="00F12D97" w:rsidRPr="00F26A42" w:rsidRDefault="00D1428E" w:rsidP="00F12D97">
            <w:pPr>
              <w:pStyle w:val="Tabletext"/>
              <w:spacing w:before="120" w:after="0"/>
              <w:jc w:val="left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bookmarkStart w:id="0" w:name="_Hlk115258431"/>
            <w:r w:rsidRPr="00F47160">
              <w:rPr>
                <w:b/>
                <w:bCs/>
                <w:color w:val="000000"/>
                <w:lang w:val="ru-RU"/>
              </w:rPr>
              <w:t xml:space="preserve">Консультации с Государствами-Членами по проектам новых Рекомендаций МСЭ-T X.1062 (ранее X.shcd), X.1238 (ранее X.sgc-rcs), X.1128 (ранее X.mt-feature), </w:t>
            </w:r>
            <w:r>
              <w:rPr>
                <w:b/>
                <w:bCs/>
                <w:color w:val="000000"/>
                <w:lang w:val="ru-RU"/>
              </w:rPr>
              <w:br/>
            </w:r>
            <w:r w:rsidRPr="00F47160">
              <w:rPr>
                <w:b/>
                <w:bCs/>
                <w:color w:val="000000"/>
                <w:lang w:val="ru-RU"/>
              </w:rPr>
              <w:t xml:space="preserve">X.1129 (ранее X.mt-integrity), X.1130 (ранее X.tg-fdma), X.1457 (ранее X.str-irs), </w:t>
            </w:r>
            <w:r>
              <w:rPr>
                <w:b/>
                <w:bCs/>
                <w:color w:val="000000"/>
                <w:lang w:val="ru-RU"/>
              </w:rPr>
              <w:br/>
            </w:r>
            <w:r w:rsidRPr="00F47160">
              <w:rPr>
                <w:b/>
                <w:bCs/>
                <w:color w:val="000000"/>
                <w:lang w:val="ru-RU"/>
              </w:rPr>
              <w:t>X.1753 (ранее X.gdsml), X.1649 (ранее X.sgmc) и пересмотренных Рекомендаций МСЭ-Т X.1250 и X.1631, по которым сделано заключение и которые предложены для утверждения на собрании 17-й Исследовательской комиссии МСЭ-Т в Женеве 3−11 декабря 2025</w:t>
            </w:r>
            <w:r>
              <w:rPr>
                <w:b/>
                <w:bCs/>
                <w:color w:val="000000"/>
                <w:lang w:val="ru-RU"/>
              </w:rPr>
              <w:t> </w:t>
            </w:r>
            <w:r w:rsidRPr="00F47160">
              <w:rPr>
                <w:b/>
                <w:bCs/>
                <w:color w:val="000000"/>
                <w:lang w:val="ru-RU"/>
              </w:rPr>
              <w:t>года</w:t>
            </w:r>
            <w:bookmarkEnd w:id="0"/>
          </w:p>
        </w:tc>
      </w:tr>
    </w:tbl>
    <w:p w14:paraId="660599B5" w14:textId="77777777" w:rsidR="00414B3C" w:rsidRPr="00F26A42" w:rsidRDefault="00414B3C" w:rsidP="003E38F2">
      <w:pPr>
        <w:spacing w:before="360" w:after="120"/>
        <w:jc w:val="left"/>
        <w:rPr>
          <w:lang w:val="ru-RU"/>
        </w:rPr>
      </w:pPr>
      <w:r w:rsidRPr="00F26A42">
        <w:rPr>
          <w:lang w:val="ru-RU"/>
        </w:rPr>
        <w:t>Уважаемая госпожа,</w:t>
      </w:r>
      <w:r w:rsidRPr="00F26A42">
        <w:rPr>
          <w:lang w:val="ru-RU"/>
        </w:rPr>
        <w:br/>
        <w:t>уважаемый господин,</w:t>
      </w:r>
    </w:p>
    <w:p w14:paraId="449880CC" w14:textId="4371A612" w:rsidR="00D1428E" w:rsidRPr="00F47160" w:rsidRDefault="00F12D97" w:rsidP="00D1428E">
      <w:pPr>
        <w:spacing w:before="80"/>
        <w:rPr>
          <w:szCs w:val="22"/>
          <w:lang w:val="ru-RU"/>
        </w:rPr>
      </w:pPr>
      <w:r w:rsidRPr="00F26A42">
        <w:rPr>
          <w:lang w:val="ru-RU"/>
        </w:rPr>
        <w:t>1</w:t>
      </w:r>
      <w:r w:rsidRPr="00F26A42">
        <w:rPr>
          <w:lang w:val="ru-RU"/>
        </w:rPr>
        <w:tab/>
      </w:r>
      <w:r w:rsidR="00D1428E" w:rsidRPr="00F47160">
        <w:rPr>
          <w:lang w:val="ru-RU"/>
        </w:rPr>
        <w:t>17-я Исследовательская комиссия МСЭ-Т (Безопасность) намерена применить традиционную процедуру утверждения, описанную в разделе 9 Резолюции 1 (Пересм. Женева, 2022 г.) ВАСЭ, для утверждения упомянутых выше проектов Рекомендаций на своем следующем очном собрании, которое состоится в Женеве 3−11 декабря 2025 года. Повестка дня и вся необходимая информация, касающаяся собрания 17</w:t>
      </w:r>
      <w:r w:rsidR="00D1428E" w:rsidRPr="00F47160">
        <w:rPr>
          <w:lang w:val="ru-RU"/>
        </w:rPr>
        <w:noBreakHyphen/>
        <w:t xml:space="preserve">й Исследовательской комиссии МСЭ-T, будет представлена в Коллективном письме </w:t>
      </w:r>
      <w:hyperlink r:id="rId13" w:history="1">
        <w:r w:rsidR="00D1428E" w:rsidRPr="00F47160">
          <w:rPr>
            <w:rStyle w:val="Hyperlink"/>
            <w:rFonts w:asciiTheme="minorHAnsi" w:hAnsiTheme="minorHAnsi" w:cstheme="minorHAnsi"/>
            <w:szCs w:val="22"/>
            <w:lang w:val="ru-RU"/>
          </w:rPr>
          <w:t>4/17</w:t>
        </w:r>
      </w:hyperlink>
      <w:r w:rsidR="00D1428E" w:rsidRPr="00F47160">
        <w:rPr>
          <w:lang w:val="ru-RU"/>
        </w:rPr>
        <w:t>.</w:t>
      </w:r>
      <w:hyperlink r:id="rId14" w:history="1"/>
    </w:p>
    <w:p w14:paraId="2991EEDF" w14:textId="77777777" w:rsidR="00D1428E" w:rsidRPr="00F47160" w:rsidRDefault="00D1428E" w:rsidP="00D1428E">
      <w:pPr>
        <w:spacing w:before="80"/>
        <w:rPr>
          <w:szCs w:val="22"/>
          <w:lang w:val="ru-RU"/>
        </w:rPr>
      </w:pPr>
      <w:r w:rsidRPr="00F47160">
        <w:rPr>
          <w:lang w:val="ru-RU"/>
        </w:rPr>
        <w:t>2</w:t>
      </w:r>
      <w:r w:rsidRPr="00F47160">
        <w:rPr>
          <w:lang w:val="ru-RU"/>
        </w:rPr>
        <w:tab/>
        <w:t xml:space="preserve">Названия, резюме предлагаемых к утверждению проектов Рекомендаций МСЭ-Т и указание на место их размещения содержатся в </w:t>
      </w:r>
      <w:r w:rsidRPr="00F47160">
        <w:rPr>
          <w:b/>
          <w:bCs/>
          <w:lang w:val="ru-RU"/>
        </w:rPr>
        <w:t>Приложении 1</w:t>
      </w:r>
      <w:r w:rsidRPr="00F47160">
        <w:rPr>
          <w:lang w:val="ru-RU"/>
        </w:rPr>
        <w:t>.</w:t>
      </w:r>
    </w:p>
    <w:p w14:paraId="5E85B5E7" w14:textId="77777777" w:rsidR="00D1428E" w:rsidRPr="00F47160" w:rsidRDefault="00D1428E" w:rsidP="00D1428E">
      <w:pPr>
        <w:spacing w:before="80"/>
        <w:rPr>
          <w:szCs w:val="22"/>
          <w:lang w:val="ru-RU"/>
        </w:rPr>
      </w:pPr>
      <w:r w:rsidRPr="00F47160">
        <w:rPr>
          <w:lang w:val="ru-RU"/>
        </w:rPr>
        <w:t>ПРИМЕЧАНИЕ 1 БСЭ. – Ни для одного из этих текстов, по которым сделаны заключения, не было представлено обоснования согласно Рекомендации A.5 МСЭ-Т.</w:t>
      </w:r>
    </w:p>
    <w:p w14:paraId="4AA05767" w14:textId="77777777" w:rsidR="00D1428E" w:rsidRPr="00F47160" w:rsidRDefault="00D1428E" w:rsidP="00D1428E">
      <w:pPr>
        <w:spacing w:before="80"/>
        <w:rPr>
          <w:szCs w:val="22"/>
          <w:lang w:val="ru-RU"/>
        </w:rPr>
      </w:pPr>
      <w:r w:rsidRPr="00F47160">
        <w:rPr>
          <w:lang w:val="ru-RU"/>
        </w:rPr>
        <w:t xml:space="preserve">ПРИМЕЧАНИЕ 2 БСЭ. – На дату настоящего Циркуляра БСЭ не получило в отношении указанных проектов текстов каких-либо заявлений в соответствии с политикой в области прав интеллектуальной собственности (ПИС). Для получения актуальной информации членам предлагается обращаться к базе данных ПИС по адресу: </w:t>
      </w:r>
      <w:hyperlink r:id="rId15" w:history="1">
        <w:r w:rsidRPr="00F47160">
          <w:rPr>
            <w:rStyle w:val="Hyperlink"/>
            <w:lang w:val="ru-RU"/>
          </w:rPr>
          <w:t>www.itu.int/ipr/</w:t>
        </w:r>
      </w:hyperlink>
      <w:r w:rsidRPr="00F47160">
        <w:rPr>
          <w:lang w:val="ru-RU"/>
        </w:rPr>
        <w:t>.</w:t>
      </w:r>
      <w:hyperlink r:id="rId16" w:history="1"/>
    </w:p>
    <w:p w14:paraId="0445E742" w14:textId="71786DC2" w:rsidR="00D1428E" w:rsidRPr="00F47160" w:rsidRDefault="00D1428E" w:rsidP="00D1428E">
      <w:pPr>
        <w:spacing w:before="80"/>
        <w:rPr>
          <w:szCs w:val="22"/>
          <w:lang w:val="ru-RU"/>
        </w:rPr>
      </w:pPr>
      <w:r w:rsidRPr="00F47160">
        <w:rPr>
          <w:lang w:val="ru-RU"/>
        </w:rPr>
        <w:t>3</w:t>
      </w:r>
      <w:r w:rsidRPr="00F47160">
        <w:rPr>
          <w:lang w:val="ru-RU"/>
        </w:rPr>
        <w:tab/>
        <w:t xml:space="preserve">Настоящий Циркуляр открывает официальные консультации с Государствами − Членами МСЭ относительно возможности рассмотрения этих текстов с целью их утверждения на предстоящем собрании в соответствии с п. 9.4 Резолюции 1. Государствам-Членам предлагается заполнить содержащуюся в </w:t>
      </w:r>
      <w:r w:rsidRPr="00F47160">
        <w:rPr>
          <w:b/>
          <w:bCs/>
          <w:lang w:val="ru-RU"/>
        </w:rPr>
        <w:t>Приложении 2</w:t>
      </w:r>
      <w:r w:rsidRPr="00F47160">
        <w:rPr>
          <w:lang w:val="ru-RU"/>
        </w:rPr>
        <w:t xml:space="preserve"> форму и вернуть ее не позднее 23 час. 59 мин. UTC </w:t>
      </w:r>
      <w:r w:rsidRPr="00F47160">
        <w:rPr>
          <w:b/>
          <w:bCs/>
          <w:lang w:val="ru-RU"/>
        </w:rPr>
        <w:t>21 ноября 2025</w:t>
      </w:r>
      <w:r>
        <w:rPr>
          <w:b/>
          <w:bCs/>
          <w:lang w:val="ru-RU"/>
        </w:rPr>
        <w:t> </w:t>
      </w:r>
      <w:r w:rsidRPr="00F47160">
        <w:rPr>
          <w:b/>
          <w:bCs/>
          <w:lang w:val="ru-RU"/>
        </w:rPr>
        <w:t>года</w:t>
      </w:r>
      <w:r w:rsidRPr="00F47160">
        <w:rPr>
          <w:lang w:val="ru-RU"/>
        </w:rPr>
        <w:t>.</w:t>
      </w:r>
    </w:p>
    <w:p w14:paraId="08C5847B" w14:textId="77777777" w:rsidR="00D1428E" w:rsidRPr="00F47160" w:rsidRDefault="00D1428E" w:rsidP="00D1428E">
      <w:pPr>
        <w:keepNext/>
        <w:keepLines/>
        <w:spacing w:before="80"/>
        <w:rPr>
          <w:szCs w:val="22"/>
          <w:lang w:val="ru-RU"/>
        </w:rPr>
      </w:pPr>
      <w:r w:rsidRPr="00F47160">
        <w:rPr>
          <w:lang w:val="ru-RU"/>
        </w:rPr>
        <w:lastRenderedPageBreak/>
        <w:t>4</w:t>
      </w:r>
      <w:r w:rsidRPr="00F47160">
        <w:rPr>
          <w:lang w:val="ru-RU"/>
        </w:rPr>
        <w:tab/>
        <w:t>Если в своих ответах 70% или более Государств-Членов поддержат рассмотрение с целью утверждения, то одно пленарное заседание будет посвящено применению процедуры утверждения. Государства-Члены, которые не предоставят полномочий для осуществления процедуры, должны сообщить Директору БСЭ причины такого мнения и указать, какие возможные изменения могли бы способствовать продолжению работы.</w:t>
      </w:r>
    </w:p>
    <w:p w14:paraId="1C780A53" w14:textId="3B636C11" w:rsidR="00D1428E" w:rsidRPr="00F47160" w:rsidRDefault="00D1428E" w:rsidP="00D1428E">
      <w:pPr>
        <w:keepNext/>
        <w:keepLines/>
        <w:spacing w:before="80"/>
        <w:rPr>
          <w:szCs w:val="22"/>
          <w:lang w:val="ru-RU"/>
        </w:rPr>
      </w:pPr>
      <w:r w:rsidRPr="00F47160">
        <w:rPr>
          <w:lang w:val="ru-RU"/>
        </w:rPr>
        <w:t>С уважением,</w:t>
      </w:r>
    </w:p>
    <w:p w14:paraId="0F1C6E01" w14:textId="703593C7" w:rsidR="00414B3C" w:rsidRPr="00F26A42" w:rsidRDefault="00F60E73" w:rsidP="00A71EFE">
      <w:pPr>
        <w:spacing w:before="720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35A0A5DF" wp14:editId="29B7829D">
            <wp:simplePos x="0" y="0"/>
            <wp:positionH relativeFrom="column">
              <wp:posOffset>-15240</wp:posOffset>
            </wp:positionH>
            <wp:positionV relativeFrom="paragraph">
              <wp:posOffset>66675</wp:posOffset>
            </wp:positionV>
            <wp:extent cx="768389" cy="342918"/>
            <wp:effectExtent l="0" t="0" r="0" b="0"/>
            <wp:wrapNone/>
            <wp:docPr id="110194249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94249" name="Picture 1" descr="A black text on a white background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89" cy="342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38F2" w:rsidRPr="00F26A42">
        <w:rPr>
          <w:lang w:val="ru-RU"/>
        </w:rPr>
        <w:t>Сейдзо Оноэ</w:t>
      </w:r>
      <w:r w:rsidR="00414B3C" w:rsidRPr="00F26A42">
        <w:rPr>
          <w:lang w:val="ru-RU"/>
        </w:rPr>
        <w:t xml:space="preserve"> </w:t>
      </w:r>
      <w:r w:rsidR="00414B3C" w:rsidRPr="00F26A42">
        <w:rPr>
          <w:lang w:val="ru-RU"/>
        </w:rPr>
        <w:br/>
        <w:t xml:space="preserve">Директор Бюро </w:t>
      </w:r>
      <w:r w:rsidR="00414B3C" w:rsidRPr="00F26A42">
        <w:rPr>
          <w:lang w:val="ru-RU"/>
        </w:rPr>
        <w:br/>
        <w:t>стандартизации электросвязи</w:t>
      </w:r>
    </w:p>
    <w:p w14:paraId="40948413" w14:textId="085E6D79" w:rsidR="00C62B05" w:rsidRPr="00F26A42" w:rsidRDefault="00C62B05" w:rsidP="00D1428E">
      <w:pPr>
        <w:spacing w:before="1440"/>
        <w:jc w:val="left"/>
        <w:rPr>
          <w:lang w:val="ru-RU"/>
        </w:rPr>
      </w:pPr>
      <w:r w:rsidRPr="00F26A42">
        <w:rPr>
          <w:b/>
          <w:bCs/>
          <w:lang w:val="ru-RU"/>
        </w:rPr>
        <w:t>Приложения</w:t>
      </w:r>
      <w:r w:rsidRPr="00F26A42">
        <w:rPr>
          <w:lang w:val="ru-RU"/>
        </w:rPr>
        <w:t>: 2</w:t>
      </w:r>
      <w:r w:rsidRPr="00F26A42">
        <w:rPr>
          <w:lang w:val="ru-RU"/>
        </w:rPr>
        <w:br w:type="page"/>
      </w:r>
    </w:p>
    <w:p w14:paraId="5384ECF1" w14:textId="77777777" w:rsidR="00713D99" w:rsidRPr="00F26A42" w:rsidRDefault="00713D99" w:rsidP="00BF1038">
      <w:pPr>
        <w:pStyle w:val="AnnexNo"/>
        <w:rPr>
          <w:lang w:val="ru-RU"/>
        </w:rPr>
      </w:pPr>
      <w:r w:rsidRPr="00F26A42">
        <w:rPr>
          <w:lang w:val="ru-RU"/>
        </w:rPr>
        <w:lastRenderedPageBreak/>
        <w:t>ПРИЛОЖЕНИЕ 1</w:t>
      </w:r>
    </w:p>
    <w:p w14:paraId="2D82A9A7" w14:textId="3C2FC29A" w:rsidR="00713D99" w:rsidRPr="00F26A42" w:rsidRDefault="00D1428E" w:rsidP="00BF1038">
      <w:pPr>
        <w:pStyle w:val="Annextitle"/>
        <w:rPr>
          <w:lang w:val="ru-RU"/>
        </w:rPr>
      </w:pPr>
      <w:r w:rsidRPr="005102E4">
        <w:rPr>
          <w:bCs/>
          <w:lang w:val="ru-RU"/>
        </w:rPr>
        <w:t>Резюме и указание на место размещения проектов новых Рекомендаций МСЭ-T X.1062 (ранее X.shcd), X.1238 (ранее X.sgc-rcs), X.1128 (ранее X.mt-feature), X.1129</w:t>
      </w:r>
      <w:r>
        <w:rPr>
          <w:bCs/>
          <w:lang w:val="ru-RU"/>
        </w:rPr>
        <w:t> </w:t>
      </w:r>
      <w:r w:rsidRPr="005102E4">
        <w:rPr>
          <w:bCs/>
          <w:lang w:val="ru-RU"/>
        </w:rPr>
        <w:t>(ранее X.mt-integrity), X.1130 (ранее X.tg-fdma), X.1457 (ранее X.str-irs), X.1753</w:t>
      </w:r>
      <w:r>
        <w:rPr>
          <w:bCs/>
          <w:lang w:val="ru-RU"/>
        </w:rPr>
        <w:t> </w:t>
      </w:r>
      <w:r w:rsidRPr="005102E4">
        <w:rPr>
          <w:bCs/>
          <w:lang w:val="ru-RU"/>
        </w:rPr>
        <w:t>(ранее X.gdsml), X.1649 (ранее X.sgmc) и пересмотренных Рекомендаций МСЭ-Т X.1250 и X.1631</w:t>
      </w:r>
      <w:r>
        <w:rPr>
          <w:bCs/>
          <w:lang w:val="ru-RU"/>
        </w:rPr>
        <w:t>, по которым сделано заключение</w:t>
      </w:r>
    </w:p>
    <w:p w14:paraId="08B325D1" w14:textId="7190D9F4" w:rsidR="00713D99" w:rsidRPr="00F26A42" w:rsidRDefault="00BF1038" w:rsidP="00BF1038">
      <w:pPr>
        <w:pStyle w:val="Heading1"/>
        <w:rPr>
          <w:szCs w:val="22"/>
          <w:lang w:val="ru-RU"/>
        </w:rPr>
      </w:pPr>
      <w:bookmarkStart w:id="1" w:name="lt_pId070"/>
      <w:r w:rsidRPr="00F26A42">
        <w:rPr>
          <w:szCs w:val="22"/>
          <w:lang w:val="ru-RU"/>
        </w:rPr>
        <w:t>1</w:t>
      </w:r>
      <w:r w:rsidRPr="00F26A42">
        <w:rPr>
          <w:szCs w:val="22"/>
          <w:lang w:val="ru-RU"/>
        </w:rPr>
        <w:tab/>
      </w:r>
      <w:bookmarkEnd w:id="1"/>
      <w:r w:rsidR="00D1428E" w:rsidRPr="005102E4">
        <w:rPr>
          <w:lang w:val="ru-RU"/>
        </w:rPr>
        <w:t xml:space="preserve">Проект новой Рекомендации МСЭ-Т </w:t>
      </w:r>
      <w:r w:rsidR="00D1428E" w:rsidRPr="0030641A">
        <w:rPr>
          <w:sz w:val="24"/>
          <w:szCs w:val="24"/>
          <w:lang w:val="fr-FR"/>
        </w:rPr>
        <w:t>X</w:t>
      </w:r>
      <w:r w:rsidR="00D1428E" w:rsidRPr="00E94FFF">
        <w:rPr>
          <w:sz w:val="24"/>
          <w:szCs w:val="24"/>
          <w:lang w:val="ru-RU"/>
        </w:rPr>
        <w:t xml:space="preserve">.1062 </w:t>
      </w:r>
      <w:r w:rsidR="00D1428E" w:rsidRPr="005102E4">
        <w:rPr>
          <w:lang w:val="ru-RU"/>
        </w:rPr>
        <w:t xml:space="preserve">(ранее – </w:t>
      </w:r>
      <w:r w:rsidR="00D1428E" w:rsidRPr="0030641A">
        <w:rPr>
          <w:sz w:val="24"/>
          <w:szCs w:val="24"/>
          <w:lang w:val="fr-FR"/>
        </w:rPr>
        <w:t>X</w:t>
      </w:r>
      <w:r w:rsidR="00D1428E" w:rsidRPr="00E154BA">
        <w:rPr>
          <w:sz w:val="24"/>
          <w:szCs w:val="24"/>
          <w:lang w:val="ru-RU"/>
        </w:rPr>
        <w:t>.</w:t>
      </w:r>
      <w:proofErr w:type="spellStart"/>
      <w:r w:rsidR="00D1428E" w:rsidRPr="0030641A">
        <w:rPr>
          <w:sz w:val="24"/>
          <w:szCs w:val="24"/>
          <w:lang w:val="fr-FR"/>
        </w:rPr>
        <w:t>shcd</w:t>
      </w:r>
      <w:proofErr w:type="spellEnd"/>
      <w:r w:rsidR="00D1428E" w:rsidRPr="005102E4">
        <w:rPr>
          <w:lang w:val="ru-RU"/>
        </w:rPr>
        <w:t>) [</w:t>
      </w:r>
      <w:hyperlink r:id="rId18" w:history="1">
        <w:r w:rsidR="00D1428E" w:rsidRPr="00D1428E">
          <w:rPr>
            <w:rStyle w:val="Hyperlink"/>
            <w:bCs/>
            <w:szCs w:val="26"/>
            <w:lang w:val="ru-RU"/>
          </w:rPr>
          <w:t>SG17-R6</w:t>
        </w:r>
      </w:hyperlink>
      <w:r w:rsidR="00D1428E" w:rsidRPr="005102E4">
        <w:rPr>
          <w:lang w:val="ru-RU"/>
        </w:rPr>
        <w:t>]</w:t>
      </w:r>
    </w:p>
    <w:p w14:paraId="5BBE749A" w14:textId="6A501312" w:rsidR="00713D99" w:rsidRPr="00C76AC6" w:rsidRDefault="00D1428E" w:rsidP="00C76AC6">
      <w:pPr>
        <w:rPr>
          <w:lang w:val="ru-RU"/>
        </w:rPr>
      </w:pPr>
      <w:r w:rsidRPr="00E03D34">
        <w:rPr>
          <w:lang w:val="ru-RU"/>
        </w:rPr>
        <w:t xml:space="preserve">Рамочная основа </w:t>
      </w:r>
      <w:r w:rsidRPr="005102E4">
        <w:rPr>
          <w:lang w:val="ru-RU"/>
        </w:rPr>
        <w:t>для развития кадрового потенциала в области безопасности</w:t>
      </w:r>
    </w:p>
    <w:p w14:paraId="348C2232" w14:textId="77777777" w:rsidR="00713D99" w:rsidRPr="00F26A42" w:rsidRDefault="00713D99" w:rsidP="001A1F24">
      <w:pPr>
        <w:pStyle w:val="Headingb"/>
        <w:rPr>
          <w:lang w:val="ru-RU"/>
        </w:rPr>
      </w:pPr>
      <w:r w:rsidRPr="00F26A42">
        <w:rPr>
          <w:lang w:val="ru-RU"/>
        </w:rPr>
        <w:t>Резюме</w:t>
      </w:r>
    </w:p>
    <w:p w14:paraId="5BB54581" w14:textId="3B8890E5" w:rsidR="008A0595" w:rsidRPr="00F26A42" w:rsidRDefault="00D1428E" w:rsidP="008A0595">
      <w:pPr>
        <w:rPr>
          <w:szCs w:val="22"/>
          <w:lang w:val="ru-RU"/>
        </w:rPr>
      </w:pPr>
      <w:bookmarkStart w:id="2" w:name="lt_pId079"/>
      <w:r w:rsidRPr="00E03D34">
        <w:rPr>
          <w:lang w:val="ru-RU"/>
        </w:rPr>
        <w:t>Кибербезопасность – это обширная и постоянно развивающаяся область, требующая непрерывного обучения и развития навыков. В настоящей Рекомендации определена рамочная основа для развития кадрового потенциала в области безопасности, которая содержит руководящие указания для подготовки специалистов-практиков и квалифицированных сотрудников в области безопасности путем развития их компетенций и учета их навыков и знаний в области безопасности в организации</w:t>
      </w:r>
      <w:r w:rsidR="000A2556" w:rsidRPr="00F26A42">
        <w:rPr>
          <w:szCs w:val="22"/>
          <w:lang w:val="ru-RU" w:eastAsia="ja-JP"/>
        </w:rPr>
        <w:t>.</w:t>
      </w:r>
    </w:p>
    <w:p w14:paraId="430BDFD4" w14:textId="77777777" w:rsidR="00D1428E" w:rsidRPr="00D1428E" w:rsidRDefault="00BF1038" w:rsidP="00D1428E">
      <w:pPr>
        <w:pStyle w:val="Heading1"/>
        <w:rPr>
          <w:lang w:val="ru-RU"/>
        </w:rPr>
      </w:pPr>
      <w:r w:rsidRPr="00D1428E">
        <w:rPr>
          <w:lang w:val="ru-RU"/>
        </w:rPr>
        <w:t>2</w:t>
      </w:r>
      <w:r w:rsidRPr="00D1428E">
        <w:rPr>
          <w:lang w:val="ru-RU"/>
        </w:rPr>
        <w:tab/>
      </w:r>
      <w:bookmarkEnd w:id="2"/>
      <w:r w:rsidR="00D1428E" w:rsidRPr="005102E4">
        <w:rPr>
          <w:lang w:val="ru-RU"/>
        </w:rPr>
        <w:t>Проект новой Рекомендации МСЭ-T X.1238 (ранее – X.sgc-rcs) [</w:t>
      </w:r>
      <w:hyperlink r:id="rId19" w:history="1">
        <w:r w:rsidR="00D1428E" w:rsidRPr="00D1428E">
          <w:rPr>
            <w:rStyle w:val="Hyperlink"/>
            <w:bCs/>
            <w:szCs w:val="26"/>
            <w:lang w:val="ru-RU"/>
          </w:rPr>
          <w:t>SG17-R7</w:t>
        </w:r>
      </w:hyperlink>
      <w:r w:rsidR="00D1428E" w:rsidRPr="005102E4">
        <w:rPr>
          <w:lang w:val="ru-RU"/>
        </w:rPr>
        <w:t>]</w:t>
      </w:r>
      <w:hyperlink r:id="rId20" w:history="1"/>
    </w:p>
    <w:p w14:paraId="3996B0D7" w14:textId="77777777" w:rsidR="00D1428E" w:rsidRPr="005102E4" w:rsidRDefault="00D1428E" w:rsidP="00C76AC6">
      <w:pPr>
        <w:rPr>
          <w:lang w:val="ru-RU"/>
        </w:rPr>
      </w:pPr>
      <w:r w:rsidRPr="005102E4">
        <w:rPr>
          <w:lang w:val="ru-RU"/>
        </w:rPr>
        <w:t>Руководящие принципы противодействия спаму в сообщениях услуг связи с расширенными возможностями (RCS)</w:t>
      </w:r>
    </w:p>
    <w:p w14:paraId="650B065D" w14:textId="77777777" w:rsidR="00D1428E" w:rsidRPr="005102E4" w:rsidRDefault="00D1428E" w:rsidP="003F3511">
      <w:pPr>
        <w:pStyle w:val="Headingb"/>
        <w:rPr>
          <w:lang w:val="ru-RU"/>
        </w:rPr>
      </w:pPr>
      <w:r w:rsidRPr="005102E4">
        <w:rPr>
          <w:lang w:val="ru-RU"/>
        </w:rPr>
        <w:t>Резюме</w:t>
      </w:r>
    </w:p>
    <w:p w14:paraId="73000AF4" w14:textId="77777777" w:rsidR="00D1428E" w:rsidRPr="005102E4" w:rsidRDefault="00D1428E" w:rsidP="00D1428E">
      <w:pPr>
        <w:rPr>
          <w:lang w:val="ru-RU"/>
        </w:rPr>
      </w:pPr>
      <w:r w:rsidRPr="005102E4">
        <w:rPr>
          <w:lang w:val="ru-RU"/>
        </w:rPr>
        <w:t xml:space="preserve">В </w:t>
      </w:r>
      <w:r>
        <w:rPr>
          <w:lang w:val="ru-RU"/>
        </w:rPr>
        <w:t>настоящей</w:t>
      </w:r>
      <w:r w:rsidRPr="005102E4">
        <w:rPr>
          <w:lang w:val="ru-RU"/>
        </w:rPr>
        <w:t xml:space="preserve"> Рекомендации </w:t>
      </w:r>
      <w:r>
        <w:rPr>
          <w:lang w:val="ru-RU"/>
        </w:rPr>
        <w:t xml:space="preserve">описаны </w:t>
      </w:r>
      <w:r w:rsidRPr="005102E4">
        <w:rPr>
          <w:lang w:val="ru-RU"/>
        </w:rPr>
        <w:t xml:space="preserve">руководящие принципы и технические средства, </w:t>
      </w:r>
      <w:r>
        <w:rPr>
          <w:lang w:val="ru-RU"/>
        </w:rPr>
        <w:t>помогающие</w:t>
      </w:r>
      <w:r w:rsidRPr="005102E4">
        <w:rPr>
          <w:lang w:val="ru-RU"/>
        </w:rPr>
        <w:t xml:space="preserve"> поставщик</w:t>
      </w:r>
      <w:r>
        <w:rPr>
          <w:lang w:val="ru-RU"/>
        </w:rPr>
        <w:t>ам</w:t>
      </w:r>
      <w:r w:rsidRPr="005102E4">
        <w:rPr>
          <w:lang w:val="ru-RU"/>
        </w:rPr>
        <w:t xml:space="preserve"> услуг связи с расширенными возможностями (RCS) предотвращ</w:t>
      </w:r>
      <w:r>
        <w:rPr>
          <w:lang w:val="ru-RU"/>
        </w:rPr>
        <w:t xml:space="preserve">ать </w:t>
      </w:r>
      <w:r w:rsidRPr="005102E4">
        <w:rPr>
          <w:lang w:val="ru-RU"/>
        </w:rPr>
        <w:t>распространени</w:t>
      </w:r>
      <w:r>
        <w:rPr>
          <w:lang w:val="ru-RU"/>
        </w:rPr>
        <w:t>е</w:t>
      </w:r>
      <w:r w:rsidRPr="005102E4">
        <w:rPr>
          <w:lang w:val="ru-RU"/>
        </w:rPr>
        <w:t xml:space="preserve"> спама </w:t>
      </w:r>
      <w:r>
        <w:rPr>
          <w:lang w:val="ru-RU"/>
        </w:rPr>
        <w:t>с учетом</w:t>
      </w:r>
      <w:r w:rsidRPr="005102E4">
        <w:rPr>
          <w:lang w:val="ru-RU"/>
        </w:rPr>
        <w:t xml:space="preserve"> особенностей RCS, а также </w:t>
      </w:r>
      <w:r>
        <w:rPr>
          <w:lang w:val="ru-RU"/>
        </w:rPr>
        <w:t xml:space="preserve">определен </w:t>
      </w:r>
      <w:r w:rsidRPr="005102E4">
        <w:rPr>
          <w:lang w:val="ru-RU"/>
        </w:rPr>
        <w:t xml:space="preserve">механизм предотвращения и контроля спама, поддерживаемый клиентом RCS. </w:t>
      </w:r>
    </w:p>
    <w:p w14:paraId="63B1256E" w14:textId="77777777" w:rsidR="00D1428E" w:rsidRPr="00752624" w:rsidRDefault="00D1428E" w:rsidP="00D1428E">
      <w:pPr>
        <w:rPr>
          <w:lang w:val="ru-RU"/>
        </w:rPr>
      </w:pPr>
      <w:r w:rsidRPr="005102E4">
        <w:rPr>
          <w:lang w:val="ru-RU"/>
        </w:rPr>
        <w:t xml:space="preserve">В </w:t>
      </w:r>
      <w:r>
        <w:rPr>
          <w:lang w:val="ru-RU"/>
        </w:rPr>
        <w:t>настоящей</w:t>
      </w:r>
      <w:r w:rsidRPr="005102E4">
        <w:rPr>
          <w:lang w:val="ru-RU"/>
        </w:rPr>
        <w:t xml:space="preserve"> Рекомендации использ</w:t>
      </w:r>
      <w:r>
        <w:rPr>
          <w:lang w:val="ru-RU"/>
        </w:rPr>
        <w:t xml:space="preserve">ована </w:t>
      </w:r>
      <w:r w:rsidRPr="005102E4">
        <w:rPr>
          <w:lang w:val="ru-RU"/>
        </w:rPr>
        <w:t>архитектура RCS, определен</w:t>
      </w:r>
      <w:r>
        <w:rPr>
          <w:lang w:val="ru-RU"/>
        </w:rPr>
        <w:t>ная</w:t>
      </w:r>
      <w:r w:rsidRPr="005102E4">
        <w:rPr>
          <w:lang w:val="ru-RU"/>
        </w:rPr>
        <w:t xml:space="preserve"> Ассоциацией GSM [b-GSMA RCC.07]</w:t>
      </w:r>
      <w:r>
        <w:rPr>
          <w:lang w:val="ru-RU"/>
        </w:rPr>
        <w:t xml:space="preserve">, при этом </w:t>
      </w:r>
      <w:r w:rsidRPr="00752624">
        <w:rPr>
          <w:lang w:val="ru-RU"/>
        </w:rPr>
        <w:t>основное внимание удел</w:t>
      </w:r>
      <w:r>
        <w:rPr>
          <w:lang w:val="ru-RU"/>
        </w:rPr>
        <w:t xml:space="preserve">ено </w:t>
      </w:r>
      <w:r w:rsidRPr="00752624">
        <w:rPr>
          <w:lang w:val="ru-RU"/>
        </w:rPr>
        <w:t>способам снижения рисков спама при обмене сообщениями RCS.</w:t>
      </w:r>
    </w:p>
    <w:p w14:paraId="1DF5D14B" w14:textId="79ADA2A9" w:rsidR="00D1428E" w:rsidRPr="00D1428E" w:rsidRDefault="00D1428E" w:rsidP="00D1428E">
      <w:pPr>
        <w:pStyle w:val="Heading1"/>
        <w:rPr>
          <w:lang w:val="ru-RU"/>
        </w:rPr>
      </w:pPr>
      <w:r w:rsidRPr="00D1428E">
        <w:rPr>
          <w:lang w:val="ru-RU"/>
        </w:rPr>
        <w:t>3</w:t>
      </w:r>
      <w:r w:rsidRPr="00D1428E">
        <w:rPr>
          <w:lang w:val="ru-RU"/>
        </w:rPr>
        <w:tab/>
      </w:r>
      <w:r w:rsidRPr="00752624">
        <w:rPr>
          <w:lang w:val="ru-RU"/>
        </w:rPr>
        <w:t>Проект новой Рекомендации МСЭ-T X.1128 (ранее – X.mt-feature) [</w:t>
      </w:r>
      <w:hyperlink r:id="rId21" w:history="1">
        <w:r w:rsidRPr="00D1428E">
          <w:rPr>
            <w:rStyle w:val="Hyperlink"/>
            <w:bCs/>
            <w:szCs w:val="26"/>
            <w:lang w:val="ru-RU"/>
          </w:rPr>
          <w:t>SG17-R8</w:t>
        </w:r>
      </w:hyperlink>
      <w:r w:rsidRPr="00752624">
        <w:rPr>
          <w:lang w:val="ru-RU"/>
        </w:rPr>
        <w:t>]</w:t>
      </w:r>
      <w:hyperlink r:id="rId22" w:history="1"/>
    </w:p>
    <w:p w14:paraId="7A6AE609" w14:textId="77777777" w:rsidR="00D1428E" w:rsidRPr="00C76AC6" w:rsidRDefault="00D1428E" w:rsidP="00C76AC6">
      <w:pPr>
        <w:rPr>
          <w:lang w:val="ru-RU"/>
        </w:rPr>
      </w:pPr>
      <w:r w:rsidRPr="00C76AC6">
        <w:rPr>
          <w:lang w:val="ru-RU"/>
        </w:rPr>
        <w:t>Свойства безопасности, используемые для оценки безопасности мобильных терминалов</w:t>
      </w:r>
    </w:p>
    <w:p w14:paraId="7207E585" w14:textId="77777777" w:rsidR="00D1428E" w:rsidRPr="00752624" w:rsidRDefault="00D1428E" w:rsidP="003F3511">
      <w:pPr>
        <w:pStyle w:val="Headingb"/>
        <w:rPr>
          <w:lang w:val="ru-RU"/>
        </w:rPr>
      </w:pPr>
      <w:r w:rsidRPr="00752624">
        <w:rPr>
          <w:lang w:val="ru-RU"/>
        </w:rPr>
        <w:t>Резюме</w:t>
      </w:r>
    </w:p>
    <w:p w14:paraId="33FD2211" w14:textId="77777777" w:rsidR="00D1428E" w:rsidRPr="00752624" w:rsidRDefault="00D1428E" w:rsidP="00D1428E">
      <w:pPr>
        <w:rPr>
          <w:lang w:val="ru-RU"/>
        </w:rPr>
      </w:pPr>
      <w:r w:rsidRPr="00752624">
        <w:rPr>
          <w:lang w:val="ru-RU"/>
        </w:rPr>
        <w:t xml:space="preserve">Мобильные терминалы, в особенности смартфоны, меняют методы работы и образ жизни людей. Например, стремительно растет популярность мобильных платежей, поскольку мобильные терминалы стали для потребителей частью современного динамичного образа жизни; все больше предприятий поддерживают сотрудников, которые обращаются к корпоративным службам через свои личные мобильные терминалы, и т. д. Однако серьезную проблему для услуг мобильных приложений как таковых представляет безопасность мобильных терминалов. Например, пользователи могут неосознанно допустить воздействие на свои устройства вредоносного ПО и подвергнуть конфиденциальные данные риску утечки. </w:t>
      </w:r>
    </w:p>
    <w:p w14:paraId="1110BEAB" w14:textId="77777777" w:rsidR="00D1428E" w:rsidRPr="00752624" w:rsidRDefault="00D1428E" w:rsidP="00D1428E">
      <w:pPr>
        <w:rPr>
          <w:lang w:val="ru-RU"/>
        </w:rPr>
      </w:pPr>
      <w:r w:rsidRPr="00752624">
        <w:rPr>
          <w:lang w:val="ru-RU"/>
        </w:rPr>
        <w:t>В настоящей Рекомендации указаны свойства безопасности, используемые для оценки безопасности мобильных терминалов, а также сведения о том, каким образом соответствующие заинтересованные стороны могут проверить эти свойства безопасности.</w:t>
      </w:r>
    </w:p>
    <w:p w14:paraId="4A6F6D74" w14:textId="4D33D0FC" w:rsidR="00D1428E" w:rsidRPr="00D1428E" w:rsidRDefault="00D1428E" w:rsidP="00D1428E">
      <w:pPr>
        <w:pStyle w:val="Heading1"/>
        <w:rPr>
          <w:lang w:val="ru-RU"/>
        </w:rPr>
      </w:pPr>
      <w:r w:rsidRPr="00D1428E">
        <w:rPr>
          <w:lang w:val="ru-RU"/>
        </w:rPr>
        <w:lastRenderedPageBreak/>
        <w:t>4</w:t>
      </w:r>
      <w:r w:rsidRPr="00D1428E">
        <w:rPr>
          <w:lang w:val="ru-RU"/>
        </w:rPr>
        <w:tab/>
      </w:r>
      <w:r w:rsidRPr="00752624">
        <w:rPr>
          <w:lang w:val="ru-RU"/>
        </w:rPr>
        <w:t>Проект новой Рекомендации МСЭ-Т X.1129 (ранее – X.mt-integrity) [</w:t>
      </w:r>
      <w:hyperlink r:id="rId23" w:history="1">
        <w:r w:rsidRPr="00D1428E">
          <w:rPr>
            <w:rStyle w:val="Hyperlink"/>
            <w:bCs/>
            <w:szCs w:val="26"/>
            <w:lang w:val="ru-RU"/>
          </w:rPr>
          <w:t>SG17-R9</w:t>
        </w:r>
      </w:hyperlink>
      <w:r w:rsidRPr="00752624">
        <w:rPr>
          <w:lang w:val="ru-RU"/>
        </w:rPr>
        <w:t>]</w:t>
      </w:r>
      <w:hyperlink r:id="rId24" w:history="1"/>
    </w:p>
    <w:p w14:paraId="2FC6D1FC" w14:textId="77777777" w:rsidR="00D1428E" w:rsidRPr="00C76AC6" w:rsidRDefault="00D1428E" w:rsidP="00C76AC6">
      <w:pPr>
        <w:rPr>
          <w:lang w:val="ru-RU"/>
        </w:rPr>
      </w:pPr>
      <w:r w:rsidRPr="00C76AC6">
        <w:rPr>
          <w:lang w:val="ru-RU"/>
        </w:rPr>
        <w:t>Руководящие указания по безопасности для защиты целостности оконечного</w:t>
      </w:r>
      <w:r w:rsidRPr="00627F06">
        <w:rPr>
          <w:lang w:val="ru-RU"/>
        </w:rPr>
        <w:t xml:space="preserve"> оборудования </w:t>
      </w:r>
      <w:r w:rsidRPr="00C76AC6">
        <w:rPr>
          <w:lang w:val="ru-RU"/>
        </w:rPr>
        <w:t>подвижной связи</w:t>
      </w:r>
    </w:p>
    <w:p w14:paraId="79727806" w14:textId="77777777" w:rsidR="00D1428E" w:rsidRPr="005102E4" w:rsidRDefault="00D1428E" w:rsidP="003F3511">
      <w:pPr>
        <w:pStyle w:val="Headingb"/>
        <w:rPr>
          <w:lang w:val="ru-RU"/>
        </w:rPr>
      </w:pPr>
      <w:r w:rsidRPr="005102E4">
        <w:rPr>
          <w:lang w:val="ru-RU"/>
        </w:rPr>
        <w:t>Резюме</w:t>
      </w:r>
    </w:p>
    <w:p w14:paraId="37738953" w14:textId="77777777" w:rsidR="00D1428E" w:rsidRPr="00876FD6" w:rsidRDefault="00D1428E" w:rsidP="003F3511">
      <w:pPr>
        <w:rPr>
          <w:lang w:val="ru-RU"/>
        </w:rPr>
      </w:pPr>
      <w:r w:rsidRPr="00876FD6">
        <w:rPr>
          <w:lang w:val="ru-RU"/>
        </w:rPr>
        <w:t xml:space="preserve">Целью защиты целостности </w:t>
      </w:r>
      <w:r w:rsidRPr="005A1773">
        <w:rPr>
          <w:lang w:val="ru-RU"/>
        </w:rPr>
        <w:t xml:space="preserve">оконечного оборудования подвижной связи </w:t>
      </w:r>
      <w:r w:rsidRPr="00FD18EE">
        <w:rPr>
          <w:lang w:val="ru-RU"/>
        </w:rPr>
        <w:t>(</w:t>
      </w:r>
      <w:r w:rsidRPr="00876FD6">
        <w:rPr>
          <w:lang w:val="ru-RU"/>
        </w:rPr>
        <w:t>мобильного терминала</w:t>
      </w:r>
      <w:r w:rsidRPr="00FD18EE">
        <w:rPr>
          <w:lang w:val="ru-RU"/>
        </w:rPr>
        <w:t>)</w:t>
      </w:r>
      <w:r w:rsidRPr="00876FD6">
        <w:rPr>
          <w:lang w:val="ru-RU"/>
        </w:rPr>
        <w:t xml:space="preserve"> является обеспечение того, чтобы мобильный терминал вел себя ожидаемым образом</w:t>
      </w:r>
      <w:r>
        <w:rPr>
          <w:lang w:val="ru-RU"/>
        </w:rPr>
        <w:t>, то е</w:t>
      </w:r>
      <w:r w:rsidRPr="00FD18EE">
        <w:rPr>
          <w:lang w:val="ru-RU"/>
        </w:rPr>
        <w:t>сть</w:t>
      </w:r>
      <w:r w:rsidRPr="00876FD6">
        <w:rPr>
          <w:lang w:val="ru-RU"/>
        </w:rPr>
        <w:t xml:space="preserve"> чтобы аппаратное, микропрограммное и программное обеспечение (например</w:t>
      </w:r>
      <w:r>
        <w:rPr>
          <w:lang w:val="ru-RU"/>
        </w:rPr>
        <w:t>,</w:t>
      </w:r>
      <w:r w:rsidRPr="00876FD6">
        <w:rPr>
          <w:lang w:val="ru-RU"/>
        </w:rPr>
        <w:t xml:space="preserve"> операционная система, предустановленные приложения) мобильного терминала не были взломаны с помощью каких бы то ни было средств и каким бы то ни было образом. Если злоумышленник взломает микропрограммное или программное обеспечение или изменит конфигурацию оборудования (ПЗУ, ячейки памяти и</w:t>
      </w:r>
      <w:r>
        <w:rPr>
          <w:lang w:val="ru-RU"/>
        </w:rPr>
        <w:t> </w:t>
      </w:r>
      <w:r w:rsidRPr="00876FD6">
        <w:rPr>
          <w:lang w:val="ru-RU"/>
        </w:rPr>
        <w:t>т.</w:t>
      </w:r>
      <w:r>
        <w:rPr>
          <w:lang w:val="ru-RU"/>
        </w:rPr>
        <w:t> </w:t>
      </w:r>
      <w:r w:rsidRPr="00876FD6">
        <w:rPr>
          <w:lang w:val="ru-RU"/>
        </w:rPr>
        <w:t>п.) или же само оборудование (например</w:t>
      </w:r>
      <w:r>
        <w:rPr>
          <w:lang w:val="ru-RU"/>
        </w:rPr>
        <w:t>,</w:t>
      </w:r>
      <w:r w:rsidRPr="00876FD6">
        <w:rPr>
          <w:lang w:val="ru-RU"/>
        </w:rPr>
        <w:t xml:space="preserve"> фл</w:t>
      </w:r>
      <w:r>
        <w:rPr>
          <w:lang w:val="ru-RU"/>
        </w:rPr>
        <w:t>е</w:t>
      </w:r>
      <w:r w:rsidRPr="00876FD6">
        <w:rPr>
          <w:lang w:val="ru-RU"/>
        </w:rPr>
        <w:t>ш-память), то он сможет контролировать или нарушить функционирование мобильного терминала.</w:t>
      </w:r>
    </w:p>
    <w:p w14:paraId="6667F477" w14:textId="77777777" w:rsidR="00D1428E" w:rsidRPr="00876FD6" w:rsidRDefault="00D1428E" w:rsidP="003F3511">
      <w:pPr>
        <w:rPr>
          <w:lang w:val="ru-RU"/>
        </w:rPr>
      </w:pPr>
      <w:r w:rsidRPr="00876FD6">
        <w:rPr>
          <w:lang w:val="ru-RU"/>
        </w:rPr>
        <w:t xml:space="preserve">При включении мобильного терминала начинается этап загрузки для проверки аппаратных компонентов и загрузки одного или нескольких программных модулей. После этого мобильный терминал переходит в режим выполнения и достигает </w:t>
      </w:r>
      <w:r>
        <w:rPr>
          <w:lang w:val="ru-RU"/>
        </w:rPr>
        <w:t xml:space="preserve">рабочего состояния, </w:t>
      </w:r>
      <w:r w:rsidRPr="00876FD6">
        <w:rPr>
          <w:lang w:val="ru-RU"/>
        </w:rPr>
        <w:t xml:space="preserve">когда он готов к </w:t>
      </w:r>
      <w:r>
        <w:rPr>
          <w:lang w:val="ru-RU"/>
        </w:rPr>
        <w:t>использованию по назначению</w:t>
      </w:r>
      <w:r w:rsidRPr="00876FD6">
        <w:rPr>
          <w:lang w:val="ru-RU"/>
        </w:rPr>
        <w:t>. Для устранения уязвимостей и недостатков микропрограммного/программного обеспечения (МПО/ПО) мобильного терминала его необходимо время от времени обновлять. Этот процесс называется этапом обновления МПО/ПО. На каждом из этих этапов злоумышленник может создать угрозы для безопасности и целостности мобильного терминала.</w:t>
      </w:r>
    </w:p>
    <w:p w14:paraId="3D1A65BA" w14:textId="77777777" w:rsidR="00D1428E" w:rsidRPr="005102E4" w:rsidRDefault="00D1428E" w:rsidP="00D1428E">
      <w:pPr>
        <w:rPr>
          <w:lang w:val="ru-RU"/>
        </w:rPr>
      </w:pPr>
      <w:r w:rsidRPr="00876FD6">
        <w:rPr>
          <w:lang w:val="ru-RU"/>
        </w:rPr>
        <w:t>В настоящей Рекомендации анализируются угрозы безопасности на этапах загрузки, выполнения и обновления МПО/ПО мобильного терминала, а также определяются требования безопасности и даются рекомендации по обеспечению безопасности для защиты целостности мобильного терминала</w:t>
      </w:r>
      <w:r w:rsidRPr="005102E4">
        <w:rPr>
          <w:lang w:val="ru-RU"/>
        </w:rPr>
        <w:t>.</w:t>
      </w:r>
    </w:p>
    <w:p w14:paraId="38BD6B02" w14:textId="4743F530" w:rsidR="00D1428E" w:rsidRPr="005102E4" w:rsidRDefault="00D1428E" w:rsidP="00D1428E">
      <w:pPr>
        <w:pStyle w:val="Heading1"/>
        <w:rPr>
          <w:sz w:val="24"/>
          <w:szCs w:val="24"/>
          <w:lang w:val="ru-RU"/>
        </w:rPr>
      </w:pPr>
      <w:r>
        <w:rPr>
          <w:rFonts w:asciiTheme="minorHAnsi" w:hAnsiTheme="minorHAnsi"/>
          <w:lang w:val="ru-RU"/>
        </w:rPr>
        <w:t>5</w:t>
      </w:r>
      <w:r>
        <w:rPr>
          <w:rFonts w:asciiTheme="minorHAnsi" w:hAnsiTheme="minorHAnsi"/>
          <w:lang w:val="ru-RU"/>
        </w:rPr>
        <w:tab/>
      </w:r>
      <w:r w:rsidRPr="005102E4">
        <w:rPr>
          <w:lang w:val="ru-RU"/>
        </w:rPr>
        <w:t>Проект новой Рекомендации МСЭ-T X.1130 (ранее – X.tg-fdma) [</w:t>
      </w:r>
      <w:hyperlink r:id="rId25" w:history="1">
        <w:r w:rsidRPr="00D1428E">
          <w:rPr>
            <w:rStyle w:val="Hyperlink"/>
            <w:bCs/>
            <w:szCs w:val="26"/>
            <w:lang w:val="ru-RU"/>
          </w:rPr>
          <w:t>SG17-R10</w:t>
        </w:r>
      </w:hyperlink>
      <w:r w:rsidRPr="005102E4">
        <w:rPr>
          <w:lang w:val="ru-RU"/>
        </w:rPr>
        <w:t>]</w:t>
      </w:r>
      <w:hyperlink r:id="rId26" w:history="1"/>
    </w:p>
    <w:p w14:paraId="55BF0EC8" w14:textId="77777777" w:rsidR="00D1428E" w:rsidRPr="005102E4" w:rsidRDefault="00D1428E" w:rsidP="00C76AC6">
      <w:pPr>
        <w:rPr>
          <w:lang w:val="ru-RU"/>
        </w:rPr>
      </w:pPr>
      <w:r>
        <w:rPr>
          <w:lang w:val="ru-RU"/>
        </w:rPr>
        <w:t>Технические руководящие указания по обнаружению вредоносной деятельности мобильных приложений</w:t>
      </w:r>
    </w:p>
    <w:p w14:paraId="1DA6ED71" w14:textId="77777777" w:rsidR="00D1428E" w:rsidRPr="005102E4" w:rsidRDefault="00D1428E" w:rsidP="003F3511">
      <w:pPr>
        <w:pStyle w:val="Headingb"/>
        <w:rPr>
          <w:lang w:val="ru-RU"/>
        </w:rPr>
      </w:pPr>
      <w:r w:rsidRPr="005102E4">
        <w:rPr>
          <w:lang w:val="ru-RU"/>
        </w:rPr>
        <w:t>Резюме</w:t>
      </w:r>
    </w:p>
    <w:p w14:paraId="27EFD946" w14:textId="77777777" w:rsidR="00D1428E" w:rsidRPr="004B22E1" w:rsidRDefault="00D1428E" w:rsidP="00D1428E">
      <w:pPr>
        <w:rPr>
          <w:lang w:val="ru-RU"/>
        </w:rPr>
      </w:pPr>
      <w:bookmarkStart w:id="3" w:name="_Hlk205817035"/>
      <w:bookmarkStart w:id="4" w:name="_Hlk205818038"/>
      <w:r w:rsidRPr="00877014">
        <w:rPr>
          <w:lang w:val="ru-RU"/>
        </w:rPr>
        <w:t>В</w:t>
      </w:r>
      <w:r w:rsidRPr="005102E4">
        <w:rPr>
          <w:lang w:val="ru-RU"/>
        </w:rPr>
        <w:t xml:space="preserve"> </w:t>
      </w:r>
      <w:r>
        <w:rPr>
          <w:lang w:val="ru-RU"/>
        </w:rPr>
        <w:t>условиях</w:t>
      </w:r>
      <w:r w:rsidRPr="005102E4">
        <w:rPr>
          <w:lang w:val="ru-RU"/>
        </w:rPr>
        <w:t xml:space="preserve"> широк</w:t>
      </w:r>
      <w:r>
        <w:rPr>
          <w:lang w:val="ru-RU"/>
        </w:rPr>
        <w:t>ого</w:t>
      </w:r>
      <w:r w:rsidRPr="005102E4">
        <w:rPr>
          <w:lang w:val="ru-RU"/>
        </w:rPr>
        <w:t xml:space="preserve"> распространени</w:t>
      </w:r>
      <w:r>
        <w:rPr>
          <w:lang w:val="ru-RU"/>
        </w:rPr>
        <w:t>я</w:t>
      </w:r>
      <w:r w:rsidRPr="005102E4">
        <w:rPr>
          <w:lang w:val="ru-RU"/>
        </w:rPr>
        <w:t xml:space="preserve"> мобильных устройств и приложений приложения стали </w:t>
      </w:r>
      <w:r>
        <w:rPr>
          <w:lang w:val="ru-RU"/>
        </w:rPr>
        <w:t xml:space="preserve">одним из </w:t>
      </w:r>
      <w:r w:rsidRPr="005102E4">
        <w:rPr>
          <w:lang w:val="ru-RU"/>
        </w:rPr>
        <w:t>основны</w:t>
      </w:r>
      <w:r>
        <w:rPr>
          <w:lang w:val="ru-RU"/>
        </w:rPr>
        <w:t>х</w:t>
      </w:r>
      <w:r w:rsidRPr="005102E4">
        <w:rPr>
          <w:lang w:val="ru-RU"/>
        </w:rPr>
        <w:t xml:space="preserve"> </w:t>
      </w:r>
      <w:r>
        <w:rPr>
          <w:lang w:val="ru-RU"/>
        </w:rPr>
        <w:t xml:space="preserve">путей осуществления </w:t>
      </w:r>
      <w:r w:rsidRPr="005102E4">
        <w:rPr>
          <w:lang w:val="ru-RU"/>
        </w:rPr>
        <w:t xml:space="preserve">вредоносной деятельности. Например, вредоносные приложения могут маскироваться под </w:t>
      </w:r>
      <w:r>
        <w:rPr>
          <w:lang w:val="ru-RU"/>
        </w:rPr>
        <w:t>легальные</w:t>
      </w:r>
      <w:r w:rsidRPr="005102E4">
        <w:rPr>
          <w:lang w:val="ru-RU"/>
        </w:rPr>
        <w:t xml:space="preserve"> приложения для получения кредита или совершения покупок, чтобы </w:t>
      </w:r>
      <w:r>
        <w:rPr>
          <w:lang w:val="ru-RU"/>
        </w:rPr>
        <w:t>ввести пользователей в заблуждение</w:t>
      </w:r>
      <w:r w:rsidRPr="005102E4">
        <w:rPr>
          <w:lang w:val="ru-RU"/>
        </w:rPr>
        <w:t>.</w:t>
      </w:r>
      <w:r>
        <w:rPr>
          <w:lang w:val="ru-RU"/>
        </w:rPr>
        <w:t xml:space="preserve"> В рамках традиционных подходов к обнаружению и предотвращению такой вредоносной деятельности принято полагаться на результаты внутренней проверки магазинов приложений и оповещения от программного обеспечения безопасности, установленного на мобильном устройстве.</w:t>
      </w:r>
      <w:r w:rsidRPr="004B22E1">
        <w:rPr>
          <w:lang w:val="ru-RU"/>
        </w:rPr>
        <w:t xml:space="preserve"> </w:t>
      </w:r>
      <w:bookmarkEnd w:id="3"/>
      <w:r>
        <w:rPr>
          <w:lang w:val="ru-RU"/>
        </w:rPr>
        <w:t>Однако подобные подходы сопряжены с рядом проблем.</w:t>
      </w:r>
      <w:r w:rsidRPr="004B22E1">
        <w:rPr>
          <w:lang w:val="ru-RU"/>
        </w:rPr>
        <w:t xml:space="preserve"> </w:t>
      </w:r>
      <w:r>
        <w:rPr>
          <w:lang w:val="ru-RU"/>
        </w:rPr>
        <w:t>Несмотря на то, что внутренние проверки магазинов приложений могут помочь заблокировать вредоносные приложения, злоумышленники постоянно разрабатывают новые методы, чтобы избежать обнаружения и обойти внутренние проверки магазинов приложений.</w:t>
      </w:r>
      <w:r w:rsidRPr="004B22E1">
        <w:rPr>
          <w:lang w:val="ru-RU"/>
        </w:rPr>
        <w:t xml:space="preserve"> </w:t>
      </w:r>
      <w:r>
        <w:rPr>
          <w:lang w:val="ru-RU"/>
        </w:rPr>
        <w:t>Кроме того, некоторые вредоносные приложения распространяются через сторонние платформы, где пользователей побуждают к загрузке и установке таких приложений.</w:t>
      </w:r>
      <w:r w:rsidRPr="004B22E1">
        <w:rPr>
          <w:lang w:val="ru-RU"/>
        </w:rPr>
        <w:t xml:space="preserve"> </w:t>
      </w:r>
      <w:r>
        <w:rPr>
          <w:lang w:val="ru-RU"/>
        </w:rPr>
        <w:t>Программное обеспечение безопасности мобильных устройств предназначено главным образом для обнаружения вирусов и уязвимостей приложений, что усложняет процесс эффективного выявления вредоносных приложений, специально разработанных для осуществления вредоносной деятельности.</w:t>
      </w:r>
    </w:p>
    <w:p w14:paraId="376F2860" w14:textId="77777777" w:rsidR="00D1428E" w:rsidRPr="004B22E1" w:rsidRDefault="00D1428E" w:rsidP="00D1428E">
      <w:pPr>
        <w:rPr>
          <w:lang w:val="ru-RU"/>
        </w:rPr>
      </w:pPr>
      <w:r>
        <w:rPr>
          <w:lang w:val="ru-RU"/>
        </w:rPr>
        <w:t>В деятельности вредоносных приложений на мобильных устройствах можно выделить четыре этапа: загрузка, установка, выполнение приложения и побуждение к оплате.</w:t>
      </w:r>
      <w:r w:rsidRPr="004B22E1">
        <w:rPr>
          <w:lang w:val="ru-RU"/>
        </w:rPr>
        <w:t xml:space="preserve"> </w:t>
      </w:r>
      <w:r>
        <w:rPr>
          <w:lang w:val="ru-RU"/>
        </w:rPr>
        <w:t>Каждый этап сопряжен с определенными рисками.</w:t>
      </w:r>
    </w:p>
    <w:p w14:paraId="3E6CAB77" w14:textId="77777777" w:rsidR="00D1428E" w:rsidRPr="004B22E1" w:rsidRDefault="00D1428E" w:rsidP="00D1428E">
      <w:pPr>
        <w:rPr>
          <w:lang w:val="ru-RU"/>
        </w:rPr>
      </w:pPr>
      <w:r>
        <w:rPr>
          <w:lang w:val="ru-RU"/>
        </w:rPr>
        <w:t>На этапе загрузки и установки вредоносные приложения нередко маскируются под легальные приложения, чтобы избежать обнаружения программным обеспечением безопасности.</w:t>
      </w:r>
      <w:r w:rsidRPr="004B22E1">
        <w:rPr>
          <w:lang w:val="ru-RU"/>
        </w:rPr>
        <w:t xml:space="preserve"> </w:t>
      </w:r>
      <w:r>
        <w:rPr>
          <w:lang w:val="ru-RU"/>
        </w:rPr>
        <w:t>На этом этапе они также могут внедрять в мобильное устройство трояны.</w:t>
      </w:r>
    </w:p>
    <w:p w14:paraId="69FABDBC" w14:textId="77777777" w:rsidR="00D1428E" w:rsidRPr="004B22E1" w:rsidRDefault="00D1428E" w:rsidP="00D1428E">
      <w:pPr>
        <w:rPr>
          <w:lang w:val="ru-RU"/>
        </w:rPr>
      </w:pPr>
      <w:r>
        <w:rPr>
          <w:lang w:val="ru-RU"/>
        </w:rPr>
        <w:lastRenderedPageBreak/>
        <w:t>На этапе выполнения такие приложения могут похищать информацию о пользователе с помощью внедренных троянов или обманным путем принуждать пользователей к добровольному раскрытию конфиденциальных данных, имитируя действия легальных приложений.</w:t>
      </w:r>
    </w:p>
    <w:p w14:paraId="534DB667" w14:textId="77777777" w:rsidR="00D1428E" w:rsidRPr="004B22E1" w:rsidRDefault="00D1428E" w:rsidP="00D1428E">
      <w:pPr>
        <w:rPr>
          <w:lang w:val="ru-RU"/>
        </w:rPr>
      </w:pPr>
      <w:r>
        <w:rPr>
          <w:lang w:val="ru-RU"/>
        </w:rPr>
        <w:t xml:space="preserve">На этапе </w:t>
      </w:r>
      <w:r w:rsidRPr="005102E4">
        <w:rPr>
          <w:lang w:val="ru-RU"/>
        </w:rPr>
        <w:t>побуждения к оплате</w:t>
      </w:r>
      <w:r>
        <w:rPr>
          <w:lang w:val="ru-RU"/>
        </w:rPr>
        <w:t xml:space="preserve"> </w:t>
      </w:r>
      <w:r w:rsidRPr="005102E4">
        <w:rPr>
          <w:lang w:val="ru-RU"/>
        </w:rPr>
        <w:t>вредоносные приложения часто завоевывают доверие, предлагая небольшие вознаграждения или прибыль с помощью различных схем</w:t>
      </w:r>
      <w:r>
        <w:rPr>
          <w:lang w:val="ru-RU"/>
        </w:rPr>
        <w:t>.</w:t>
      </w:r>
      <w:r w:rsidRPr="004B22E1">
        <w:rPr>
          <w:lang w:val="ru-RU"/>
        </w:rPr>
        <w:t xml:space="preserve"> </w:t>
      </w:r>
      <w:r>
        <w:rPr>
          <w:lang w:val="ru-RU"/>
        </w:rPr>
        <w:t>После того, как доверительные отношения с пользователями установлены, вредоносные приложения обманным путем принуждают их к совершению денежного перевода.</w:t>
      </w:r>
      <w:r w:rsidRPr="004B22E1">
        <w:rPr>
          <w:lang w:val="ru-RU"/>
        </w:rPr>
        <w:t xml:space="preserve"> </w:t>
      </w:r>
      <w:r>
        <w:rPr>
          <w:lang w:val="ru-RU"/>
        </w:rPr>
        <w:t>В некоторых случаях вредоносные приложения маскируются, к примеру, под легальные приложения для покупок, тем самым напрямую обманывая доверчивых пользователей и используя их для наживы.</w:t>
      </w:r>
    </w:p>
    <w:p w14:paraId="675B76D7" w14:textId="77777777" w:rsidR="00D1428E" w:rsidRPr="005102E4" w:rsidRDefault="00D1428E" w:rsidP="00D1428E">
      <w:pPr>
        <w:rPr>
          <w:lang w:val="ru-RU"/>
        </w:rPr>
      </w:pPr>
      <w:r>
        <w:rPr>
          <w:lang w:val="ru-RU"/>
        </w:rPr>
        <w:t>Процесс обнаружения и предотвращения вредоносной деятельности в целом очень сложен и требует тесной координации между мобильными устройствами и приложениями.</w:t>
      </w:r>
      <w:r w:rsidRPr="004B22E1">
        <w:rPr>
          <w:lang w:val="ru-RU"/>
        </w:rPr>
        <w:t xml:space="preserve"> </w:t>
      </w:r>
      <w:r w:rsidRPr="005102E4">
        <w:rPr>
          <w:lang w:val="ru-RU"/>
        </w:rPr>
        <w:t xml:space="preserve">В настоящей Рекомендации проведен анализ характеристик вредоносных приложений и связанных с ними рисков на нескольких этапах, включая загрузку, установку, выполнение и побуждение к оплате, и </w:t>
      </w:r>
      <w:r>
        <w:rPr>
          <w:lang w:val="ru-RU"/>
        </w:rPr>
        <w:t>представлено</w:t>
      </w:r>
      <w:r w:rsidRPr="005102E4">
        <w:rPr>
          <w:lang w:val="ru-RU"/>
        </w:rPr>
        <w:t xml:space="preserve"> комплексное техническое решение </w:t>
      </w:r>
      <w:r>
        <w:rPr>
          <w:lang w:val="ru-RU"/>
        </w:rPr>
        <w:t>для</w:t>
      </w:r>
      <w:r w:rsidRPr="005102E4">
        <w:rPr>
          <w:lang w:val="ru-RU"/>
        </w:rPr>
        <w:t xml:space="preserve"> обнаружени</w:t>
      </w:r>
      <w:r>
        <w:rPr>
          <w:lang w:val="ru-RU"/>
        </w:rPr>
        <w:t>я</w:t>
      </w:r>
      <w:r w:rsidRPr="005102E4">
        <w:rPr>
          <w:lang w:val="ru-RU"/>
        </w:rPr>
        <w:t xml:space="preserve"> и предотвращени</w:t>
      </w:r>
      <w:r>
        <w:rPr>
          <w:lang w:val="ru-RU"/>
        </w:rPr>
        <w:t>я</w:t>
      </w:r>
      <w:r w:rsidRPr="005102E4">
        <w:rPr>
          <w:lang w:val="ru-RU"/>
        </w:rPr>
        <w:t xml:space="preserve"> вредоносных действий на основе взаимодействия между мобильными устройствами и приложениями.</w:t>
      </w:r>
    </w:p>
    <w:bookmarkEnd w:id="4"/>
    <w:p w14:paraId="3AEB05C0" w14:textId="267FFB37" w:rsidR="00D1428E" w:rsidRPr="005102E4" w:rsidRDefault="00D1428E" w:rsidP="00D1428E">
      <w:pPr>
        <w:pStyle w:val="Heading1"/>
        <w:rPr>
          <w:sz w:val="24"/>
          <w:szCs w:val="24"/>
          <w:lang w:val="ru-RU"/>
        </w:rPr>
      </w:pPr>
      <w:r>
        <w:rPr>
          <w:rFonts w:asciiTheme="minorHAnsi" w:hAnsiTheme="minorHAnsi"/>
          <w:lang w:val="ru-RU"/>
        </w:rPr>
        <w:t>6</w:t>
      </w:r>
      <w:r>
        <w:rPr>
          <w:rFonts w:asciiTheme="minorHAnsi" w:hAnsiTheme="minorHAnsi"/>
          <w:lang w:val="ru-RU"/>
        </w:rPr>
        <w:tab/>
      </w:r>
      <w:r w:rsidRPr="00D1428E">
        <w:rPr>
          <w:lang w:val="ru-RU"/>
        </w:rPr>
        <w:t>Проект</w:t>
      </w:r>
      <w:r w:rsidRPr="005102E4">
        <w:rPr>
          <w:lang w:val="ru-RU"/>
        </w:rPr>
        <w:t xml:space="preserve"> новой Рекомендации МСЭ-T X.1457 (ранее – X.str-irs) [</w:t>
      </w:r>
      <w:hyperlink r:id="rId27" w:history="1">
        <w:r w:rsidRPr="00D1428E">
          <w:rPr>
            <w:rStyle w:val="Hyperlink"/>
            <w:bCs/>
            <w:szCs w:val="26"/>
            <w:lang w:val="ru-RU"/>
          </w:rPr>
          <w:t>SG17-R11</w:t>
        </w:r>
      </w:hyperlink>
      <w:r w:rsidRPr="005102E4">
        <w:rPr>
          <w:lang w:val="ru-RU"/>
        </w:rPr>
        <w:t>]</w:t>
      </w:r>
      <w:hyperlink r:id="rId28" w:history="1"/>
    </w:p>
    <w:p w14:paraId="654862F3" w14:textId="77777777" w:rsidR="00D1428E" w:rsidRPr="005102E4" w:rsidRDefault="00D1428E" w:rsidP="00C76AC6">
      <w:pPr>
        <w:rPr>
          <w:lang w:val="ru-RU"/>
        </w:rPr>
      </w:pPr>
      <w:r w:rsidRPr="00C76AC6">
        <w:rPr>
          <w:lang w:val="ru-RU"/>
        </w:rPr>
        <w:t>Угрозы безопасности и требования безопасности для услуги информационных</w:t>
      </w:r>
      <w:r w:rsidRPr="00801EBB">
        <w:rPr>
          <w:lang w:val="ru-RU"/>
        </w:rPr>
        <w:t xml:space="preserve"> рекомендаций</w:t>
      </w:r>
    </w:p>
    <w:p w14:paraId="2508FA11" w14:textId="77777777" w:rsidR="00D1428E" w:rsidRPr="005102E4" w:rsidRDefault="00D1428E" w:rsidP="003F3511">
      <w:pPr>
        <w:pStyle w:val="Headingb"/>
        <w:rPr>
          <w:lang w:val="ru-RU"/>
        </w:rPr>
      </w:pPr>
      <w:r w:rsidRPr="005102E4">
        <w:rPr>
          <w:lang w:val="ru-RU"/>
        </w:rPr>
        <w:t>Резюме</w:t>
      </w:r>
    </w:p>
    <w:p w14:paraId="646E2654" w14:textId="77777777" w:rsidR="00D1428E" w:rsidRPr="00801EBB" w:rsidRDefault="00D1428E" w:rsidP="00D1428E">
      <w:pPr>
        <w:rPr>
          <w:lang w:val="ru-RU"/>
        </w:rPr>
      </w:pPr>
      <w:r w:rsidRPr="00801EBB">
        <w:rPr>
          <w:lang w:val="ru-RU"/>
        </w:rPr>
        <w:t>Услуга информационных рекомендаций широко используется на различных веб-сайтах и в различных приложениях. Например, услуга информационных рекомендаций по вопросам образования является важным фактором, способствующим обмену образовательной информацией. В колоссальном объеме образовательной информации пользователи могут быстро находить необходимые им образовательные информационные ресурсы, удовлетворять свои потребности в обучении и получать положительный опыт обучения. Однако нельзя игнорировать вопросы безопасности, связанные с услугой информационных рекомендаций, например угрозы целостности данных, отравление данных, атаки уклонения и т. д.</w:t>
      </w:r>
    </w:p>
    <w:p w14:paraId="70C161A5" w14:textId="77777777" w:rsidR="00D1428E" w:rsidRPr="005102E4" w:rsidRDefault="00D1428E" w:rsidP="00D1428E">
      <w:pPr>
        <w:rPr>
          <w:lang w:val="ru-RU"/>
        </w:rPr>
      </w:pPr>
      <w:r w:rsidRPr="00801EBB">
        <w:rPr>
          <w:lang w:val="ru-RU"/>
        </w:rPr>
        <w:t>В настоящей Рекомендации содержится анализ угроз безопасности и требований безопасности для услуги информационных рекомендаций. В ней определяются угрозы безопасности, связанные с услугой информационных рекомендаций, и определяются требования безопасности, направленные на устранение этих угроз</w:t>
      </w:r>
      <w:r w:rsidRPr="005102E4">
        <w:rPr>
          <w:lang w:val="ru-RU"/>
        </w:rPr>
        <w:t>.</w:t>
      </w:r>
    </w:p>
    <w:p w14:paraId="45CBDDD1" w14:textId="2CDE7746" w:rsidR="00D1428E" w:rsidRPr="005102E4" w:rsidRDefault="00D1428E" w:rsidP="00D1428E">
      <w:pPr>
        <w:pStyle w:val="Heading1"/>
        <w:rPr>
          <w:sz w:val="24"/>
          <w:szCs w:val="24"/>
          <w:lang w:val="ru-RU"/>
        </w:rPr>
      </w:pPr>
      <w:r>
        <w:rPr>
          <w:rFonts w:asciiTheme="minorHAnsi" w:hAnsiTheme="minorHAnsi"/>
          <w:lang w:val="ru-RU"/>
        </w:rPr>
        <w:t>7</w:t>
      </w:r>
      <w:r>
        <w:rPr>
          <w:rFonts w:asciiTheme="minorHAnsi" w:hAnsiTheme="minorHAnsi"/>
          <w:lang w:val="ru-RU"/>
        </w:rPr>
        <w:tab/>
      </w:r>
      <w:r w:rsidRPr="00D1428E">
        <w:rPr>
          <w:lang w:val="ru-RU"/>
        </w:rPr>
        <w:t>Проект</w:t>
      </w:r>
      <w:r w:rsidRPr="005102E4">
        <w:rPr>
          <w:lang w:val="ru-RU"/>
        </w:rPr>
        <w:t xml:space="preserve"> новой Рекомендации МСЭ-T X.1753 (ранее – X.gdsml) [</w:t>
      </w:r>
      <w:hyperlink r:id="rId29" w:history="1">
        <w:r w:rsidRPr="00D1428E">
          <w:rPr>
            <w:rStyle w:val="Hyperlink"/>
            <w:bCs/>
            <w:szCs w:val="26"/>
            <w:lang w:val="ru-RU"/>
          </w:rPr>
          <w:t>SG17-R12</w:t>
        </w:r>
      </w:hyperlink>
      <w:r w:rsidRPr="005102E4">
        <w:rPr>
          <w:lang w:val="ru-RU"/>
        </w:rPr>
        <w:t>]</w:t>
      </w:r>
      <w:hyperlink r:id="rId30" w:history="1"/>
    </w:p>
    <w:p w14:paraId="390983E7" w14:textId="77777777" w:rsidR="00D1428E" w:rsidRPr="005102E4" w:rsidRDefault="00D1428E" w:rsidP="00C76AC6">
      <w:pPr>
        <w:rPr>
          <w:lang w:val="ru-RU"/>
        </w:rPr>
      </w:pPr>
      <w:r w:rsidRPr="005102E4">
        <w:rPr>
          <w:lang w:val="ru-RU"/>
        </w:rPr>
        <w:t>Руководящие указания по обеспечению безопасности данных с использованием машинного обучения в инфраструктуре больших данных</w:t>
      </w:r>
    </w:p>
    <w:p w14:paraId="3D15FAC0" w14:textId="77777777" w:rsidR="00D1428E" w:rsidRPr="005102E4" w:rsidRDefault="00D1428E" w:rsidP="003F3511">
      <w:pPr>
        <w:pStyle w:val="Headingb"/>
        <w:rPr>
          <w:lang w:val="ru-RU"/>
        </w:rPr>
      </w:pPr>
      <w:r w:rsidRPr="005102E4">
        <w:rPr>
          <w:lang w:val="ru-RU"/>
        </w:rPr>
        <w:t>Резюме</w:t>
      </w:r>
    </w:p>
    <w:p w14:paraId="0F417CAF" w14:textId="77777777" w:rsidR="00D1428E" w:rsidRPr="005102E4" w:rsidRDefault="00D1428E" w:rsidP="00D1428E">
      <w:pPr>
        <w:rPr>
          <w:lang w:val="ru-RU"/>
        </w:rPr>
      </w:pPr>
      <w:r w:rsidRPr="007E351E">
        <w:rPr>
          <w:lang w:val="ru-RU"/>
        </w:rPr>
        <w:t xml:space="preserve">В процессе сбора, хранения, обработки и управления данными в инфраструктуре больших данных </w:t>
      </w:r>
      <w:r>
        <w:rPr>
          <w:lang w:val="ru-RU"/>
        </w:rPr>
        <w:t xml:space="preserve">возникает </w:t>
      </w:r>
      <w:r w:rsidRPr="007E351E">
        <w:rPr>
          <w:lang w:val="ru-RU"/>
        </w:rPr>
        <w:t>множество угроз безопасности. Задача, которую необходимо решить в инфраструктуре больших данных, – как обеспечить динамич</w:t>
      </w:r>
      <w:r>
        <w:rPr>
          <w:lang w:val="ru-RU"/>
        </w:rPr>
        <w:t>ески</w:t>
      </w:r>
      <w:r w:rsidRPr="007E351E">
        <w:rPr>
          <w:lang w:val="ru-RU"/>
        </w:rPr>
        <w:t>й и интеллектуальный мониторинг, анализ и реагирование на угрозы безопасности данных. Машинно</w:t>
      </w:r>
      <w:r>
        <w:rPr>
          <w:lang w:val="ru-RU"/>
        </w:rPr>
        <w:t>е</w:t>
      </w:r>
      <w:r w:rsidRPr="007E351E">
        <w:rPr>
          <w:lang w:val="ru-RU"/>
        </w:rPr>
        <w:t xml:space="preserve"> обучени</w:t>
      </w:r>
      <w:r>
        <w:rPr>
          <w:lang w:val="ru-RU"/>
        </w:rPr>
        <w:t>е</w:t>
      </w:r>
      <w:r w:rsidRPr="007E351E">
        <w:rPr>
          <w:lang w:val="ru-RU"/>
        </w:rPr>
        <w:t xml:space="preserve"> </w:t>
      </w:r>
      <w:r>
        <w:rPr>
          <w:lang w:val="ru-RU"/>
        </w:rPr>
        <w:t xml:space="preserve">обеспечивает </w:t>
      </w:r>
      <w:r w:rsidRPr="007E351E">
        <w:rPr>
          <w:lang w:val="ru-RU"/>
        </w:rPr>
        <w:t xml:space="preserve">возможностями автоматического обучения и распознавания </w:t>
      </w:r>
      <w:r>
        <w:rPr>
          <w:lang w:val="ru-RU"/>
        </w:rPr>
        <w:t>образов</w:t>
      </w:r>
      <w:r w:rsidRPr="007E351E">
        <w:rPr>
          <w:lang w:val="ru-RU"/>
        </w:rPr>
        <w:t>, что позволяет обнаруживать потенциальные угрозы безопасности и аномальное поведение на основе большого объема данных, помогая принимать упреждающие защитные меры.</w:t>
      </w:r>
      <w:r w:rsidRPr="007E351E">
        <w:rPr>
          <w:lang w:val="ru-RU" w:eastAsia="zh-CN"/>
        </w:rPr>
        <w:t xml:space="preserve"> </w:t>
      </w:r>
      <w:r w:rsidRPr="007E351E">
        <w:rPr>
          <w:lang w:val="ru-RU"/>
        </w:rPr>
        <w:t>Использование машинного обучения для повышения уровня безопасности данных постепенно ста</w:t>
      </w:r>
      <w:r>
        <w:rPr>
          <w:lang w:val="ru-RU"/>
        </w:rPr>
        <w:t>новится</w:t>
      </w:r>
      <w:r w:rsidRPr="007E351E">
        <w:rPr>
          <w:lang w:val="ru-RU"/>
        </w:rPr>
        <w:t xml:space="preserve"> необходимо</w:t>
      </w:r>
      <w:r>
        <w:rPr>
          <w:lang w:val="ru-RU"/>
        </w:rPr>
        <w:t>й технологией</w:t>
      </w:r>
      <w:r w:rsidRPr="007E351E">
        <w:rPr>
          <w:lang w:val="ru-RU"/>
        </w:rPr>
        <w:t xml:space="preserve"> в инфраструктуре больших данных</w:t>
      </w:r>
      <w:r w:rsidRPr="005102E4">
        <w:rPr>
          <w:lang w:val="ru-RU"/>
        </w:rPr>
        <w:t>.</w:t>
      </w:r>
    </w:p>
    <w:p w14:paraId="5E58EC63" w14:textId="77777777" w:rsidR="00D1428E" w:rsidRPr="006A5D9D" w:rsidRDefault="00D1428E" w:rsidP="00D1428E">
      <w:pPr>
        <w:rPr>
          <w:lang w:val="ru-RU"/>
        </w:rPr>
      </w:pPr>
      <w:r w:rsidRPr="007E351E">
        <w:rPr>
          <w:lang w:val="ru-RU"/>
        </w:rPr>
        <w:t xml:space="preserve">В настоящей Рекомендации анализируются угрозы безопасности данных в инфраструктуре больших данных и сценарии, в которых машинное обучение может применяться для защиты безопасности данных в инфраструктуре больших данных, а также </w:t>
      </w:r>
      <w:r>
        <w:rPr>
          <w:lang w:val="ru-RU"/>
        </w:rPr>
        <w:t>содержатся руководящие</w:t>
      </w:r>
      <w:r w:rsidRPr="007E351E">
        <w:rPr>
          <w:lang w:val="ru-RU"/>
        </w:rPr>
        <w:t xml:space="preserve"> указания по </w:t>
      </w:r>
      <w:r w:rsidRPr="007E351E">
        <w:rPr>
          <w:lang w:val="ru-RU"/>
        </w:rPr>
        <w:lastRenderedPageBreak/>
        <w:t>использованию машинного обучения в целях защиты безопасности данных в инфраструктуре больших данных</w:t>
      </w:r>
      <w:r w:rsidRPr="005102E4">
        <w:rPr>
          <w:lang w:val="ru-RU"/>
        </w:rPr>
        <w:t>.</w:t>
      </w:r>
    </w:p>
    <w:p w14:paraId="14716F41" w14:textId="41D9E809" w:rsidR="00D1428E" w:rsidRPr="00D1428E" w:rsidRDefault="00D1428E" w:rsidP="00D1428E">
      <w:pPr>
        <w:pStyle w:val="Heading1"/>
        <w:rPr>
          <w:lang w:val="ru-RU"/>
        </w:rPr>
      </w:pPr>
      <w:r w:rsidRPr="00D1428E">
        <w:rPr>
          <w:lang w:val="ru-RU"/>
        </w:rPr>
        <w:t>8</w:t>
      </w:r>
      <w:r w:rsidRPr="00D1428E">
        <w:rPr>
          <w:lang w:val="ru-RU"/>
        </w:rPr>
        <w:tab/>
        <w:t>Проект новой Рекомендации МСЭ-T X.1649 (ранее – X.sgmc) [</w:t>
      </w:r>
      <w:hyperlink r:id="rId31" w:history="1">
        <w:r w:rsidRPr="00D1428E">
          <w:rPr>
            <w:rStyle w:val="Hyperlink"/>
            <w:bCs/>
            <w:szCs w:val="26"/>
            <w:lang w:val="ru-RU"/>
          </w:rPr>
          <w:t>SG17-R14</w:t>
        </w:r>
      </w:hyperlink>
      <w:r w:rsidRPr="00D1428E">
        <w:rPr>
          <w:lang w:val="ru-RU"/>
        </w:rPr>
        <w:t>]</w:t>
      </w:r>
    </w:p>
    <w:p w14:paraId="5EC5C98F" w14:textId="77777777" w:rsidR="00D1428E" w:rsidRPr="00D1428E" w:rsidRDefault="00D1428E" w:rsidP="00C76AC6">
      <w:pPr>
        <w:rPr>
          <w:lang w:val="ru-RU"/>
        </w:rPr>
      </w:pPr>
      <w:r w:rsidRPr="00D1428E">
        <w:rPr>
          <w:lang w:val="ru-RU"/>
        </w:rPr>
        <w:t>Руководящие указания по безопасности для многооблачной среды</w:t>
      </w:r>
    </w:p>
    <w:p w14:paraId="64D24E96" w14:textId="77777777" w:rsidR="00D1428E" w:rsidRPr="005102E4" w:rsidRDefault="00D1428E" w:rsidP="003F3511">
      <w:pPr>
        <w:pStyle w:val="Headingb"/>
        <w:rPr>
          <w:b w:val="0"/>
          <w:bCs/>
          <w:lang w:val="ru-RU"/>
        </w:rPr>
      </w:pPr>
      <w:r w:rsidRPr="003F3511">
        <w:rPr>
          <w:lang w:val="ru-RU"/>
        </w:rPr>
        <w:t>Резюме</w:t>
      </w:r>
    </w:p>
    <w:p w14:paraId="731DAFF3" w14:textId="77777777" w:rsidR="00D1428E" w:rsidRPr="006A5D9D" w:rsidRDefault="00D1428E" w:rsidP="00D1428E">
      <w:pPr>
        <w:rPr>
          <w:lang w:val="ru-RU"/>
        </w:rPr>
      </w:pPr>
      <w:r w:rsidRPr="009817C7">
        <w:rPr>
          <w:szCs w:val="24"/>
          <w:lang w:val="ru-RU"/>
        </w:rPr>
        <w:t>В настоящей Рекомендации приводится обзор многооблачной среды, включая ее определение и предпосылки ее возникновения. В настоящей Рекомендации также содержится анализ рисков безопасности и определяются соответствующие руководящие указания для многооблачной среды в целях снижения рисков в области безопасности.</w:t>
      </w:r>
    </w:p>
    <w:p w14:paraId="54F3E6DA" w14:textId="37A60432" w:rsidR="00D1428E" w:rsidRPr="00D1428E" w:rsidRDefault="00D1428E" w:rsidP="00D1428E">
      <w:pPr>
        <w:pStyle w:val="Heading1"/>
        <w:rPr>
          <w:lang w:val="ru-RU"/>
        </w:rPr>
      </w:pPr>
      <w:r w:rsidRPr="00D1428E">
        <w:rPr>
          <w:lang w:val="ru-RU"/>
        </w:rPr>
        <w:t>9</w:t>
      </w:r>
      <w:r w:rsidRPr="00D1428E">
        <w:rPr>
          <w:lang w:val="ru-RU"/>
        </w:rPr>
        <w:tab/>
        <w:t>Проект пересмотренной Рекомендации МСЭ-T X.1250 [</w:t>
      </w:r>
      <w:hyperlink r:id="rId32" w:history="1">
        <w:r w:rsidRPr="00D1428E">
          <w:rPr>
            <w:rStyle w:val="Hyperlink"/>
            <w:bCs/>
            <w:szCs w:val="26"/>
            <w:lang w:val="ru-RU"/>
          </w:rPr>
          <w:t>SG17-R15</w:t>
        </w:r>
      </w:hyperlink>
      <w:r w:rsidRPr="00D1428E">
        <w:rPr>
          <w:lang w:val="ru-RU"/>
        </w:rPr>
        <w:t>]</w:t>
      </w:r>
    </w:p>
    <w:p w14:paraId="2BEC107D" w14:textId="7589C08F" w:rsidR="00D1428E" w:rsidRPr="00D1428E" w:rsidRDefault="00D1428E" w:rsidP="00C76AC6">
      <w:pPr>
        <w:rPr>
          <w:lang w:val="ru-RU"/>
        </w:rPr>
      </w:pPr>
      <w:r>
        <w:rPr>
          <w:lang w:val="ru-RU"/>
        </w:rPr>
        <w:t>Б</w:t>
      </w:r>
      <w:r w:rsidRPr="00424BBC">
        <w:rPr>
          <w:lang w:val="ru-RU"/>
        </w:rPr>
        <w:t>азовые возможности для улучшенного доверия и функциональной совместимости при управлении определением идентичности</w:t>
      </w:r>
    </w:p>
    <w:p w14:paraId="1A415657" w14:textId="77777777" w:rsidR="00D1428E" w:rsidRPr="005102E4" w:rsidRDefault="00D1428E" w:rsidP="00D1428E">
      <w:pPr>
        <w:pStyle w:val="Headingb"/>
        <w:rPr>
          <w:highlight w:val="lightGray"/>
          <w:lang w:val="ru-RU"/>
        </w:rPr>
      </w:pPr>
      <w:r w:rsidRPr="005102E4">
        <w:rPr>
          <w:lang w:val="ru-RU"/>
        </w:rPr>
        <w:t>Резюме</w:t>
      </w:r>
    </w:p>
    <w:p w14:paraId="579A13A8" w14:textId="77777777" w:rsidR="00D1428E" w:rsidRPr="006A5D9D" w:rsidRDefault="00D1428E" w:rsidP="00D1428E">
      <w:pPr>
        <w:rPr>
          <w:lang w:val="ru-RU"/>
        </w:rPr>
      </w:pPr>
      <w:r w:rsidRPr="005102E4">
        <w:rPr>
          <w:lang w:val="ru-RU"/>
        </w:rPr>
        <w:t xml:space="preserve">В настоящем документе изложены основные положения в области разработки и развертывания структурированных и функционально совместимых систем управления </w:t>
      </w:r>
      <w:r>
        <w:rPr>
          <w:lang w:val="ru-RU"/>
        </w:rPr>
        <w:t>определением идентичности</w:t>
      </w:r>
      <w:r w:rsidRPr="005102E4">
        <w:rPr>
          <w:lang w:val="ru-RU"/>
        </w:rPr>
        <w:t xml:space="preserve"> в сетях электросвязи и ИТ-сетях, которые обеспечивают конфиденциальность и соответствие региональным политикам. В документе рассматриваются такие темы, как модели структурированного управления определением идентичности для защищенного и эффективного обмена идентификационными данными, защита и предоставление атрибутов идентификации, а также обнаружение поставщиков услуг идентификации. В документе также рассматриваются вопросы функциональной совместимости платформ определения идентичности, мер безопасности для снижения угроз, аудит</w:t>
      </w:r>
      <w:r>
        <w:rPr>
          <w:lang w:val="ru-RU"/>
        </w:rPr>
        <w:t>а</w:t>
      </w:r>
      <w:r w:rsidRPr="005102E4">
        <w:rPr>
          <w:lang w:val="ru-RU"/>
        </w:rPr>
        <w:t xml:space="preserve"> соответствия требованиям и важност</w:t>
      </w:r>
      <w:r>
        <w:rPr>
          <w:lang w:val="ru-RU"/>
        </w:rPr>
        <w:t>и</w:t>
      </w:r>
      <w:r w:rsidRPr="005102E4">
        <w:rPr>
          <w:lang w:val="ru-RU"/>
        </w:rPr>
        <w:t xml:space="preserve"> удобства использования и масштабируемости. Общая цель заключается в создании надежных, прозрачных и адаптируемых систем управления определением идентичности, которые повышают доверие и безопасность и улучшают опыт пользователя при цифровом взаимодействии, а также соответствуют нормативным стандартам.</w:t>
      </w:r>
    </w:p>
    <w:p w14:paraId="4CF0FBE2" w14:textId="20ADC346" w:rsidR="00D1428E" w:rsidRPr="00D1428E" w:rsidRDefault="00D1428E" w:rsidP="00D1428E">
      <w:pPr>
        <w:pStyle w:val="Heading1"/>
        <w:rPr>
          <w:lang w:val="ru-RU"/>
        </w:rPr>
      </w:pPr>
      <w:r w:rsidRPr="00D1428E">
        <w:rPr>
          <w:lang w:val="ru-RU"/>
        </w:rPr>
        <w:t>10</w:t>
      </w:r>
      <w:r w:rsidRPr="00D1428E">
        <w:rPr>
          <w:lang w:val="ru-RU"/>
        </w:rPr>
        <w:tab/>
        <w:t>Проект пересмотренной Рекомендации МСЭ-T X.1631 [</w:t>
      </w:r>
      <w:hyperlink r:id="rId33" w:history="1">
        <w:r w:rsidRPr="00D1428E">
          <w:rPr>
            <w:rStyle w:val="Hyperlink"/>
            <w:bCs/>
            <w:szCs w:val="26"/>
            <w:lang w:val="ru-RU"/>
          </w:rPr>
          <w:t>SG17-R13</w:t>
        </w:r>
      </w:hyperlink>
      <w:r w:rsidRPr="00D1428E">
        <w:rPr>
          <w:lang w:val="ru-RU"/>
        </w:rPr>
        <w:t>]</w:t>
      </w:r>
    </w:p>
    <w:p w14:paraId="53FBDD80" w14:textId="77777777" w:rsidR="00D1428E" w:rsidRPr="00C76AC6" w:rsidRDefault="00D1428E" w:rsidP="00C76AC6">
      <w:pPr>
        <w:rPr>
          <w:lang w:val="ru-RU"/>
        </w:rPr>
      </w:pPr>
      <w:r w:rsidRPr="007A5561">
        <w:rPr>
          <w:lang w:val="ru-RU"/>
        </w:rPr>
        <w:t>Управление информационной безопасностью на основе стандарта ISO/IEC 27002 для услуг облачных вычислений</w:t>
      </w:r>
    </w:p>
    <w:p w14:paraId="006D4D86" w14:textId="77777777" w:rsidR="00D1428E" w:rsidRPr="005102E4" w:rsidRDefault="00D1428E" w:rsidP="003F3511">
      <w:pPr>
        <w:pStyle w:val="Headingb"/>
        <w:rPr>
          <w:highlight w:val="lightGray"/>
          <w:lang w:val="ru-RU"/>
        </w:rPr>
      </w:pPr>
      <w:r w:rsidRPr="005102E4">
        <w:rPr>
          <w:lang w:val="ru-RU"/>
        </w:rPr>
        <w:t>Резюме</w:t>
      </w:r>
    </w:p>
    <w:p w14:paraId="7C43AEDF" w14:textId="77777777" w:rsidR="00D1428E" w:rsidRPr="00576796" w:rsidRDefault="00D1428E" w:rsidP="00D1428E">
      <w:pPr>
        <w:rPr>
          <w:color w:val="000000"/>
          <w:lang w:val="ru-RU"/>
        </w:rPr>
      </w:pPr>
      <w:r w:rsidRPr="00576796">
        <w:rPr>
          <w:rFonts w:eastAsia="Cambria"/>
          <w:lang w:val="ru-RU"/>
        </w:rPr>
        <w:t xml:space="preserve">Руководящие </w:t>
      </w:r>
      <w:r>
        <w:rPr>
          <w:rFonts w:eastAsia="Cambria"/>
          <w:lang w:val="ru-RU"/>
        </w:rPr>
        <w:t>принципы</w:t>
      </w:r>
      <w:r w:rsidRPr="00576796">
        <w:rPr>
          <w:rFonts w:eastAsia="Cambria"/>
          <w:lang w:val="ru-RU"/>
        </w:rPr>
        <w:t xml:space="preserve">, содержащиеся в настоящей Рекомендации | Международном стандарте, дополняют </w:t>
      </w:r>
      <w:r w:rsidRPr="003F3511">
        <w:rPr>
          <w:lang w:val="ru-RU"/>
        </w:rPr>
        <w:t>руководящие</w:t>
      </w:r>
      <w:r w:rsidRPr="00576796">
        <w:rPr>
          <w:rFonts w:eastAsia="Cambria"/>
          <w:lang w:val="ru-RU"/>
        </w:rPr>
        <w:t xml:space="preserve"> </w:t>
      </w:r>
      <w:r>
        <w:rPr>
          <w:rFonts w:eastAsia="Cambria"/>
          <w:lang w:val="ru-RU"/>
        </w:rPr>
        <w:t>принципы</w:t>
      </w:r>
      <w:r w:rsidRPr="00576796">
        <w:rPr>
          <w:rFonts w:eastAsia="Cambria"/>
          <w:lang w:val="ru-RU"/>
        </w:rPr>
        <w:t xml:space="preserve">, приведенные в </w:t>
      </w:r>
      <w:r>
        <w:rPr>
          <w:rFonts w:eastAsia="Cambria"/>
          <w:lang w:val="ru-RU"/>
        </w:rPr>
        <w:t>стандарте</w:t>
      </w:r>
      <w:r w:rsidRPr="00576796">
        <w:rPr>
          <w:rFonts w:eastAsia="Cambria"/>
          <w:lang w:val="ru-RU"/>
        </w:rPr>
        <w:t xml:space="preserve"> ISO/IEC 27002:2022.</w:t>
      </w:r>
    </w:p>
    <w:p w14:paraId="1A14AB0A" w14:textId="4B988CC2" w:rsidR="00C0383E" w:rsidRPr="00F26A42" w:rsidRDefault="00D1428E" w:rsidP="003F3511">
      <w:pPr>
        <w:rPr>
          <w:szCs w:val="22"/>
          <w:lang w:val="ru-RU"/>
        </w:rPr>
      </w:pPr>
      <w:r w:rsidRPr="00576796">
        <w:rPr>
          <w:rFonts w:eastAsia="Cambria"/>
          <w:lang w:val="ru-RU"/>
        </w:rPr>
        <w:t>В частности, настоящая Рекомендация | Международный стандарт содержит руковод</w:t>
      </w:r>
      <w:r>
        <w:rPr>
          <w:rFonts w:eastAsia="Cambria"/>
          <w:lang w:val="ru-RU"/>
        </w:rPr>
        <w:t xml:space="preserve">ство </w:t>
      </w:r>
      <w:r w:rsidRPr="00576796">
        <w:rPr>
          <w:rFonts w:eastAsia="Cambria"/>
          <w:lang w:val="ru-RU"/>
        </w:rPr>
        <w:t xml:space="preserve">по реализации </w:t>
      </w:r>
      <w:r>
        <w:rPr>
          <w:rFonts w:eastAsia="Cambria"/>
          <w:lang w:val="ru-RU"/>
        </w:rPr>
        <w:t xml:space="preserve">средств управления </w:t>
      </w:r>
      <w:r w:rsidRPr="00576796">
        <w:rPr>
          <w:rFonts w:eastAsia="Cambria"/>
          <w:lang w:val="ru-RU"/>
        </w:rPr>
        <w:t>информационной безопасност</w:t>
      </w:r>
      <w:r>
        <w:rPr>
          <w:rFonts w:eastAsia="Cambria"/>
          <w:lang w:val="ru-RU"/>
        </w:rPr>
        <w:t>ью</w:t>
      </w:r>
      <w:r w:rsidRPr="00576796">
        <w:rPr>
          <w:rFonts w:eastAsia="Cambria"/>
          <w:lang w:val="ru-RU"/>
        </w:rPr>
        <w:t xml:space="preserve"> для потребителей услуг облачных вычислений (CSC) и поставщиков услуг облачных вычислений (CSP).</w:t>
      </w:r>
      <w:r w:rsidRPr="00576796">
        <w:rPr>
          <w:rFonts w:eastAsia="Cambria"/>
          <w:color w:val="000000"/>
          <w:lang w:val="ru-RU"/>
        </w:rPr>
        <w:t xml:space="preserve"> </w:t>
      </w:r>
      <w:r w:rsidRPr="00576796">
        <w:rPr>
          <w:rFonts w:eastAsia="Cambria"/>
          <w:lang w:val="ru-RU"/>
        </w:rPr>
        <w:t xml:space="preserve">Некоторые рекомендации предназначены для CSC, </w:t>
      </w:r>
      <w:r>
        <w:rPr>
          <w:rFonts w:eastAsia="Cambria"/>
          <w:lang w:val="ru-RU"/>
        </w:rPr>
        <w:t>внедряющих</w:t>
      </w:r>
      <w:r w:rsidRPr="00576796">
        <w:rPr>
          <w:rFonts w:eastAsia="Cambria"/>
          <w:lang w:val="ru-RU"/>
        </w:rPr>
        <w:t xml:space="preserve"> </w:t>
      </w:r>
      <w:r>
        <w:rPr>
          <w:rFonts w:eastAsia="Cambria"/>
          <w:lang w:val="ru-RU"/>
        </w:rPr>
        <w:t>средства</w:t>
      </w:r>
      <w:r w:rsidRPr="00576796">
        <w:rPr>
          <w:rFonts w:eastAsia="Cambria"/>
          <w:lang w:val="ru-RU"/>
        </w:rPr>
        <w:t xml:space="preserve"> управления, а другие </w:t>
      </w:r>
      <w:r>
        <w:rPr>
          <w:rFonts w:eastAsia="Cambria"/>
          <w:lang w:val="ru-RU"/>
        </w:rPr>
        <w:t>–</w:t>
      </w:r>
      <w:r w:rsidRPr="00576796">
        <w:rPr>
          <w:rFonts w:eastAsia="Cambria"/>
          <w:lang w:val="ru-RU"/>
        </w:rPr>
        <w:t xml:space="preserve"> для CSP, поддерживающих </w:t>
      </w:r>
      <w:r>
        <w:rPr>
          <w:rFonts w:eastAsia="Cambria"/>
          <w:lang w:val="ru-RU"/>
        </w:rPr>
        <w:t>внедрение</w:t>
      </w:r>
      <w:r w:rsidRPr="00576796">
        <w:rPr>
          <w:rFonts w:eastAsia="Cambria"/>
          <w:lang w:val="ru-RU"/>
        </w:rPr>
        <w:t xml:space="preserve"> таких </w:t>
      </w:r>
      <w:r>
        <w:rPr>
          <w:rFonts w:eastAsia="Cambria"/>
          <w:lang w:val="ru-RU"/>
        </w:rPr>
        <w:t>средств</w:t>
      </w:r>
      <w:r w:rsidRPr="00576796">
        <w:rPr>
          <w:rFonts w:eastAsia="Cambria"/>
          <w:lang w:val="ru-RU"/>
        </w:rPr>
        <w:t xml:space="preserve"> управления.</w:t>
      </w:r>
      <w:r w:rsidRPr="00576796">
        <w:rPr>
          <w:color w:val="000000"/>
          <w:lang w:val="ru-RU"/>
        </w:rPr>
        <w:t xml:space="preserve"> </w:t>
      </w:r>
      <w:r w:rsidRPr="00576796">
        <w:rPr>
          <w:lang w:val="ru-RU"/>
        </w:rPr>
        <w:t>Определение соответствующих правил информационной безопасности и степень использования настоящих указаний будут зависеть от результатов соответствующей оценки рисков и наличия любых правовых, нормативных, договорных или иных требований по информационной безопасности, специфичных для облачных вычислений</w:t>
      </w:r>
      <w:r w:rsidRPr="005102E4">
        <w:rPr>
          <w:rFonts w:eastAsia="Cambria"/>
          <w:lang w:val="ru-RU"/>
        </w:rPr>
        <w:t>.</w:t>
      </w:r>
    </w:p>
    <w:p w14:paraId="7BFBB5A0" w14:textId="77777777" w:rsidR="00A7119D" w:rsidRPr="00721EE9" w:rsidRDefault="00A7119D" w:rsidP="00A7119D">
      <w:pPr>
        <w:rPr>
          <w:lang w:val="ru-RU"/>
        </w:rPr>
      </w:pPr>
      <w:r w:rsidRPr="00721EE9">
        <w:rPr>
          <w:lang w:val="ru-RU"/>
        </w:rPr>
        <w:br w:type="page"/>
      </w:r>
    </w:p>
    <w:p w14:paraId="50BC49D3" w14:textId="609CD747" w:rsidR="00713D99" w:rsidRPr="00F26A42" w:rsidRDefault="00713D99" w:rsidP="00BF1038">
      <w:pPr>
        <w:pStyle w:val="AnnexNo"/>
        <w:pageBreakBefore/>
        <w:rPr>
          <w:lang w:val="ru-RU"/>
        </w:rPr>
      </w:pPr>
      <w:r w:rsidRPr="00F26A42">
        <w:rPr>
          <w:lang w:val="ru-RU"/>
        </w:rPr>
        <w:lastRenderedPageBreak/>
        <w:t>ПРИЛОЖЕНИЕ 2</w:t>
      </w:r>
    </w:p>
    <w:p w14:paraId="6268FE8A" w14:textId="1B166744" w:rsidR="00713D99" w:rsidRPr="00F26A42" w:rsidRDefault="00713D99" w:rsidP="00BF1038">
      <w:pPr>
        <w:pStyle w:val="Annextitle"/>
        <w:rPr>
          <w:lang w:val="ru-RU"/>
        </w:rPr>
      </w:pPr>
      <w:r w:rsidRPr="00F26A42">
        <w:rPr>
          <w:lang w:val="ru-RU"/>
        </w:rPr>
        <w:t xml:space="preserve">Предмет: ответ Государства-Члена на Циркуляр </w:t>
      </w:r>
      <w:r w:rsidR="003F3511">
        <w:rPr>
          <w:lang w:val="ru-RU"/>
        </w:rPr>
        <w:t>50</w:t>
      </w:r>
      <w:r w:rsidRPr="00F26A42">
        <w:rPr>
          <w:lang w:val="ru-RU"/>
        </w:rPr>
        <w:t xml:space="preserve"> БСЭ </w:t>
      </w:r>
      <w:r w:rsidRPr="00F26A42">
        <w:rPr>
          <w:lang w:val="ru-RU"/>
        </w:rPr>
        <w:br/>
      </w:r>
      <w:r w:rsidR="003F3511" w:rsidRPr="00E154BA">
        <w:rPr>
          <w:bCs/>
          <w:color w:val="000000"/>
          <w:lang w:val="ru-RU"/>
        </w:rPr>
        <w:t>Консультации по проектам новых Рекомендаций МСЭ-T X.1062 (ранее X.shcd), X.1238 (ранее X.sgc-rcs), X.1128 (ранее X.mt-feature), X.1129 (ранее X.mt-integrity), X.1130 (ранее X.tg-fdma), X.1457 (ранее X.str-irs), X.1753 (ранее X.gdsml), X.1649</w:t>
      </w:r>
      <w:r w:rsidR="003F3511">
        <w:rPr>
          <w:bCs/>
          <w:color w:val="000000"/>
          <w:lang w:val="ru-RU"/>
        </w:rPr>
        <w:t> </w:t>
      </w:r>
      <w:r w:rsidR="003F3511" w:rsidRPr="00E154BA">
        <w:rPr>
          <w:bCs/>
          <w:color w:val="000000"/>
          <w:lang w:val="ru-RU"/>
        </w:rPr>
        <w:t>(ранее X.sgmc) и пересмотренных Рекомендаци</w:t>
      </w:r>
      <w:r w:rsidR="003F3511" w:rsidRPr="00E154BA">
        <w:rPr>
          <w:b w:val="0"/>
          <w:bCs/>
          <w:color w:val="000000"/>
          <w:lang w:val="ru-RU"/>
        </w:rPr>
        <w:t>й</w:t>
      </w:r>
      <w:r w:rsidR="003F3511" w:rsidRPr="00E154BA">
        <w:rPr>
          <w:bCs/>
          <w:color w:val="000000"/>
          <w:lang w:val="ru-RU"/>
        </w:rPr>
        <w:t xml:space="preserve"> МСЭ-Т X.1250 и X.1631, по</w:t>
      </w:r>
      <w:r w:rsidR="003F3511">
        <w:rPr>
          <w:bCs/>
          <w:color w:val="000000"/>
          <w:lang w:val="ru-RU"/>
        </w:rPr>
        <w:t> </w:t>
      </w:r>
      <w:r w:rsidR="003F3511" w:rsidRPr="00E154BA">
        <w:rPr>
          <w:bCs/>
          <w:color w:val="000000"/>
          <w:lang w:val="ru-RU"/>
        </w:rPr>
        <w:t>которым сделано заключение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1064"/>
        <w:gridCol w:w="4039"/>
        <w:gridCol w:w="1276"/>
        <w:gridCol w:w="3402"/>
      </w:tblGrid>
      <w:tr w:rsidR="00713D99" w:rsidRPr="00A71EFE" w14:paraId="19031902" w14:textId="77777777" w:rsidTr="009F717B">
        <w:tc>
          <w:tcPr>
            <w:tcW w:w="1064" w:type="dxa"/>
            <w:shd w:val="clear" w:color="auto" w:fill="auto"/>
          </w:tcPr>
          <w:p w14:paraId="70F9DAA2" w14:textId="77777777" w:rsidR="00713D99" w:rsidRPr="00F26A42" w:rsidRDefault="00713D99" w:rsidP="00713D99">
            <w:pPr>
              <w:overflowPunct/>
              <w:autoSpaceDE/>
              <w:autoSpaceDN/>
              <w:adjustRightInd/>
              <w:ind w:left="-113"/>
              <w:jc w:val="right"/>
              <w:textAlignment w:val="auto"/>
              <w:rPr>
                <w:szCs w:val="24"/>
                <w:lang w:val="ru-RU"/>
              </w:rPr>
            </w:pPr>
            <w:r w:rsidRPr="00F26A42">
              <w:rPr>
                <w:b/>
                <w:bCs/>
                <w:szCs w:val="24"/>
                <w:lang w:val="ru-RU"/>
              </w:rPr>
              <w:t>Кому</w:t>
            </w:r>
            <w:r w:rsidRPr="00F26A42">
              <w:rPr>
                <w:szCs w:val="24"/>
                <w:lang w:val="ru-RU"/>
              </w:rPr>
              <w:t>:</w:t>
            </w:r>
          </w:p>
        </w:tc>
        <w:tc>
          <w:tcPr>
            <w:tcW w:w="4039" w:type="dxa"/>
            <w:tcBorders>
              <w:right w:val="single" w:sz="8" w:space="0" w:color="auto"/>
            </w:tcBorders>
            <w:shd w:val="clear" w:color="auto" w:fill="auto"/>
          </w:tcPr>
          <w:p w14:paraId="6EEEFBEA" w14:textId="38358E2C" w:rsidR="00713D99" w:rsidRPr="00F26A42" w:rsidRDefault="00713D99" w:rsidP="00A7119D">
            <w:pPr>
              <w:overflowPunct/>
              <w:autoSpaceDE/>
              <w:autoSpaceDN/>
              <w:adjustRightInd/>
              <w:spacing w:after="120"/>
              <w:jc w:val="left"/>
              <w:textAlignment w:val="auto"/>
              <w:rPr>
                <w:szCs w:val="24"/>
                <w:lang w:val="ru-RU"/>
              </w:rPr>
            </w:pPr>
            <w:r w:rsidRPr="00F26A42">
              <w:rPr>
                <w:szCs w:val="24"/>
                <w:lang w:val="ru-RU"/>
              </w:rPr>
              <w:t xml:space="preserve">Директору </w:t>
            </w:r>
            <w:r w:rsidRPr="00F26A42">
              <w:rPr>
                <w:szCs w:val="24"/>
                <w:lang w:val="ru-RU"/>
              </w:rPr>
              <w:br/>
              <w:t>Бюро стандартизации электросвязи</w:t>
            </w:r>
            <w:r w:rsidR="00A7119D">
              <w:rPr>
                <w:szCs w:val="24"/>
                <w:lang w:val="ru-RU"/>
              </w:rPr>
              <w:br/>
            </w:r>
            <w:r w:rsidRPr="00F26A42">
              <w:rPr>
                <w:szCs w:val="24"/>
                <w:lang w:val="ru-RU"/>
              </w:rPr>
              <w:t>Международный союз электросвязи</w:t>
            </w:r>
            <w:r w:rsidR="00A7119D">
              <w:rPr>
                <w:szCs w:val="24"/>
                <w:lang w:val="ru-RU"/>
              </w:rPr>
              <w:br/>
            </w:r>
            <w:r w:rsidRPr="00F26A42">
              <w:rPr>
                <w:szCs w:val="24"/>
                <w:lang w:val="ru-RU"/>
              </w:rPr>
              <w:t>Place des Nations</w:t>
            </w:r>
            <w:r w:rsidR="00A7119D">
              <w:rPr>
                <w:szCs w:val="24"/>
                <w:lang w:val="ru-RU"/>
              </w:rPr>
              <w:br/>
            </w:r>
            <w:r w:rsidRPr="00F26A42">
              <w:rPr>
                <w:szCs w:val="24"/>
                <w:lang w:val="ru-RU"/>
              </w:rPr>
              <w:t>CH 1211 Geneva 20, Switzerland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shd w:val="clear" w:color="auto" w:fill="auto"/>
          </w:tcPr>
          <w:p w14:paraId="61432708" w14:textId="77777777" w:rsidR="00713D99" w:rsidRPr="00F26A42" w:rsidRDefault="00713D99" w:rsidP="00713D99">
            <w:pPr>
              <w:overflowPunct/>
              <w:autoSpaceDE/>
              <w:autoSpaceDN/>
              <w:adjustRightInd/>
              <w:jc w:val="right"/>
              <w:textAlignment w:val="auto"/>
              <w:rPr>
                <w:szCs w:val="24"/>
                <w:lang w:val="ru-RU"/>
              </w:rPr>
            </w:pPr>
            <w:r w:rsidRPr="00F26A42">
              <w:rPr>
                <w:b/>
                <w:bCs/>
                <w:szCs w:val="24"/>
                <w:lang w:val="ru-RU"/>
              </w:rPr>
              <w:t>От</w:t>
            </w:r>
            <w:r w:rsidRPr="00F26A42">
              <w:rPr>
                <w:szCs w:val="24"/>
                <w:lang w:val="ru-RU"/>
              </w:rPr>
              <w:t>:</w:t>
            </w:r>
          </w:p>
        </w:tc>
        <w:tc>
          <w:tcPr>
            <w:tcW w:w="3402" w:type="dxa"/>
            <w:shd w:val="clear" w:color="auto" w:fill="auto"/>
          </w:tcPr>
          <w:p w14:paraId="5546D26A" w14:textId="1C5306B8" w:rsidR="00713D99" w:rsidRPr="00F26A42" w:rsidRDefault="00713D99" w:rsidP="00A7119D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4"/>
                <w:lang w:val="ru-RU"/>
              </w:rPr>
            </w:pPr>
            <w:r w:rsidRPr="00F26A42">
              <w:rPr>
                <w:szCs w:val="24"/>
                <w:highlight w:val="green"/>
                <w:lang w:val="ru-RU"/>
              </w:rPr>
              <w:t>[Фамилия]</w:t>
            </w:r>
            <w:r w:rsidR="00A7119D">
              <w:rPr>
                <w:szCs w:val="24"/>
                <w:highlight w:val="green"/>
                <w:lang w:val="ru-RU"/>
              </w:rPr>
              <w:br/>
            </w:r>
            <w:r w:rsidRPr="00F26A42">
              <w:rPr>
                <w:szCs w:val="24"/>
                <w:highlight w:val="green"/>
                <w:lang w:val="ru-RU"/>
              </w:rPr>
              <w:t>[Официальная должность/титул]</w:t>
            </w:r>
            <w:r w:rsidR="00A7119D">
              <w:rPr>
                <w:szCs w:val="24"/>
                <w:highlight w:val="green"/>
                <w:lang w:val="ru-RU"/>
              </w:rPr>
              <w:br/>
            </w:r>
            <w:r w:rsidRPr="00F26A42">
              <w:rPr>
                <w:szCs w:val="24"/>
                <w:highlight w:val="green"/>
                <w:lang w:val="ru-RU"/>
              </w:rPr>
              <w:t>[Адрес]</w:t>
            </w:r>
          </w:p>
        </w:tc>
      </w:tr>
      <w:tr w:rsidR="00713D99" w:rsidRPr="00F26A42" w14:paraId="6B3A3593" w14:textId="77777777" w:rsidTr="009F717B">
        <w:tc>
          <w:tcPr>
            <w:tcW w:w="1064" w:type="dxa"/>
            <w:shd w:val="clear" w:color="auto" w:fill="auto"/>
          </w:tcPr>
          <w:p w14:paraId="26E315CE" w14:textId="77777777" w:rsidR="00713D99" w:rsidRPr="00F26A42" w:rsidRDefault="00713D99" w:rsidP="00713D99">
            <w:pPr>
              <w:overflowPunct/>
              <w:autoSpaceDE/>
              <w:autoSpaceDN/>
              <w:adjustRightInd/>
              <w:spacing w:before="0"/>
              <w:ind w:left="-113"/>
              <w:jc w:val="right"/>
              <w:textAlignment w:val="auto"/>
              <w:rPr>
                <w:szCs w:val="24"/>
                <w:lang w:val="ru-RU"/>
              </w:rPr>
            </w:pPr>
            <w:r w:rsidRPr="00F26A42">
              <w:rPr>
                <w:b/>
                <w:bCs/>
                <w:szCs w:val="24"/>
                <w:lang w:val="ru-RU"/>
              </w:rPr>
              <w:t>Факс</w:t>
            </w:r>
            <w:r w:rsidRPr="00F26A42">
              <w:rPr>
                <w:szCs w:val="24"/>
                <w:lang w:val="ru-RU"/>
              </w:rPr>
              <w:t>:</w:t>
            </w:r>
          </w:p>
          <w:p w14:paraId="70C83C86" w14:textId="77777777" w:rsidR="00713D99" w:rsidRPr="00F26A42" w:rsidRDefault="00713D99" w:rsidP="00713D99">
            <w:pPr>
              <w:overflowPunct/>
              <w:autoSpaceDE/>
              <w:autoSpaceDN/>
              <w:adjustRightInd/>
              <w:spacing w:before="0"/>
              <w:ind w:left="-113"/>
              <w:jc w:val="right"/>
              <w:textAlignment w:val="auto"/>
              <w:rPr>
                <w:szCs w:val="24"/>
                <w:lang w:val="ru-RU"/>
              </w:rPr>
            </w:pPr>
            <w:r w:rsidRPr="00F26A42">
              <w:rPr>
                <w:b/>
                <w:bCs/>
                <w:szCs w:val="24"/>
                <w:lang w:val="ru-RU"/>
              </w:rPr>
              <w:t>Эл. почта</w:t>
            </w:r>
            <w:r w:rsidRPr="00F26A42">
              <w:rPr>
                <w:szCs w:val="24"/>
                <w:lang w:val="ru-RU"/>
              </w:rPr>
              <w:t>:</w:t>
            </w:r>
          </w:p>
        </w:tc>
        <w:tc>
          <w:tcPr>
            <w:tcW w:w="4039" w:type="dxa"/>
            <w:tcBorders>
              <w:right w:val="single" w:sz="8" w:space="0" w:color="auto"/>
            </w:tcBorders>
            <w:shd w:val="clear" w:color="auto" w:fill="auto"/>
          </w:tcPr>
          <w:p w14:paraId="4CC6E5D4" w14:textId="77777777" w:rsidR="00713D99" w:rsidRPr="00F26A42" w:rsidRDefault="00713D99" w:rsidP="00713D9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szCs w:val="24"/>
                <w:lang w:val="ru-RU"/>
              </w:rPr>
            </w:pPr>
            <w:r w:rsidRPr="00F26A42">
              <w:rPr>
                <w:szCs w:val="24"/>
                <w:lang w:val="ru-RU"/>
              </w:rPr>
              <w:t>+41 22 730 5853</w:t>
            </w:r>
          </w:p>
          <w:p w14:paraId="056BC751" w14:textId="77777777" w:rsidR="00713D99" w:rsidRPr="00F26A42" w:rsidRDefault="00713D99" w:rsidP="00713D9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szCs w:val="24"/>
                <w:lang w:val="ru-RU"/>
              </w:rPr>
            </w:pPr>
            <w:hyperlink r:id="rId34" w:history="1">
              <w:r w:rsidRPr="00F26A42">
                <w:rPr>
                  <w:color w:val="0000FF"/>
                  <w:szCs w:val="24"/>
                  <w:u w:val="single"/>
                  <w:lang w:val="ru-RU"/>
                </w:rPr>
                <w:t>tsbdir@itu.int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</w:tcBorders>
            <w:shd w:val="clear" w:color="auto" w:fill="auto"/>
          </w:tcPr>
          <w:p w14:paraId="12CA24FA" w14:textId="77777777" w:rsidR="00713D99" w:rsidRPr="00F26A42" w:rsidRDefault="00713D99" w:rsidP="00713D99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szCs w:val="24"/>
                <w:lang w:val="ru-RU"/>
              </w:rPr>
            </w:pPr>
            <w:r w:rsidRPr="00F26A42">
              <w:rPr>
                <w:b/>
                <w:bCs/>
                <w:szCs w:val="24"/>
                <w:lang w:val="ru-RU"/>
              </w:rPr>
              <w:t>Факс</w:t>
            </w:r>
            <w:r w:rsidRPr="00F26A42">
              <w:rPr>
                <w:szCs w:val="24"/>
                <w:lang w:val="ru-RU"/>
              </w:rPr>
              <w:t>:</w:t>
            </w:r>
          </w:p>
          <w:p w14:paraId="6FF94749" w14:textId="77777777" w:rsidR="00713D99" w:rsidRPr="00F26A42" w:rsidRDefault="00713D99" w:rsidP="00713D99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szCs w:val="24"/>
                <w:lang w:val="ru-RU"/>
              </w:rPr>
            </w:pPr>
            <w:r w:rsidRPr="00F26A42">
              <w:rPr>
                <w:b/>
                <w:bCs/>
                <w:szCs w:val="24"/>
                <w:lang w:val="ru-RU"/>
              </w:rPr>
              <w:t>Эл. почта</w:t>
            </w:r>
            <w:r w:rsidRPr="00F26A42">
              <w:rPr>
                <w:szCs w:val="24"/>
                <w:lang w:val="ru-RU"/>
              </w:rPr>
              <w:t>:</w:t>
            </w:r>
          </w:p>
        </w:tc>
        <w:tc>
          <w:tcPr>
            <w:tcW w:w="3402" w:type="dxa"/>
            <w:shd w:val="clear" w:color="auto" w:fill="auto"/>
          </w:tcPr>
          <w:p w14:paraId="4930ABC3" w14:textId="77777777" w:rsidR="00713D99" w:rsidRPr="00F26A42" w:rsidRDefault="00713D99" w:rsidP="00713D9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szCs w:val="24"/>
                <w:lang w:val="ru-RU"/>
              </w:rPr>
            </w:pPr>
          </w:p>
        </w:tc>
      </w:tr>
      <w:tr w:rsidR="00713D99" w:rsidRPr="00F26A42" w14:paraId="0C59F2A2" w14:textId="77777777" w:rsidTr="009F717B">
        <w:tc>
          <w:tcPr>
            <w:tcW w:w="1064" w:type="dxa"/>
            <w:shd w:val="clear" w:color="auto" w:fill="auto"/>
          </w:tcPr>
          <w:p w14:paraId="33262B29" w14:textId="77777777" w:rsidR="00713D99" w:rsidRPr="00F26A42" w:rsidRDefault="00713D99" w:rsidP="00713D99">
            <w:pPr>
              <w:overflowPunct/>
              <w:autoSpaceDE/>
              <w:autoSpaceDN/>
              <w:adjustRightInd/>
              <w:spacing w:before="0"/>
              <w:ind w:left="-113"/>
              <w:jc w:val="right"/>
              <w:textAlignment w:val="auto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4039" w:type="dxa"/>
            <w:tcBorders>
              <w:right w:val="single" w:sz="8" w:space="0" w:color="auto"/>
            </w:tcBorders>
            <w:shd w:val="clear" w:color="auto" w:fill="auto"/>
          </w:tcPr>
          <w:p w14:paraId="5A5286F4" w14:textId="77777777" w:rsidR="00713D99" w:rsidRPr="00F26A42" w:rsidRDefault="00713D99" w:rsidP="00713D9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  <w:shd w:val="clear" w:color="auto" w:fill="auto"/>
          </w:tcPr>
          <w:p w14:paraId="2B102E49" w14:textId="77777777" w:rsidR="00713D99" w:rsidRPr="00F26A42" w:rsidRDefault="00713D99" w:rsidP="00713D99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b/>
                <w:bCs/>
                <w:szCs w:val="24"/>
                <w:lang w:val="ru-RU"/>
              </w:rPr>
            </w:pPr>
            <w:r w:rsidRPr="00F26A42">
              <w:rPr>
                <w:b/>
                <w:bCs/>
                <w:szCs w:val="24"/>
                <w:lang w:val="ru-RU"/>
              </w:rPr>
              <w:t>Дата</w:t>
            </w:r>
            <w:r w:rsidRPr="00F26A42">
              <w:rPr>
                <w:szCs w:val="24"/>
                <w:lang w:val="ru-RU"/>
              </w:rPr>
              <w:t>:</w:t>
            </w:r>
          </w:p>
        </w:tc>
        <w:tc>
          <w:tcPr>
            <w:tcW w:w="3402" w:type="dxa"/>
            <w:shd w:val="clear" w:color="auto" w:fill="auto"/>
          </w:tcPr>
          <w:p w14:paraId="26CC72B9" w14:textId="77777777" w:rsidR="00713D99" w:rsidRPr="00F26A42" w:rsidRDefault="00713D99" w:rsidP="00713D9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szCs w:val="24"/>
                <w:lang w:val="ru-RU"/>
              </w:rPr>
            </w:pPr>
            <w:r w:rsidRPr="00F26A42">
              <w:rPr>
                <w:szCs w:val="24"/>
                <w:highlight w:val="green"/>
                <w:lang w:val="ru-RU"/>
              </w:rPr>
              <w:t>[Место,] [Дата]</w:t>
            </w:r>
          </w:p>
        </w:tc>
      </w:tr>
    </w:tbl>
    <w:p w14:paraId="71BDF901" w14:textId="77777777" w:rsidR="00713D99" w:rsidRPr="00F26A42" w:rsidRDefault="00713D99" w:rsidP="00713D99">
      <w:pPr>
        <w:overflowPunct/>
        <w:autoSpaceDE/>
        <w:autoSpaceDN/>
        <w:adjustRightInd/>
        <w:spacing w:before="480"/>
        <w:jc w:val="left"/>
        <w:textAlignment w:val="auto"/>
        <w:rPr>
          <w:szCs w:val="24"/>
          <w:lang w:val="ru-RU"/>
        </w:rPr>
      </w:pPr>
      <w:r w:rsidRPr="00F26A42">
        <w:rPr>
          <w:szCs w:val="24"/>
          <w:lang w:val="ru-RU"/>
        </w:rPr>
        <w:t>Уважаемая госпожа,</w:t>
      </w:r>
      <w:r w:rsidRPr="00F26A42">
        <w:rPr>
          <w:szCs w:val="24"/>
          <w:lang w:val="ru-RU"/>
        </w:rPr>
        <w:br/>
        <w:t>уважаемый господин,</w:t>
      </w:r>
    </w:p>
    <w:p w14:paraId="2006987F" w14:textId="5F2AA96D" w:rsidR="00713D99" w:rsidRPr="00F26A42" w:rsidRDefault="00713D99" w:rsidP="00713D99">
      <w:pPr>
        <w:overflowPunct/>
        <w:autoSpaceDE/>
        <w:autoSpaceDN/>
        <w:adjustRightInd/>
        <w:spacing w:after="120"/>
        <w:jc w:val="left"/>
        <w:textAlignment w:val="auto"/>
        <w:rPr>
          <w:szCs w:val="24"/>
          <w:lang w:val="ru-RU"/>
        </w:rPr>
      </w:pPr>
      <w:r w:rsidRPr="00F26A42">
        <w:rPr>
          <w:szCs w:val="24"/>
          <w:lang w:val="ru-RU"/>
        </w:rPr>
        <w:t xml:space="preserve">В рамках консультаций с Государствами-Членами </w:t>
      </w:r>
      <w:r w:rsidRPr="00F26A42">
        <w:rPr>
          <w:bCs/>
          <w:szCs w:val="24"/>
          <w:lang w:val="ru-RU"/>
        </w:rPr>
        <w:t>по указанным в Циркуляре </w:t>
      </w:r>
      <w:r w:rsidR="003F3511">
        <w:rPr>
          <w:bCs/>
          <w:szCs w:val="24"/>
          <w:lang w:val="ru-RU"/>
        </w:rPr>
        <w:t>5</w:t>
      </w:r>
      <w:r w:rsidR="0033002C" w:rsidRPr="00A71EFE">
        <w:rPr>
          <w:bCs/>
          <w:szCs w:val="24"/>
          <w:lang w:val="ru-RU"/>
        </w:rPr>
        <w:t>0</w:t>
      </w:r>
      <w:r w:rsidRPr="00F26A42">
        <w:rPr>
          <w:bCs/>
          <w:szCs w:val="24"/>
          <w:lang w:val="ru-RU"/>
        </w:rPr>
        <w:t xml:space="preserve"> БСЭ проектам текстов, по которым сделано </w:t>
      </w:r>
      <w:r w:rsidRPr="00F26A42">
        <w:rPr>
          <w:szCs w:val="24"/>
          <w:lang w:val="ru-RU"/>
        </w:rPr>
        <w:t>заключение</w:t>
      </w:r>
      <w:r w:rsidRPr="00F26A42">
        <w:rPr>
          <w:bCs/>
          <w:szCs w:val="24"/>
          <w:lang w:val="ru-RU"/>
        </w:rPr>
        <w:t xml:space="preserve">, </w:t>
      </w:r>
      <w:r w:rsidRPr="00F26A42">
        <w:rPr>
          <w:szCs w:val="24"/>
          <w:lang w:val="ru-RU"/>
        </w:rPr>
        <w:t>я хотел/хотела бы сообщить вам мнение администрации, изложенное в таблице, ниже.</w:t>
      </w: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646"/>
      </w:tblGrid>
      <w:tr w:rsidR="00713D99" w:rsidRPr="00A71EFE" w14:paraId="79AE88E6" w14:textId="77777777" w:rsidTr="009F717B">
        <w:trPr>
          <w:cantSplit/>
          <w:tblHeader/>
        </w:trPr>
        <w:tc>
          <w:tcPr>
            <w:tcW w:w="1980" w:type="dxa"/>
            <w:vAlign w:val="center"/>
          </w:tcPr>
          <w:p w14:paraId="381500CD" w14:textId="77777777" w:rsidR="00713D99" w:rsidRPr="00F26A42" w:rsidRDefault="00713D99" w:rsidP="00713D99">
            <w:pPr>
              <w:spacing w:before="80" w:after="8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646" w:type="dxa"/>
            <w:shd w:val="clear" w:color="auto" w:fill="auto"/>
            <w:vAlign w:val="center"/>
          </w:tcPr>
          <w:p w14:paraId="18CC88F3" w14:textId="77777777" w:rsidR="00713D99" w:rsidRPr="00F26A42" w:rsidRDefault="00713D99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 w:after="80"/>
              <w:ind w:left="939" w:hanging="459"/>
              <w:jc w:val="center"/>
              <w:rPr>
                <w:b/>
                <w:bCs/>
                <w:sz w:val="20"/>
                <w:lang w:val="ru-RU"/>
              </w:rPr>
            </w:pPr>
            <w:r w:rsidRPr="00F26A42">
              <w:rPr>
                <w:b/>
                <w:bCs/>
                <w:sz w:val="20"/>
                <w:lang w:val="ru-RU"/>
              </w:rPr>
              <w:t>Выбрать одну из двух ячеек</w:t>
            </w:r>
          </w:p>
        </w:tc>
      </w:tr>
      <w:tr w:rsidR="00713D99" w:rsidRPr="00A71EFE" w14:paraId="791C7EBF" w14:textId="77777777" w:rsidTr="009F717B">
        <w:trPr>
          <w:cantSplit/>
          <w:trHeight w:val="74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6C95B" w14:textId="701BB76A" w:rsidR="00713D99" w:rsidRPr="00F26A42" w:rsidRDefault="003F3511" w:rsidP="00713D99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r w:rsidRPr="005102E4">
              <w:rPr>
                <w:b/>
                <w:bCs/>
                <w:color w:val="000000"/>
                <w:lang w:val="ru-RU"/>
              </w:rPr>
              <w:t>Проект новой Рекомендации X.1062 (ранее</w:t>
            </w:r>
            <w:r>
              <w:rPr>
                <w:b/>
                <w:bCs/>
                <w:color w:val="000000"/>
                <w:lang w:val="ru-RU"/>
              </w:rPr>
              <w:t xml:space="preserve"> –</w:t>
            </w:r>
            <w:r w:rsidRPr="005102E4">
              <w:rPr>
                <w:b/>
                <w:bCs/>
                <w:color w:val="000000"/>
                <w:lang w:val="ru-RU"/>
              </w:rPr>
              <w:t xml:space="preserve"> X.shcd)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6DD1" w14:textId="68A2A6D4" w:rsidR="00713D99" w:rsidRPr="00F26A42" w:rsidRDefault="00F60E73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jc w:val="left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70594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713D99" w:rsidRPr="00F26A42">
              <w:rPr>
                <w:b/>
                <w:bCs/>
                <w:sz w:val="20"/>
                <w:lang w:val="ru-RU"/>
              </w:rPr>
              <w:tab/>
              <w:t>Предоставляет полномочия</w:t>
            </w:r>
            <w:r w:rsidR="00713D99" w:rsidRPr="00F26A42">
              <w:rPr>
                <w:sz w:val="20"/>
                <w:lang w:val="ru-RU"/>
              </w:rPr>
              <w:t xml:space="preserve"> ИК</w:t>
            </w:r>
            <w:r w:rsidR="003F3511">
              <w:rPr>
                <w:sz w:val="20"/>
                <w:lang w:val="ru-RU"/>
              </w:rPr>
              <w:t>17</w:t>
            </w:r>
            <w:r w:rsidR="00713D99" w:rsidRPr="00F26A42">
              <w:rPr>
                <w:sz w:val="20"/>
                <w:lang w:val="ru-RU"/>
              </w:rPr>
              <w:t xml:space="preserve"> для рассмотрения этого текста с целью его утверждения (в этом случае выбрать один из двух вариантов):</w:t>
            </w:r>
          </w:p>
          <w:p w14:paraId="63ACC8E2" w14:textId="1EE42CF6" w:rsidR="00713D99" w:rsidRPr="00F26A42" w:rsidRDefault="00F60E73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jc w:val="left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51126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713D99" w:rsidRPr="00F26A42">
              <w:rPr>
                <w:sz w:val="20"/>
                <w:lang w:val="ru-RU"/>
              </w:rPr>
              <w:tab/>
              <w:t>Замечания или предлагаемые изменения отсутствуют</w:t>
            </w:r>
          </w:p>
          <w:p w14:paraId="76A37DC2" w14:textId="4180FBE6" w:rsidR="00713D99" w:rsidRPr="00F26A42" w:rsidRDefault="00F60E73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jc w:val="left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154674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EE9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713D99" w:rsidRPr="00F26A42">
              <w:rPr>
                <w:sz w:val="20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713D99" w:rsidRPr="00A71EFE" w14:paraId="14014E30" w14:textId="77777777" w:rsidTr="009F717B">
        <w:trPr>
          <w:cantSplit/>
          <w:trHeight w:val="748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76E94" w14:textId="77777777" w:rsidR="00713D99" w:rsidRPr="00F26A42" w:rsidRDefault="00713D99" w:rsidP="00713D99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1415" w14:textId="0AD1C5E3" w:rsidR="00713D99" w:rsidRPr="00F26A42" w:rsidRDefault="00F60E73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jc w:val="left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65484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EE9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713D99" w:rsidRPr="00F26A42">
              <w:rPr>
                <w:sz w:val="20"/>
                <w:lang w:val="ru-RU"/>
              </w:rPr>
              <w:tab/>
            </w:r>
            <w:r w:rsidR="00713D99" w:rsidRPr="00F26A42">
              <w:rPr>
                <w:b/>
                <w:bCs/>
                <w:sz w:val="20"/>
                <w:lang w:val="ru-RU"/>
              </w:rPr>
              <w:t>Не предоставляет полномочий</w:t>
            </w:r>
            <w:r w:rsidR="00713D99" w:rsidRPr="00F26A42">
              <w:rPr>
                <w:sz w:val="20"/>
                <w:lang w:val="ru-RU"/>
              </w:rPr>
              <w:t xml:space="preserve"> ИК</w:t>
            </w:r>
            <w:r w:rsidR="003F3511">
              <w:rPr>
                <w:sz w:val="20"/>
                <w:lang w:val="ru-RU"/>
              </w:rPr>
              <w:t>17</w:t>
            </w:r>
            <w:r w:rsidR="00713D99" w:rsidRPr="00F26A42">
              <w:rPr>
                <w:sz w:val="20"/>
                <w:lang w:val="ru-RU"/>
              </w:rPr>
              <w:t xml:space="preserve"> 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  <w:tr w:rsidR="00713D99" w:rsidRPr="00A71EFE" w14:paraId="14C2EAB9" w14:textId="77777777" w:rsidTr="009F717B">
        <w:trPr>
          <w:cantSplit/>
          <w:trHeight w:val="74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131C6" w14:textId="4AE0D7CD" w:rsidR="00713D99" w:rsidRPr="00F26A42" w:rsidRDefault="003F3511" w:rsidP="00713D99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r w:rsidRPr="00F47160">
              <w:rPr>
                <w:b/>
                <w:bCs/>
                <w:color w:val="000000"/>
                <w:lang w:val="ru-RU"/>
              </w:rPr>
              <w:t xml:space="preserve">Проект новой Рекомендации </w:t>
            </w:r>
            <w:r w:rsidRPr="00F47160">
              <w:rPr>
                <w:b/>
                <w:bCs/>
                <w:color w:val="000000"/>
                <w:szCs w:val="24"/>
                <w:lang w:val="ru-RU"/>
              </w:rPr>
              <w:t>X.1238 (</w:t>
            </w:r>
            <w:r w:rsidRPr="00F47160">
              <w:rPr>
                <w:b/>
                <w:bCs/>
                <w:color w:val="000000"/>
                <w:lang w:val="ru-RU"/>
              </w:rPr>
              <w:t>ранее –</w:t>
            </w:r>
            <w:r w:rsidRPr="00F47160">
              <w:rPr>
                <w:b/>
                <w:bCs/>
                <w:color w:val="000000"/>
                <w:szCs w:val="24"/>
                <w:lang w:val="ru-RU"/>
              </w:rPr>
              <w:t>X.sgc-rcs)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4475" w14:textId="4AF52B46" w:rsidR="00713D99" w:rsidRPr="00F26A42" w:rsidRDefault="00F60E73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jc w:val="left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31345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EE9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713D99" w:rsidRPr="00F26A42">
              <w:rPr>
                <w:b/>
                <w:bCs/>
                <w:sz w:val="20"/>
                <w:lang w:val="ru-RU"/>
              </w:rPr>
              <w:tab/>
              <w:t>Предоставляет полномочия</w:t>
            </w:r>
            <w:r w:rsidR="00713D99" w:rsidRPr="00F26A42">
              <w:rPr>
                <w:sz w:val="20"/>
                <w:lang w:val="ru-RU"/>
              </w:rPr>
              <w:t xml:space="preserve"> ИК</w:t>
            </w:r>
            <w:r w:rsidR="003F3511">
              <w:rPr>
                <w:sz w:val="20"/>
                <w:lang w:val="ru-RU"/>
              </w:rPr>
              <w:t>17</w:t>
            </w:r>
            <w:r w:rsidR="00713D99" w:rsidRPr="00F26A42">
              <w:rPr>
                <w:sz w:val="20"/>
                <w:lang w:val="ru-RU"/>
              </w:rPr>
              <w:t xml:space="preserve"> для рассмотрения этого текста с целью его утверждения (в этом случае выбрать один из двух вариантов):</w:t>
            </w:r>
          </w:p>
          <w:p w14:paraId="4A7219F0" w14:textId="354AB7E6" w:rsidR="00713D99" w:rsidRPr="00F26A42" w:rsidRDefault="00F60E73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jc w:val="left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6618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713D99" w:rsidRPr="00F26A42">
              <w:rPr>
                <w:sz w:val="20"/>
                <w:lang w:val="ru-RU"/>
              </w:rPr>
              <w:tab/>
              <w:t>Замечания или предлагаемые изменения отсутствуют</w:t>
            </w:r>
          </w:p>
          <w:p w14:paraId="1659F970" w14:textId="2BBD4F89" w:rsidR="00713D99" w:rsidRPr="00F26A42" w:rsidRDefault="00F60E73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jc w:val="left"/>
              <w:textAlignment w:val="auto"/>
              <w:rPr>
                <w:b/>
                <w:bCs/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17819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3C2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713D99" w:rsidRPr="00F26A42">
              <w:rPr>
                <w:sz w:val="20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713D99" w:rsidRPr="00A71EFE" w14:paraId="2C5FCFFC" w14:textId="77777777" w:rsidTr="009F717B">
        <w:trPr>
          <w:cantSplit/>
          <w:trHeight w:val="748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3750E" w14:textId="77777777" w:rsidR="00713D99" w:rsidRPr="00F26A42" w:rsidRDefault="00713D99" w:rsidP="00713D99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5641" w14:textId="7E2811DD" w:rsidR="00713D99" w:rsidRPr="00F26A42" w:rsidRDefault="00F60E73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jc w:val="left"/>
              <w:textAlignment w:val="auto"/>
              <w:rPr>
                <w:b/>
                <w:bCs/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114739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EE9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713D99" w:rsidRPr="00F26A42">
              <w:rPr>
                <w:sz w:val="20"/>
                <w:lang w:val="ru-RU"/>
              </w:rPr>
              <w:tab/>
            </w:r>
            <w:r w:rsidR="00713D99" w:rsidRPr="00F26A42">
              <w:rPr>
                <w:b/>
                <w:bCs/>
                <w:sz w:val="20"/>
                <w:lang w:val="ru-RU"/>
              </w:rPr>
              <w:t>Не предоставляет полномочий</w:t>
            </w:r>
            <w:r w:rsidR="00713D99" w:rsidRPr="00F26A42">
              <w:rPr>
                <w:sz w:val="20"/>
                <w:lang w:val="ru-RU"/>
              </w:rPr>
              <w:t xml:space="preserve"> ИК</w:t>
            </w:r>
            <w:r w:rsidR="003F3511">
              <w:rPr>
                <w:sz w:val="20"/>
                <w:lang w:val="ru-RU"/>
              </w:rPr>
              <w:t>17</w:t>
            </w:r>
            <w:r w:rsidR="00713D99" w:rsidRPr="00F26A42">
              <w:rPr>
                <w:sz w:val="20"/>
                <w:lang w:val="ru-RU"/>
              </w:rPr>
              <w:t xml:space="preserve"> 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  <w:tr w:rsidR="003F3511" w:rsidRPr="00A71EFE" w14:paraId="62511630" w14:textId="77777777" w:rsidTr="009F717B">
        <w:trPr>
          <w:cantSplit/>
          <w:trHeight w:val="748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06853" w14:textId="78047C0C" w:rsidR="003F3511" w:rsidRPr="00F26A42" w:rsidRDefault="003F3511" w:rsidP="003153C2">
            <w:pPr>
              <w:keepNext/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r w:rsidRPr="00F47160">
              <w:rPr>
                <w:b/>
                <w:bCs/>
                <w:color w:val="000000"/>
                <w:lang w:val="ru-RU"/>
              </w:rPr>
              <w:lastRenderedPageBreak/>
              <w:t xml:space="preserve">Проект новой Рекомендации </w:t>
            </w:r>
            <w:r w:rsidRPr="00F47160">
              <w:rPr>
                <w:b/>
                <w:bCs/>
                <w:color w:val="000000"/>
                <w:szCs w:val="24"/>
                <w:lang w:val="ru-RU"/>
              </w:rPr>
              <w:t>X.1128 (</w:t>
            </w:r>
            <w:r w:rsidRPr="00F47160">
              <w:rPr>
                <w:b/>
                <w:bCs/>
                <w:color w:val="000000"/>
                <w:lang w:val="ru-RU"/>
              </w:rPr>
              <w:t>ранее –</w:t>
            </w:r>
            <w:r w:rsidRPr="00F47160">
              <w:rPr>
                <w:b/>
                <w:bCs/>
                <w:color w:val="000000"/>
                <w:szCs w:val="24"/>
                <w:lang w:val="ru-RU"/>
              </w:rPr>
              <w:t>X.mt-feature)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C67D" w14:textId="77777777" w:rsidR="003F3511" w:rsidRPr="00F26A42" w:rsidRDefault="00F60E73" w:rsidP="003153C2">
            <w:pPr>
              <w:keepNext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jc w:val="left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110233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F3511" w:rsidRPr="00F26A42">
              <w:rPr>
                <w:b/>
                <w:bCs/>
                <w:sz w:val="20"/>
                <w:lang w:val="ru-RU"/>
              </w:rPr>
              <w:tab/>
              <w:t>Предоставляет полномочия</w:t>
            </w:r>
            <w:r w:rsidR="003F3511" w:rsidRPr="00F26A42">
              <w:rPr>
                <w:sz w:val="20"/>
                <w:lang w:val="ru-RU"/>
              </w:rPr>
              <w:t xml:space="preserve"> ИК</w:t>
            </w:r>
            <w:r w:rsidR="003F3511">
              <w:rPr>
                <w:sz w:val="20"/>
                <w:lang w:val="ru-RU"/>
              </w:rPr>
              <w:t>17</w:t>
            </w:r>
            <w:r w:rsidR="003F3511" w:rsidRPr="00F26A42">
              <w:rPr>
                <w:sz w:val="20"/>
                <w:lang w:val="ru-RU"/>
              </w:rPr>
              <w:t xml:space="preserve"> для рассмотрения этого текста с целью его утверждения (в этом случае выбрать один из двух вариантов):</w:t>
            </w:r>
          </w:p>
          <w:p w14:paraId="04B495C3" w14:textId="77777777" w:rsidR="003F3511" w:rsidRPr="00F26A42" w:rsidRDefault="00F60E73" w:rsidP="003153C2">
            <w:pPr>
              <w:keepNext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jc w:val="left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19105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F3511" w:rsidRPr="00F26A42">
              <w:rPr>
                <w:sz w:val="20"/>
                <w:lang w:val="ru-RU"/>
              </w:rPr>
              <w:tab/>
              <w:t>Замечания или предлагаемые изменения отсутствуют</w:t>
            </w:r>
          </w:p>
          <w:p w14:paraId="40CF0DCC" w14:textId="1EE1FFFB" w:rsidR="003F3511" w:rsidRDefault="00F60E73" w:rsidP="003153C2">
            <w:pPr>
              <w:keepNext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jc w:val="left"/>
              <w:textAlignment w:val="auto"/>
              <w:rPr>
                <w:rFonts w:ascii="MS Gothic" w:eastAsia="MS Gothic" w:hAnsi="MS Gothic"/>
                <w:sz w:val="30"/>
                <w:szCs w:val="3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205904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F3511" w:rsidRPr="00F26A42">
              <w:rPr>
                <w:sz w:val="20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3F3511" w:rsidRPr="00A71EFE" w14:paraId="32FBBC72" w14:textId="77777777" w:rsidTr="009F717B">
        <w:trPr>
          <w:cantSplit/>
          <w:trHeight w:val="748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F52F1" w14:textId="77777777" w:rsidR="003F3511" w:rsidRPr="00F26A42" w:rsidRDefault="003F3511" w:rsidP="003F3511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DC5C" w14:textId="2EBD2018" w:rsidR="003F3511" w:rsidRDefault="00F60E73" w:rsidP="003F351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jc w:val="left"/>
              <w:textAlignment w:val="auto"/>
              <w:rPr>
                <w:rFonts w:ascii="MS Gothic" w:eastAsia="MS Gothic" w:hAnsi="MS Gothic"/>
                <w:sz w:val="30"/>
                <w:szCs w:val="3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135955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F3511" w:rsidRPr="00F26A42">
              <w:rPr>
                <w:sz w:val="20"/>
                <w:lang w:val="ru-RU"/>
              </w:rPr>
              <w:tab/>
            </w:r>
            <w:r w:rsidR="003F3511" w:rsidRPr="00F26A42">
              <w:rPr>
                <w:b/>
                <w:bCs/>
                <w:sz w:val="20"/>
                <w:lang w:val="ru-RU"/>
              </w:rPr>
              <w:t>Не предоставляет полномочий</w:t>
            </w:r>
            <w:r w:rsidR="003F3511" w:rsidRPr="00F26A42">
              <w:rPr>
                <w:sz w:val="20"/>
                <w:lang w:val="ru-RU"/>
              </w:rPr>
              <w:t xml:space="preserve"> ИК</w:t>
            </w:r>
            <w:r w:rsidR="003F3511">
              <w:rPr>
                <w:sz w:val="20"/>
                <w:lang w:val="ru-RU"/>
              </w:rPr>
              <w:t>17</w:t>
            </w:r>
            <w:r w:rsidR="003F3511" w:rsidRPr="00F26A42">
              <w:rPr>
                <w:sz w:val="20"/>
                <w:lang w:val="ru-RU"/>
              </w:rPr>
              <w:t xml:space="preserve"> 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  <w:tr w:rsidR="003F3511" w:rsidRPr="00A71EFE" w14:paraId="22ACE523" w14:textId="77777777" w:rsidTr="009F717B">
        <w:trPr>
          <w:cantSplit/>
          <w:trHeight w:val="748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A1E1C" w14:textId="1C507617" w:rsidR="003F3511" w:rsidRPr="00F26A42" w:rsidRDefault="003F3511" w:rsidP="003F3511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r w:rsidRPr="00F47160">
              <w:rPr>
                <w:b/>
                <w:bCs/>
                <w:color w:val="000000"/>
                <w:lang w:val="ru-RU"/>
              </w:rPr>
              <w:t xml:space="preserve">Проект новой Рекомендации </w:t>
            </w:r>
            <w:r w:rsidRPr="00F47160">
              <w:rPr>
                <w:b/>
                <w:bCs/>
                <w:color w:val="000000"/>
                <w:szCs w:val="24"/>
                <w:lang w:val="ru-RU"/>
              </w:rPr>
              <w:t>X.1129 (</w:t>
            </w:r>
            <w:r w:rsidRPr="00F47160">
              <w:rPr>
                <w:b/>
                <w:bCs/>
                <w:color w:val="000000"/>
                <w:lang w:val="ru-RU"/>
              </w:rPr>
              <w:t>ранее –</w:t>
            </w:r>
            <w:r w:rsidRPr="00F47160">
              <w:rPr>
                <w:b/>
                <w:bCs/>
                <w:color w:val="000000"/>
                <w:szCs w:val="24"/>
                <w:lang w:val="ru-RU"/>
              </w:rPr>
              <w:t>X.mt-integrity)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DC70" w14:textId="77777777" w:rsidR="003F3511" w:rsidRPr="00F26A42" w:rsidRDefault="00F60E73" w:rsidP="003F351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jc w:val="left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200778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F3511" w:rsidRPr="00F26A42">
              <w:rPr>
                <w:b/>
                <w:bCs/>
                <w:sz w:val="20"/>
                <w:lang w:val="ru-RU"/>
              </w:rPr>
              <w:tab/>
              <w:t>Предоставляет полномочия</w:t>
            </w:r>
            <w:r w:rsidR="003F3511" w:rsidRPr="00F26A42">
              <w:rPr>
                <w:sz w:val="20"/>
                <w:lang w:val="ru-RU"/>
              </w:rPr>
              <w:t xml:space="preserve"> ИК</w:t>
            </w:r>
            <w:r w:rsidR="003F3511">
              <w:rPr>
                <w:sz w:val="20"/>
                <w:lang w:val="ru-RU"/>
              </w:rPr>
              <w:t>17</w:t>
            </w:r>
            <w:r w:rsidR="003F3511" w:rsidRPr="00F26A42">
              <w:rPr>
                <w:sz w:val="20"/>
                <w:lang w:val="ru-RU"/>
              </w:rPr>
              <w:t xml:space="preserve"> для рассмотрения этого текста с целью его утверждения (в этом случае выбрать один из двух вариантов):</w:t>
            </w:r>
          </w:p>
          <w:p w14:paraId="12476D43" w14:textId="77777777" w:rsidR="003F3511" w:rsidRPr="00F26A42" w:rsidRDefault="00F60E73" w:rsidP="003F351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jc w:val="left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68818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F3511" w:rsidRPr="00F26A42">
              <w:rPr>
                <w:sz w:val="20"/>
                <w:lang w:val="ru-RU"/>
              </w:rPr>
              <w:tab/>
              <w:t>Замечания или предлагаемые изменения отсутствуют</w:t>
            </w:r>
          </w:p>
          <w:p w14:paraId="6BB1E50C" w14:textId="59375C22" w:rsidR="003F3511" w:rsidRDefault="00F60E73" w:rsidP="003F351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jc w:val="left"/>
              <w:textAlignment w:val="auto"/>
              <w:rPr>
                <w:rFonts w:ascii="MS Gothic" w:eastAsia="MS Gothic" w:hAnsi="MS Gothic"/>
                <w:sz w:val="30"/>
                <w:szCs w:val="3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212190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F3511" w:rsidRPr="00F26A42">
              <w:rPr>
                <w:sz w:val="20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3F3511" w:rsidRPr="00A71EFE" w14:paraId="3E001730" w14:textId="77777777" w:rsidTr="009F717B">
        <w:trPr>
          <w:cantSplit/>
          <w:trHeight w:val="748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EF734" w14:textId="77777777" w:rsidR="003F3511" w:rsidRPr="00F26A42" w:rsidRDefault="003F3511" w:rsidP="003F3511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4F2C" w14:textId="00774013" w:rsidR="003F3511" w:rsidRDefault="00F60E73" w:rsidP="003F351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jc w:val="left"/>
              <w:textAlignment w:val="auto"/>
              <w:rPr>
                <w:rFonts w:ascii="MS Gothic" w:eastAsia="MS Gothic" w:hAnsi="MS Gothic"/>
                <w:sz w:val="30"/>
                <w:szCs w:val="3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39024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F3511" w:rsidRPr="00F26A42">
              <w:rPr>
                <w:sz w:val="20"/>
                <w:lang w:val="ru-RU"/>
              </w:rPr>
              <w:tab/>
            </w:r>
            <w:r w:rsidR="003F3511" w:rsidRPr="00F26A42">
              <w:rPr>
                <w:b/>
                <w:bCs/>
                <w:sz w:val="20"/>
                <w:lang w:val="ru-RU"/>
              </w:rPr>
              <w:t>Не предоставляет полномочий</w:t>
            </w:r>
            <w:r w:rsidR="003F3511" w:rsidRPr="00F26A42">
              <w:rPr>
                <w:sz w:val="20"/>
                <w:lang w:val="ru-RU"/>
              </w:rPr>
              <w:t xml:space="preserve"> ИК</w:t>
            </w:r>
            <w:r w:rsidR="003F3511">
              <w:rPr>
                <w:sz w:val="20"/>
                <w:lang w:val="ru-RU"/>
              </w:rPr>
              <w:t>17</w:t>
            </w:r>
            <w:r w:rsidR="003F3511" w:rsidRPr="00F26A42">
              <w:rPr>
                <w:sz w:val="20"/>
                <w:lang w:val="ru-RU"/>
              </w:rPr>
              <w:t xml:space="preserve"> 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  <w:tr w:rsidR="003F3511" w:rsidRPr="00A71EFE" w14:paraId="003F6F60" w14:textId="77777777" w:rsidTr="009F717B">
        <w:trPr>
          <w:cantSplit/>
          <w:trHeight w:val="748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AC6D2" w14:textId="3EB9F27F" w:rsidR="003F3511" w:rsidRPr="00F26A42" w:rsidRDefault="003F3511" w:rsidP="003F3511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r w:rsidRPr="00F47160">
              <w:rPr>
                <w:b/>
                <w:bCs/>
                <w:color w:val="000000"/>
                <w:lang w:val="ru-RU"/>
              </w:rPr>
              <w:t xml:space="preserve">Проект новой Рекомендации </w:t>
            </w:r>
            <w:r w:rsidRPr="00F47160">
              <w:rPr>
                <w:b/>
                <w:bCs/>
                <w:color w:val="000000"/>
                <w:szCs w:val="24"/>
                <w:lang w:val="ru-RU"/>
              </w:rPr>
              <w:t>X.1130 (</w:t>
            </w:r>
            <w:r w:rsidRPr="00F47160">
              <w:rPr>
                <w:b/>
                <w:bCs/>
                <w:color w:val="000000"/>
                <w:lang w:val="ru-RU"/>
              </w:rPr>
              <w:t>ранее –</w:t>
            </w:r>
            <w:r w:rsidRPr="00F47160">
              <w:rPr>
                <w:b/>
                <w:bCs/>
                <w:color w:val="000000"/>
                <w:szCs w:val="24"/>
                <w:lang w:val="ru-RU"/>
              </w:rPr>
              <w:t>X.tg-fdma)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F6AFC" w14:textId="77777777" w:rsidR="003F3511" w:rsidRPr="00F26A42" w:rsidRDefault="00F60E73" w:rsidP="003F351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jc w:val="left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213316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F3511" w:rsidRPr="00F26A42">
              <w:rPr>
                <w:b/>
                <w:bCs/>
                <w:sz w:val="20"/>
                <w:lang w:val="ru-RU"/>
              </w:rPr>
              <w:tab/>
              <w:t>Предоставляет полномочия</w:t>
            </w:r>
            <w:r w:rsidR="003F3511" w:rsidRPr="00F26A42">
              <w:rPr>
                <w:sz w:val="20"/>
                <w:lang w:val="ru-RU"/>
              </w:rPr>
              <w:t xml:space="preserve"> ИК</w:t>
            </w:r>
            <w:r w:rsidR="003F3511">
              <w:rPr>
                <w:sz w:val="20"/>
                <w:lang w:val="ru-RU"/>
              </w:rPr>
              <w:t>17</w:t>
            </w:r>
            <w:r w:rsidR="003F3511" w:rsidRPr="00F26A42">
              <w:rPr>
                <w:sz w:val="20"/>
                <w:lang w:val="ru-RU"/>
              </w:rPr>
              <w:t xml:space="preserve"> для рассмотрения этого текста с целью его утверждения (в этом случае выбрать один из двух вариантов):</w:t>
            </w:r>
          </w:p>
          <w:p w14:paraId="4CA80862" w14:textId="77777777" w:rsidR="003F3511" w:rsidRPr="00F26A42" w:rsidRDefault="00F60E73" w:rsidP="003F351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jc w:val="left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170440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F3511" w:rsidRPr="00F26A42">
              <w:rPr>
                <w:sz w:val="20"/>
                <w:lang w:val="ru-RU"/>
              </w:rPr>
              <w:tab/>
              <w:t>Замечания или предлагаемые изменения отсутствуют</w:t>
            </w:r>
          </w:p>
          <w:p w14:paraId="62CA26CD" w14:textId="65567256" w:rsidR="003F3511" w:rsidRDefault="00F60E73" w:rsidP="003F351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jc w:val="left"/>
              <w:textAlignment w:val="auto"/>
              <w:rPr>
                <w:rFonts w:ascii="MS Gothic" w:eastAsia="MS Gothic" w:hAnsi="MS Gothic"/>
                <w:sz w:val="30"/>
                <w:szCs w:val="3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12652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F3511" w:rsidRPr="00F26A42">
              <w:rPr>
                <w:sz w:val="20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3F3511" w:rsidRPr="00A71EFE" w14:paraId="763CD244" w14:textId="77777777" w:rsidTr="009F717B">
        <w:trPr>
          <w:cantSplit/>
          <w:trHeight w:val="748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3A44F" w14:textId="77777777" w:rsidR="003F3511" w:rsidRPr="00F26A42" w:rsidRDefault="003F3511" w:rsidP="003F3511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2059" w14:textId="4A105A4A" w:rsidR="003F3511" w:rsidRDefault="00F60E73" w:rsidP="003F351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jc w:val="left"/>
              <w:textAlignment w:val="auto"/>
              <w:rPr>
                <w:rFonts w:ascii="MS Gothic" w:eastAsia="MS Gothic" w:hAnsi="MS Gothic"/>
                <w:sz w:val="30"/>
                <w:szCs w:val="3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52371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F3511" w:rsidRPr="00F26A42">
              <w:rPr>
                <w:sz w:val="20"/>
                <w:lang w:val="ru-RU"/>
              </w:rPr>
              <w:tab/>
            </w:r>
            <w:r w:rsidR="003F3511" w:rsidRPr="00F26A42">
              <w:rPr>
                <w:b/>
                <w:bCs/>
                <w:sz w:val="20"/>
                <w:lang w:val="ru-RU"/>
              </w:rPr>
              <w:t>Не предоставляет полномочий</w:t>
            </w:r>
            <w:r w:rsidR="003F3511" w:rsidRPr="00F26A42">
              <w:rPr>
                <w:sz w:val="20"/>
                <w:lang w:val="ru-RU"/>
              </w:rPr>
              <w:t xml:space="preserve"> ИК</w:t>
            </w:r>
            <w:r w:rsidR="003F3511">
              <w:rPr>
                <w:sz w:val="20"/>
                <w:lang w:val="ru-RU"/>
              </w:rPr>
              <w:t>17</w:t>
            </w:r>
            <w:r w:rsidR="003F3511" w:rsidRPr="00F26A42">
              <w:rPr>
                <w:sz w:val="20"/>
                <w:lang w:val="ru-RU"/>
              </w:rPr>
              <w:t xml:space="preserve"> 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  <w:tr w:rsidR="003F3511" w:rsidRPr="00A71EFE" w14:paraId="4FA3D942" w14:textId="77777777" w:rsidTr="009F717B">
        <w:trPr>
          <w:cantSplit/>
          <w:trHeight w:val="748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197C8" w14:textId="70FBD66A" w:rsidR="003F3511" w:rsidRPr="00F26A42" w:rsidRDefault="003F3511" w:rsidP="003F3511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r w:rsidRPr="00F47160">
              <w:rPr>
                <w:b/>
                <w:bCs/>
                <w:color w:val="000000"/>
                <w:lang w:val="ru-RU"/>
              </w:rPr>
              <w:t xml:space="preserve">Проект новой Рекомендации </w:t>
            </w:r>
            <w:r w:rsidRPr="00F47160">
              <w:rPr>
                <w:b/>
                <w:bCs/>
                <w:color w:val="000000"/>
                <w:szCs w:val="24"/>
                <w:lang w:val="ru-RU"/>
              </w:rPr>
              <w:t>X.1457 (</w:t>
            </w:r>
            <w:r w:rsidRPr="00F47160">
              <w:rPr>
                <w:b/>
                <w:bCs/>
                <w:color w:val="000000"/>
                <w:lang w:val="ru-RU"/>
              </w:rPr>
              <w:t>ранее –</w:t>
            </w:r>
            <w:r w:rsidRPr="00F47160">
              <w:rPr>
                <w:b/>
                <w:bCs/>
                <w:color w:val="000000"/>
                <w:szCs w:val="24"/>
                <w:lang w:val="ru-RU"/>
              </w:rPr>
              <w:t>X.str-irs)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D23F9" w14:textId="77777777" w:rsidR="003F3511" w:rsidRPr="00F26A42" w:rsidRDefault="00F60E73" w:rsidP="003F351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jc w:val="left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161089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F3511" w:rsidRPr="00F26A42">
              <w:rPr>
                <w:b/>
                <w:bCs/>
                <w:sz w:val="20"/>
                <w:lang w:val="ru-RU"/>
              </w:rPr>
              <w:tab/>
              <w:t>Предоставляет полномочия</w:t>
            </w:r>
            <w:r w:rsidR="003F3511" w:rsidRPr="00F26A42">
              <w:rPr>
                <w:sz w:val="20"/>
                <w:lang w:val="ru-RU"/>
              </w:rPr>
              <w:t xml:space="preserve"> ИК</w:t>
            </w:r>
            <w:r w:rsidR="003F3511">
              <w:rPr>
                <w:sz w:val="20"/>
                <w:lang w:val="ru-RU"/>
              </w:rPr>
              <w:t>17</w:t>
            </w:r>
            <w:r w:rsidR="003F3511" w:rsidRPr="00F26A42">
              <w:rPr>
                <w:sz w:val="20"/>
                <w:lang w:val="ru-RU"/>
              </w:rPr>
              <w:t xml:space="preserve"> для рассмотрения этого текста с целью его утверждения (в этом случае выбрать один из двух вариантов):</w:t>
            </w:r>
          </w:p>
          <w:p w14:paraId="691A0CD4" w14:textId="77777777" w:rsidR="003F3511" w:rsidRPr="00F26A42" w:rsidRDefault="00F60E73" w:rsidP="003F351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jc w:val="left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152208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F3511" w:rsidRPr="00F26A42">
              <w:rPr>
                <w:sz w:val="20"/>
                <w:lang w:val="ru-RU"/>
              </w:rPr>
              <w:tab/>
              <w:t>Замечания или предлагаемые изменения отсутствуют</w:t>
            </w:r>
          </w:p>
          <w:p w14:paraId="6278CED6" w14:textId="276B0725" w:rsidR="003F3511" w:rsidRDefault="00F60E73" w:rsidP="003F351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jc w:val="left"/>
              <w:textAlignment w:val="auto"/>
              <w:rPr>
                <w:rFonts w:ascii="MS Gothic" w:eastAsia="MS Gothic" w:hAnsi="MS Gothic"/>
                <w:sz w:val="30"/>
                <w:szCs w:val="3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77238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F3511" w:rsidRPr="00F26A42">
              <w:rPr>
                <w:sz w:val="20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3F3511" w:rsidRPr="00A71EFE" w14:paraId="429D3553" w14:textId="77777777" w:rsidTr="009F717B">
        <w:trPr>
          <w:cantSplit/>
          <w:trHeight w:val="748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B2561" w14:textId="77777777" w:rsidR="003F3511" w:rsidRPr="00F26A42" w:rsidRDefault="003F3511" w:rsidP="003F3511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5D3DA" w14:textId="3018107A" w:rsidR="003F3511" w:rsidRDefault="00F60E73" w:rsidP="003F351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jc w:val="left"/>
              <w:textAlignment w:val="auto"/>
              <w:rPr>
                <w:rFonts w:ascii="MS Gothic" w:eastAsia="MS Gothic" w:hAnsi="MS Gothic"/>
                <w:sz w:val="30"/>
                <w:szCs w:val="3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202057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F3511" w:rsidRPr="00F26A42">
              <w:rPr>
                <w:sz w:val="20"/>
                <w:lang w:val="ru-RU"/>
              </w:rPr>
              <w:tab/>
            </w:r>
            <w:r w:rsidR="003F3511" w:rsidRPr="00F26A42">
              <w:rPr>
                <w:b/>
                <w:bCs/>
                <w:sz w:val="20"/>
                <w:lang w:val="ru-RU"/>
              </w:rPr>
              <w:t>Не предоставляет полномочий</w:t>
            </w:r>
            <w:r w:rsidR="003F3511" w:rsidRPr="00F26A42">
              <w:rPr>
                <w:sz w:val="20"/>
                <w:lang w:val="ru-RU"/>
              </w:rPr>
              <w:t xml:space="preserve"> ИК</w:t>
            </w:r>
            <w:r w:rsidR="003F3511">
              <w:rPr>
                <w:sz w:val="20"/>
                <w:lang w:val="ru-RU"/>
              </w:rPr>
              <w:t>17</w:t>
            </w:r>
            <w:r w:rsidR="003F3511" w:rsidRPr="00F26A42">
              <w:rPr>
                <w:sz w:val="20"/>
                <w:lang w:val="ru-RU"/>
              </w:rPr>
              <w:t xml:space="preserve"> 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  <w:tr w:rsidR="003F3511" w:rsidRPr="00A71EFE" w14:paraId="3DDABDBC" w14:textId="77777777" w:rsidTr="009F717B">
        <w:trPr>
          <w:cantSplit/>
          <w:trHeight w:val="748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7F8EB" w14:textId="7391FC2F" w:rsidR="003F3511" w:rsidRPr="00F26A42" w:rsidRDefault="003F3511" w:rsidP="003F3511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r w:rsidRPr="00F47160">
              <w:rPr>
                <w:b/>
                <w:bCs/>
                <w:color w:val="000000"/>
                <w:lang w:val="ru-RU"/>
              </w:rPr>
              <w:t xml:space="preserve">Проект новой Рекомендации </w:t>
            </w:r>
            <w:r w:rsidRPr="00F47160">
              <w:rPr>
                <w:b/>
                <w:bCs/>
                <w:color w:val="000000"/>
                <w:szCs w:val="24"/>
                <w:lang w:val="ru-RU"/>
              </w:rPr>
              <w:t>X.1753 (</w:t>
            </w:r>
            <w:r w:rsidRPr="00F47160">
              <w:rPr>
                <w:b/>
                <w:bCs/>
                <w:color w:val="000000"/>
                <w:lang w:val="ru-RU"/>
              </w:rPr>
              <w:t>ранее –</w:t>
            </w:r>
            <w:r w:rsidRPr="00F47160">
              <w:rPr>
                <w:b/>
                <w:bCs/>
                <w:color w:val="000000"/>
                <w:szCs w:val="24"/>
                <w:lang w:val="ru-RU"/>
              </w:rPr>
              <w:t>X.gdsml)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435C" w14:textId="77777777" w:rsidR="003F3511" w:rsidRPr="00F26A42" w:rsidRDefault="00F60E73" w:rsidP="003F351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jc w:val="left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810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F3511" w:rsidRPr="00F26A42">
              <w:rPr>
                <w:b/>
                <w:bCs/>
                <w:sz w:val="20"/>
                <w:lang w:val="ru-RU"/>
              </w:rPr>
              <w:tab/>
              <w:t>Предоставляет полномочия</w:t>
            </w:r>
            <w:r w:rsidR="003F3511" w:rsidRPr="00F26A42">
              <w:rPr>
                <w:sz w:val="20"/>
                <w:lang w:val="ru-RU"/>
              </w:rPr>
              <w:t xml:space="preserve"> ИК</w:t>
            </w:r>
            <w:r w:rsidR="003F3511">
              <w:rPr>
                <w:sz w:val="20"/>
                <w:lang w:val="ru-RU"/>
              </w:rPr>
              <w:t>17</w:t>
            </w:r>
            <w:r w:rsidR="003F3511" w:rsidRPr="00F26A42">
              <w:rPr>
                <w:sz w:val="20"/>
                <w:lang w:val="ru-RU"/>
              </w:rPr>
              <w:t xml:space="preserve"> для рассмотрения этого текста с целью его утверждения (в этом случае выбрать один из двух вариантов):</w:t>
            </w:r>
          </w:p>
          <w:p w14:paraId="5F85EBF3" w14:textId="77777777" w:rsidR="003F3511" w:rsidRPr="00F26A42" w:rsidRDefault="00F60E73" w:rsidP="003F351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jc w:val="left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200411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F3511" w:rsidRPr="00F26A42">
              <w:rPr>
                <w:sz w:val="20"/>
                <w:lang w:val="ru-RU"/>
              </w:rPr>
              <w:tab/>
              <w:t>Замечания или предлагаемые изменения отсутствуют</w:t>
            </w:r>
          </w:p>
          <w:p w14:paraId="52E532CD" w14:textId="2FB9A6B7" w:rsidR="003F3511" w:rsidRDefault="00F60E73" w:rsidP="003F351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jc w:val="left"/>
              <w:textAlignment w:val="auto"/>
              <w:rPr>
                <w:rFonts w:ascii="MS Gothic" w:eastAsia="MS Gothic" w:hAnsi="MS Gothic"/>
                <w:sz w:val="30"/>
                <w:szCs w:val="3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47892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F3511" w:rsidRPr="00F26A42">
              <w:rPr>
                <w:sz w:val="20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3F3511" w:rsidRPr="00A71EFE" w14:paraId="711E0249" w14:textId="77777777" w:rsidTr="009F717B">
        <w:trPr>
          <w:cantSplit/>
          <w:trHeight w:val="748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B5D04" w14:textId="77777777" w:rsidR="003F3511" w:rsidRPr="00F26A42" w:rsidRDefault="003F3511" w:rsidP="003F3511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3805" w14:textId="3DCE028E" w:rsidR="003F3511" w:rsidRDefault="00F60E73" w:rsidP="003F351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jc w:val="left"/>
              <w:textAlignment w:val="auto"/>
              <w:rPr>
                <w:rFonts w:ascii="MS Gothic" w:eastAsia="MS Gothic" w:hAnsi="MS Gothic"/>
                <w:sz w:val="30"/>
                <w:szCs w:val="3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47703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F3511" w:rsidRPr="00F26A42">
              <w:rPr>
                <w:sz w:val="20"/>
                <w:lang w:val="ru-RU"/>
              </w:rPr>
              <w:tab/>
            </w:r>
            <w:r w:rsidR="003F3511" w:rsidRPr="00F26A42">
              <w:rPr>
                <w:b/>
                <w:bCs/>
                <w:sz w:val="20"/>
                <w:lang w:val="ru-RU"/>
              </w:rPr>
              <w:t>Не предоставляет полномочий</w:t>
            </w:r>
            <w:r w:rsidR="003F3511" w:rsidRPr="00F26A42">
              <w:rPr>
                <w:sz w:val="20"/>
                <w:lang w:val="ru-RU"/>
              </w:rPr>
              <w:t xml:space="preserve"> ИК</w:t>
            </w:r>
            <w:r w:rsidR="003F3511">
              <w:rPr>
                <w:sz w:val="20"/>
                <w:lang w:val="ru-RU"/>
              </w:rPr>
              <w:t>17</w:t>
            </w:r>
            <w:r w:rsidR="003F3511" w:rsidRPr="00F26A42">
              <w:rPr>
                <w:sz w:val="20"/>
                <w:lang w:val="ru-RU"/>
              </w:rPr>
              <w:t xml:space="preserve"> 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  <w:tr w:rsidR="003F3511" w:rsidRPr="00A71EFE" w14:paraId="446FD282" w14:textId="77777777" w:rsidTr="009F717B">
        <w:trPr>
          <w:cantSplit/>
          <w:trHeight w:val="748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3C0E5" w14:textId="4DD56C61" w:rsidR="003F3511" w:rsidRPr="00F26A42" w:rsidRDefault="003F3511" w:rsidP="003F3511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r w:rsidRPr="00F47160">
              <w:rPr>
                <w:b/>
                <w:bCs/>
                <w:color w:val="000000"/>
                <w:lang w:val="ru-RU"/>
              </w:rPr>
              <w:lastRenderedPageBreak/>
              <w:t xml:space="preserve">Проект новой Рекомендации </w:t>
            </w:r>
            <w:r w:rsidRPr="00F47160">
              <w:rPr>
                <w:b/>
                <w:bCs/>
                <w:color w:val="000000"/>
                <w:szCs w:val="24"/>
                <w:lang w:val="ru-RU"/>
              </w:rPr>
              <w:t>X.1649 (</w:t>
            </w:r>
            <w:r w:rsidRPr="00F47160">
              <w:rPr>
                <w:b/>
                <w:bCs/>
                <w:color w:val="000000"/>
                <w:lang w:val="ru-RU"/>
              </w:rPr>
              <w:t>ранее –</w:t>
            </w:r>
            <w:r w:rsidRPr="00F47160">
              <w:rPr>
                <w:b/>
                <w:bCs/>
                <w:color w:val="000000"/>
                <w:szCs w:val="24"/>
                <w:lang w:val="ru-RU"/>
              </w:rPr>
              <w:t>X.sgmc)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62D5" w14:textId="77777777" w:rsidR="003F3511" w:rsidRPr="00F26A42" w:rsidRDefault="00F60E73" w:rsidP="003F351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jc w:val="left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20495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F3511" w:rsidRPr="00F26A42">
              <w:rPr>
                <w:b/>
                <w:bCs/>
                <w:sz w:val="20"/>
                <w:lang w:val="ru-RU"/>
              </w:rPr>
              <w:tab/>
              <w:t>Предоставляет полномочия</w:t>
            </w:r>
            <w:r w:rsidR="003F3511" w:rsidRPr="00F26A42">
              <w:rPr>
                <w:sz w:val="20"/>
                <w:lang w:val="ru-RU"/>
              </w:rPr>
              <w:t xml:space="preserve"> ИК</w:t>
            </w:r>
            <w:r w:rsidR="003F3511">
              <w:rPr>
                <w:sz w:val="20"/>
                <w:lang w:val="ru-RU"/>
              </w:rPr>
              <w:t>17</w:t>
            </w:r>
            <w:r w:rsidR="003F3511" w:rsidRPr="00F26A42">
              <w:rPr>
                <w:sz w:val="20"/>
                <w:lang w:val="ru-RU"/>
              </w:rPr>
              <w:t xml:space="preserve"> для рассмотрения этого текста с целью его утверждения (в этом случае выбрать один из двух вариантов):</w:t>
            </w:r>
          </w:p>
          <w:p w14:paraId="28FE2A2C" w14:textId="77777777" w:rsidR="003F3511" w:rsidRPr="00F26A42" w:rsidRDefault="00F60E73" w:rsidP="003F351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jc w:val="left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112462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F3511" w:rsidRPr="00F26A42">
              <w:rPr>
                <w:sz w:val="20"/>
                <w:lang w:val="ru-RU"/>
              </w:rPr>
              <w:tab/>
              <w:t>Замечания или предлагаемые изменения отсутствуют</w:t>
            </w:r>
          </w:p>
          <w:p w14:paraId="0E7BF4ED" w14:textId="39A49494" w:rsidR="003F3511" w:rsidRDefault="00F60E73" w:rsidP="003F351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jc w:val="left"/>
              <w:textAlignment w:val="auto"/>
              <w:rPr>
                <w:rFonts w:ascii="MS Gothic" w:eastAsia="MS Gothic" w:hAnsi="MS Gothic"/>
                <w:sz w:val="30"/>
                <w:szCs w:val="3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42732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F3511" w:rsidRPr="00F26A42">
              <w:rPr>
                <w:sz w:val="20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3F3511" w:rsidRPr="00A71EFE" w14:paraId="36BE906B" w14:textId="77777777" w:rsidTr="009F717B">
        <w:trPr>
          <w:cantSplit/>
          <w:trHeight w:val="748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E74EF" w14:textId="77777777" w:rsidR="003F3511" w:rsidRPr="00F26A42" w:rsidRDefault="003F3511" w:rsidP="003F3511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EB0F" w14:textId="4B51CE63" w:rsidR="003F3511" w:rsidRDefault="00F60E73" w:rsidP="003F351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jc w:val="left"/>
              <w:textAlignment w:val="auto"/>
              <w:rPr>
                <w:rFonts w:ascii="MS Gothic" w:eastAsia="MS Gothic" w:hAnsi="MS Gothic"/>
                <w:sz w:val="30"/>
                <w:szCs w:val="3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953064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F3511" w:rsidRPr="00F26A42">
              <w:rPr>
                <w:sz w:val="20"/>
                <w:lang w:val="ru-RU"/>
              </w:rPr>
              <w:tab/>
            </w:r>
            <w:r w:rsidR="003F3511" w:rsidRPr="00F26A42">
              <w:rPr>
                <w:b/>
                <w:bCs/>
                <w:sz w:val="20"/>
                <w:lang w:val="ru-RU"/>
              </w:rPr>
              <w:t>Не предоставляет полномочий</w:t>
            </w:r>
            <w:r w:rsidR="003F3511" w:rsidRPr="00F26A42">
              <w:rPr>
                <w:sz w:val="20"/>
                <w:lang w:val="ru-RU"/>
              </w:rPr>
              <w:t xml:space="preserve"> ИК</w:t>
            </w:r>
            <w:r w:rsidR="003F3511">
              <w:rPr>
                <w:sz w:val="20"/>
                <w:lang w:val="ru-RU"/>
              </w:rPr>
              <w:t>17</w:t>
            </w:r>
            <w:r w:rsidR="003F3511" w:rsidRPr="00F26A42">
              <w:rPr>
                <w:sz w:val="20"/>
                <w:lang w:val="ru-RU"/>
              </w:rPr>
              <w:t xml:space="preserve"> 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  <w:tr w:rsidR="003153C2" w:rsidRPr="00A71EFE" w14:paraId="4AA552C0" w14:textId="77777777" w:rsidTr="009F717B">
        <w:trPr>
          <w:cantSplit/>
          <w:trHeight w:val="748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EF1E6" w14:textId="117862DB" w:rsidR="003153C2" w:rsidRPr="00F26A42" w:rsidRDefault="003153C2" w:rsidP="003153C2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r w:rsidRPr="00F47160">
              <w:rPr>
                <w:b/>
                <w:bCs/>
                <w:color w:val="000000"/>
                <w:lang w:val="ru-RU"/>
              </w:rPr>
              <w:t xml:space="preserve">Проект пересмотренной Рекомендации </w:t>
            </w:r>
            <w:r w:rsidRPr="00F47160">
              <w:rPr>
                <w:b/>
                <w:bCs/>
                <w:color w:val="000000"/>
                <w:szCs w:val="24"/>
                <w:lang w:val="ru-RU"/>
              </w:rPr>
              <w:t>X.1250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6879D" w14:textId="77777777" w:rsidR="003153C2" w:rsidRPr="00F26A42" w:rsidRDefault="00F60E73" w:rsidP="003153C2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jc w:val="left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109690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3C2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153C2" w:rsidRPr="00F26A42">
              <w:rPr>
                <w:b/>
                <w:bCs/>
                <w:sz w:val="20"/>
                <w:lang w:val="ru-RU"/>
              </w:rPr>
              <w:tab/>
              <w:t>Предоставляет полномочия</w:t>
            </w:r>
            <w:r w:rsidR="003153C2" w:rsidRPr="00F26A42">
              <w:rPr>
                <w:sz w:val="20"/>
                <w:lang w:val="ru-RU"/>
              </w:rPr>
              <w:t xml:space="preserve"> ИК</w:t>
            </w:r>
            <w:r w:rsidR="003153C2">
              <w:rPr>
                <w:sz w:val="20"/>
                <w:lang w:val="ru-RU"/>
              </w:rPr>
              <w:t>17</w:t>
            </w:r>
            <w:r w:rsidR="003153C2" w:rsidRPr="00F26A42">
              <w:rPr>
                <w:sz w:val="20"/>
                <w:lang w:val="ru-RU"/>
              </w:rPr>
              <w:t xml:space="preserve"> для рассмотрения этого текста с целью его утверждения (в этом случае выбрать один из двух вариантов):</w:t>
            </w:r>
          </w:p>
          <w:p w14:paraId="67CD9768" w14:textId="77777777" w:rsidR="003153C2" w:rsidRPr="00F26A42" w:rsidRDefault="00F60E73" w:rsidP="003153C2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jc w:val="left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11838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3C2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153C2" w:rsidRPr="00F26A42">
              <w:rPr>
                <w:sz w:val="20"/>
                <w:lang w:val="ru-RU"/>
              </w:rPr>
              <w:tab/>
              <w:t>Замечания или предлагаемые изменения отсутствуют</w:t>
            </w:r>
          </w:p>
          <w:p w14:paraId="1932BDBA" w14:textId="553656E8" w:rsidR="003153C2" w:rsidRDefault="00F60E73" w:rsidP="003153C2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jc w:val="left"/>
              <w:textAlignment w:val="auto"/>
              <w:rPr>
                <w:rFonts w:ascii="MS Gothic" w:eastAsia="MS Gothic" w:hAnsi="MS Gothic"/>
                <w:sz w:val="30"/>
                <w:szCs w:val="3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80542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3C2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153C2" w:rsidRPr="00F26A42">
              <w:rPr>
                <w:sz w:val="20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3153C2" w:rsidRPr="00A71EFE" w14:paraId="2A7921CB" w14:textId="77777777" w:rsidTr="009F717B">
        <w:trPr>
          <w:cantSplit/>
          <w:trHeight w:val="748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4948A" w14:textId="77777777" w:rsidR="003153C2" w:rsidRPr="00F26A42" w:rsidRDefault="003153C2" w:rsidP="003153C2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2681" w14:textId="02255727" w:rsidR="003153C2" w:rsidRDefault="00F60E73" w:rsidP="003153C2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jc w:val="left"/>
              <w:textAlignment w:val="auto"/>
              <w:rPr>
                <w:rFonts w:ascii="MS Gothic" w:eastAsia="MS Gothic" w:hAnsi="MS Gothic"/>
                <w:sz w:val="30"/>
                <w:szCs w:val="3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145593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3C2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153C2" w:rsidRPr="00F26A42">
              <w:rPr>
                <w:sz w:val="20"/>
                <w:lang w:val="ru-RU"/>
              </w:rPr>
              <w:tab/>
            </w:r>
            <w:r w:rsidR="003153C2" w:rsidRPr="00F26A42">
              <w:rPr>
                <w:b/>
                <w:bCs/>
                <w:sz w:val="20"/>
                <w:lang w:val="ru-RU"/>
              </w:rPr>
              <w:t>Не предоставляет полномочий</w:t>
            </w:r>
            <w:r w:rsidR="003153C2" w:rsidRPr="00F26A42">
              <w:rPr>
                <w:sz w:val="20"/>
                <w:lang w:val="ru-RU"/>
              </w:rPr>
              <w:t xml:space="preserve"> ИК</w:t>
            </w:r>
            <w:r w:rsidR="003153C2">
              <w:rPr>
                <w:sz w:val="20"/>
                <w:lang w:val="ru-RU"/>
              </w:rPr>
              <w:t>17</w:t>
            </w:r>
            <w:r w:rsidR="003153C2" w:rsidRPr="00F26A42">
              <w:rPr>
                <w:sz w:val="20"/>
                <w:lang w:val="ru-RU"/>
              </w:rPr>
              <w:t xml:space="preserve"> 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  <w:tr w:rsidR="003153C2" w:rsidRPr="00A71EFE" w14:paraId="7D057654" w14:textId="77777777" w:rsidTr="009F717B">
        <w:trPr>
          <w:cantSplit/>
          <w:trHeight w:val="748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1DF7C" w14:textId="2E957BC5" w:rsidR="003153C2" w:rsidRPr="00F26A42" w:rsidRDefault="003153C2" w:rsidP="003153C2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r w:rsidRPr="00F47160">
              <w:rPr>
                <w:b/>
                <w:bCs/>
                <w:color w:val="000000"/>
                <w:lang w:val="ru-RU"/>
              </w:rPr>
              <w:t xml:space="preserve">Проект пересмотренной Рекомендации </w:t>
            </w:r>
            <w:r w:rsidRPr="00F47160">
              <w:rPr>
                <w:b/>
                <w:bCs/>
                <w:color w:val="000000"/>
                <w:szCs w:val="24"/>
                <w:lang w:val="ru-RU"/>
              </w:rPr>
              <w:t>X.1631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650E" w14:textId="77777777" w:rsidR="003153C2" w:rsidRPr="00F26A42" w:rsidRDefault="00F60E73" w:rsidP="003153C2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jc w:val="left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174205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3C2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153C2" w:rsidRPr="00F26A42">
              <w:rPr>
                <w:b/>
                <w:bCs/>
                <w:sz w:val="20"/>
                <w:lang w:val="ru-RU"/>
              </w:rPr>
              <w:tab/>
              <w:t>Предоставляет полномочия</w:t>
            </w:r>
            <w:r w:rsidR="003153C2" w:rsidRPr="00F26A42">
              <w:rPr>
                <w:sz w:val="20"/>
                <w:lang w:val="ru-RU"/>
              </w:rPr>
              <w:t xml:space="preserve"> ИК</w:t>
            </w:r>
            <w:r w:rsidR="003153C2">
              <w:rPr>
                <w:sz w:val="20"/>
                <w:lang w:val="ru-RU"/>
              </w:rPr>
              <w:t>17</w:t>
            </w:r>
            <w:r w:rsidR="003153C2" w:rsidRPr="00F26A42">
              <w:rPr>
                <w:sz w:val="20"/>
                <w:lang w:val="ru-RU"/>
              </w:rPr>
              <w:t xml:space="preserve"> для рассмотрения этого текста с целью его утверждения (в этом случае выбрать один из двух вариантов):</w:t>
            </w:r>
          </w:p>
          <w:p w14:paraId="38FB7013" w14:textId="77777777" w:rsidR="003153C2" w:rsidRPr="00F26A42" w:rsidRDefault="00F60E73" w:rsidP="003153C2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jc w:val="left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127759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3C2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153C2" w:rsidRPr="00F26A42">
              <w:rPr>
                <w:sz w:val="20"/>
                <w:lang w:val="ru-RU"/>
              </w:rPr>
              <w:tab/>
              <w:t>Замечания или предлагаемые изменения отсутствуют</w:t>
            </w:r>
          </w:p>
          <w:p w14:paraId="1C47794E" w14:textId="21076644" w:rsidR="003153C2" w:rsidRDefault="00F60E73" w:rsidP="003153C2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jc w:val="left"/>
              <w:textAlignment w:val="auto"/>
              <w:rPr>
                <w:rFonts w:ascii="MS Gothic" w:eastAsia="MS Gothic" w:hAnsi="MS Gothic"/>
                <w:sz w:val="30"/>
                <w:szCs w:val="3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12166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3C2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153C2" w:rsidRPr="00F26A42">
              <w:rPr>
                <w:sz w:val="20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3153C2" w:rsidRPr="00A71EFE" w14:paraId="2350A686" w14:textId="77777777" w:rsidTr="009F717B">
        <w:trPr>
          <w:cantSplit/>
          <w:trHeight w:val="748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DE78D" w14:textId="77777777" w:rsidR="003153C2" w:rsidRPr="00F26A42" w:rsidRDefault="003153C2" w:rsidP="003153C2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F80C" w14:textId="0A117316" w:rsidR="003153C2" w:rsidRDefault="00F60E73" w:rsidP="003153C2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jc w:val="left"/>
              <w:textAlignment w:val="auto"/>
              <w:rPr>
                <w:rFonts w:ascii="MS Gothic" w:eastAsia="MS Gothic" w:hAnsi="MS Gothic"/>
                <w:sz w:val="30"/>
                <w:szCs w:val="3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125928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3C2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153C2" w:rsidRPr="00F26A42">
              <w:rPr>
                <w:sz w:val="20"/>
                <w:lang w:val="ru-RU"/>
              </w:rPr>
              <w:tab/>
            </w:r>
            <w:r w:rsidR="003153C2" w:rsidRPr="00F26A42">
              <w:rPr>
                <w:b/>
                <w:bCs/>
                <w:sz w:val="20"/>
                <w:lang w:val="ru-RU"/>
              </w:rPr>
              <w:t>Не предоставляет полномочий</w:t>
            </w:r>
            <w:r w:rsidR="003153C2" w:rsidRPr="00F26A42">
              <w:rPr>
                <w:sz w:val="20"/>
                <w:lang w:val="ru-RU"/>
              </w:rPr>
              <w:t xml:space="preserve"> ИК</w:t>
            </w:r>
            <w:r w:rsidR="003153C2">
              <w:rPr>
                <w:sz w:val="20"/>
                <w:lang w:val="ru-RU"/>
              </w:rPr>
              <w:t>17</w:t>
            </w:r>
            <w:r w:rsidR="003153C2" w:rsidRPr="00F26A42">
              <w:rPr>
                <w:sz w:val="20"/>
                <w:lang w:val="ru-RU"/>
              </w:rPr>
              <w:t xml:space="preserve"> 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</w:tbl>
    <w:p w14:paraId="554D5080" w14:textId="14EA1161" w:rsidR="00713D99" w:rsidRPr="00F26A42" w:rsidRDefault="00713D99" w:rsidP="00721EE9">
      <w:pPr>
        <w:overflowPunct/>
        <w:autoSpaceDE/>
        <w:autoSpaceDN/>
        <w:adjustRightInd/>
        <w:spacing w:before="240"/>
        <w:jc w:val="left"/>
        <w:textAlignment w:val="auto"/>
        <w:rPr>
          <w:szCs w:val="24"/>
          <w:lang w:val="ru-RU"/>
        </w:rPr>
      </w:pPr>
      <w:r w:rsidRPr="00F26A42">
        <w:rPr>
          <w:szCs w:val="24"/>
          <w:lang w:val="ru-RU"/>
        </w:rPr>
        <w:t>С уважением,</w:t>
      </w:r>
    </w:p>
    <w:p w14:paraId="0A882A1E" w14:textId="20899374" w:rsidR="00C62B05" w:rsidRPr="00F26A42" w:rsidRDefault="00713D99" w:rsidP="00721EE9">
      <w:pPr>
        <w:overflowPunct/>
        <w:autoSpaceDE/>
        <w:autoSpaceDN/>
        <w:adjustRightInd/>
        <w:spacing w:before="240"/>
        <w:jc w:val="left"/>
        <w:textAlignment w:val="auto"/>
        <w:rPr>
          <w:szCs w:val="24"/>
          <w:lang w:val="ru-RU"/>
        </w:rPr>
      </w:pPr>
      <w:r w:rsidRPr="00F26A42">
        <w:rPr>
          <w:szCs w:val="24"/>
          <w:highlight w:val="green"/>
          <w:lang w:val="ru-RU"/>
        </w:rPr>
        <w:t>[Фамилия]</w:t>
      </w:r>
      <w:r w:rsidRPr="00F26A42">
        <w:rPr>
          <w:szCs w:val="24"/>
          <w:highlight w:val="green"/>
          <w:lang w:val="ru-RU"/>
        </w:rPr>
        <w:br/>
        <w:t>[Официальная должность/титул]</w:t>
      </w:r>
      <w:r w:rsidRPr="00F26A42">
        <w:rPr>
          <w:szCs w:val="24"/>
          <w:lang w:val="ru-RU"/>
        </w:rPr>
        <w:br/>
        <w:t xml:space="preserve">Администрация </w:t>
      </w:r>
      <w:r w:rsidRPr="00F26A42">
        <w:rPr>
          <w:szCs w:val="24"/>
          <w:highlight w:val="green"/>
          <w:lang w:val="ru-RU"/>
        </w:rPr>
        <w:t>[Государства-Члена]</w:t>
      </w:r>
    </w:p>
    <w:p w14:paraId="54288B69" w14:textId="1F3C981D" w:rsidR="00E46B3B" w:rsidRPr="00F26A42" w:rsidRDefault="00E46B3B" w:rsidP="00721EE9">
      <w:pPr>
        <w:spacing w:before="360"/>
        <w:jc w:val="center"/>
        <w:rPr>
          <w:lang w:val="ru-RU"/>
        </w:rPr>
      </w:pPr>
      <w:r w:rsidRPr="00F26A42">
        <w:rPr>
          <w:lang w:val="ru-RU"/>
        </w:rPr>
        <w:t>______________</w:t>
      </w:r>
    </w:p>
    <w:sectPr w:rsidR="00E46B3B" w:rsidRPr="00F26A42" w:rsidSect="001A1F24">
      <w:headerReference w:type="default" r:id="rId35"/>
      <w:footerReference w:type="first" r:id="rId36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B95CB" w14:textId="77777777" w:rsidR="0061402D" w:rsidRDefault="0061402D">
      <w:r>
        <w:separator/>
      </w:r>
    </w:p>
  </w:endnote>
  <w:endnote w:type="continuationSeparator" w:id="0">
    <w:p w14:paraId="19E984A4" w14:textId="77777777" w:rsidR="0061402D" w:rsidRDefault="0061402D">
      <w:r>
        <w:continuationSeparator/>
      </w:r>
    </w:p>
  </w:endnote>
  <w:endnote w:type="continuationNotice" w:id="1">
    <w:p w14:paraId="3EE70C1B" w14:textId="77777777" w:rsidR="0061402D" w:rsidRDefault="0061402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Bold"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 xml:space="preserve">Эл. </w:t>
    </w:r>
    <w:r w:rsidRPr="000A1295">
      <w:rPr>
        <w:color w:val="0070C0"/>
        <w:sz w:val="18"/>
        <w:szCs w:val="18"/>
        <w:lang w:val="ru-RU"/>
      </w:rPr>
      <w:t>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F16DE" w14:textId="77777777" w:rsidR="0061402D" w:rsidRDefault="0061402D">
      <w:r>
        <w:t>____________________</w:t>
      </w:r>
    </w:p>
  </w:footnote>
  <w:footnote w:type="continuationSeparator" w:id="0">
    <w:p w14:paraId="26FAA447" w14:textId="77777777" w:rsidR="0061402D" w:rsidRDefault="0061402D">
      <w:r>
        <w:continuationSeparator/>
      </w:r>
    </w:p>
  </w:footnote>
  <w:footnote w:type="continuationNotice" w:id="1">
    <w:p w14:paraId="7056CE51" w14:textId="77777777" w:rsidR="0061402D" w:rsidRDefault="0061402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6ADB3C" w:rsidR="00982411" w:rsidRDefault="00982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D3CB" w14:textId="47565AF7" w:rsidR="003E38F2" w:rsidRPr="00982411" w:rsidRDefault="00982411" w:rsidP="00414B3C">
    <w:pPr>
      <w:pStyle w:val="Header"/>
      <w:rPr>
        <w:lang w:val="ru-RU"/>
      </w:rPr>
    </w:pPr>
    <w:r>
      <w:rPr>
        <w:lang w:val="ru-RU"/>
      </w:rPr>
      <w:t xml:space="preserve">Циркуляр </w:t>
    </w:r>
    <w:r w:rsidR="00D1428E">
      <w:rPr>
        <w:lang w:val="ru-RU"/>
      </w:rPr>
      <w:t>50</w:t>
    </w:r>
    <w:r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6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0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4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1"/>
  </w:num>
  <w:num w:numId="13" w16cid:durableId="259024582">
    <w:abstractNumId w:val="22"/>
  </w:num>
  <w:num w:numId="14" w16cid:durableId="68507006">
    <w:abstractNumId w:val="25"/>
  </w:num>
  <w:num w:numId="15" w16cid:durableId="1523322403">
    <w:abstractNumId w:val="24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3"/>
  </w:num>
  <w:num w:numId="19" w16cid:durableId="1523931048">
    <w:abstractNumId w:val="28"/>
  </w:num>
  <w:num w:numId="20" w16cid:durableId="496574885">
    <w:abstractNumId w:val="13"/>
  </w:num>
  <w:num w:numId="21" w16cid:durableId="241914137">
    <w:abstractNumId w:val="20"/>
  </w:num>
  <w:num w:numId="22" w16cid:durableId="725489192">
    <w:abstractNumId w:val="19"/>
  </w:num>
  <w:num w:numId="23" w16cid:durableId="1985118205">
    <w:abstractNumId w:val="18"/>
  </w:num>
  <w:num w:numId="24" w16cid:durableId="2083986707">
    <w:abstractNumId w:val="16"/>
  </w:num>
  <w:num w:numId="25" w16cid:durableId="1505509332">
    <w:abstractNumId w:val="12"/>
  </w:num>
  <w:num w:numId="26" w16cid:durableId="150218594">
    <w:abstractNumId w:val="15"/>
  </w:num>
  <w:num w:numId="27" w16cid:durableId="942616608">
    <w:abstractNumId w:val="27"/>
  </w:num>
  <w:num w:numId="28" w16cid:durableId="334769545">
    <w:abstractNumId w:val="17"/>
  </w:num>
  <w:num w:numId="29" w16cid:durableId="15599760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6A9A"/>
    <w:rsid w:val="00027795"/>
    <w:rsid w:val="00030121"/>
    <w:rsid w:val="0003097A"/>
    <w:rsid w:val="0003507E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27BE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60B0E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53C2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002C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511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0CA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25DE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70A0"/>
    <w:rsid w:val="005D7A22"/>
    <w:rsid w:val="005E003C"/>
    <w:rsid w:val="005E328E"/>
    <w:rsid w:val="005E3CA2"/>
    <w:rsid w:val="005F6875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476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C59"/>
    <w:rsid w:val="006618E8"/>
    <w:rsid w:val="006639A6"/>
    <w:rsid w:val="00665C89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4B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2E5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4FB7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1EFE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65B6"/>
    <w:rsid w:val="00A96AA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76AC6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7672"/>
    <w:rsid w:val="00D104AF"/>
    <w:rsid w:val="00D1104A"/>
    <w:rsid w:val="00D12D3A"/>
    <w:rsid w:val="00D1428E"/>
    <w:rsid w:val="00D1562C"/>
    <w:rsid w:val="00D15B9A"/>
    <w:rsid w:val="00D15BCB"/>
    <w:rsid w:val="00D20856"/>
    <w:rsid w:val="00D22E4E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26A7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0E73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0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26A42"/>
    <w:pPr>
      <w:keepNext/>
      <w:keepLines/>
      <w:spacing w:before="280"/>
      <w:ind w:left="1134" w:hanging="1134"/>
      <w:outlineLvl w:val="0"/>
    </w:pPr>
    <w:rPr>
      <w:rFonts w:ascii="Calibri Bold" w:hAnsi="Calibri Bold"/>
      <w:b/>
      <w:sz w:val="26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D1428E"/>
    <w:pPr>
      <w:spacing w:before="240"/>
    </w:pPr>
    <w:rPr>
      <w:b/>
      <w:sz w:val="26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T25-SG17-COL-0004/en" TargetMode="External"/><Relationship Id="rId18" Type="http://schemas.openxmlformats.org/officeDocument/2006/relationships/hyperlink" Target="https://www.itu.int/md/meetingdoc.asp?lang=en&amp;parent=T25-SG17-R-0006" TargetMode="External"/><Relationship Id="rId26" Type="http://schemas.openxmlformats.org/officeDocument/2006/relationships/hyperlink" Target="https://www.itu.int/md/meetingdoc.asp?lang=en&amp;parent=T25-SG17-R-0010" TargetMode="External"/><Relationship Id="rId21" Type="http://schemas.openxmlformats.org/officeDocument/2006/relationships/hyperlink" Target="https://www.itu.int/md/meetingdoc.asp?lang=en&amp;parent=T25-SG17-R-0008" TargetMode="External"/><Relationship Id="rId34" Type="http://schemas.openxmlformats.org/officeDocument/2006/relationships/hyperlink" Target="mailto:tsbdir@itu.int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sbsg17@itu.int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s://www.itu.int/md/meetingdoc.asp?lang=en&amp;parent=T25-SG17-R-0010" TargetMode="External"/><Relationship Id="rId33" Type="http://schemas.openxmlformats.org/officeDocument/2006/relationships/hyperlink" Target="https://www.itu.int/md/meetingdoc.asp?lang=en&amp;parent=T25-SG17-R-0013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tu.int/ipr/" TargetMode="External"/><Relationship Id="rId20" Type="http://schemas.openxmlformats.org/officeDocument/2006/relationships/hyperlink" Target="https://www.itu.int/md/meetingdoc.asp?lang=en&amp;parent=T25-SG17-R-0007" TargetMode="External"/><Relationship Id="rId29" Type="http://schemas.openxmlformats.org/officeDocument/2006/relationships/hyperlink" Target="https://www.itu.int/md/meetingdoc.asp?lang=en&amp;parent=T25-SG17-R-001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itu.int/md/meetingdoc.asp?lang=en&amp;parent=T25-SG17-R-0009" TargetMode="External"/><Relationship Id="rId32" Type="http://schemas.openxmlformats.org/officeDocument/2006/relationships/hyperlink" Target="https://www.itu.int/md/meetingdoc.asp?lang=en&amp;parent=T25-SG17-R-0015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itu.int/ipr/" TargetMode="External"/><Relationship Id="rId23" Type="http://schemas.openxmlformats.org/officeDocument/2006/relationships/hyperlink" Target="https://www.itu.int/md/meetingdoc.asp?lang=en&amp;parent=T25-SG17-R-0009" TargetMode="External"/><Relationship Id="rId28" Type="http://schemas.openxmlformats.org/officeDocument/2006/relationships/hyperlink" Target="https://www.itu.int/md/meetingdoc.asp?lang=en&amp;parent=T25-SG17-R-0011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meetingdoc.asp?lang=en&amp;parent=T25-SG17-R-0007" TargetMode="External"/><Relationship Id="rId31" Type="http://schemas.openxmlformats.org/officeDocument/2006/relationships/hyperlink" Target="https://www.itu.int/md/meetingdoc.asp?lang=en&amp;parent=T25-SG17-R-001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SG17-COL-0004/en" TargetMode="External"/><Relationship Id="rId22" Type="http://schemas.openxmlformats.org/officeDocument/2006/relationships/hyperlink" Target="https://www.itu.int/md/meetingdoc.asp?lang=en&amp;parent=T25-SG17-R-0008" TargetMode="External"/><Relationship Id="rId27" Type="http://schemas.openxmlformats.org/officeDocument/2006/relationships/hyperlink" Target="https://www.itu.int/md/meetingdoc.asp?lang=en&amp;parent=T25-SG17-R-0011" TargetMode="External"/><Relationship Id="rId30" Type="http://schemas.openxmlformats.org/officeDocument/2006/relationships/hyperlink" Target="https://www.itu.int/md/meetingdoc.asp?lang=en&amp;parent=T25-SG17-R-0012" TargetMode="External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  <SharedWithUsers xmlns="990eeaed-7a61-4f76-b7b0-4bef4f5f64c0">
      <UserInfo>
        <DisplayName>Restivo, Charlyne</DisplayName>
        <AccountId>13</AccountId>
        <AccountType/>
      </UserInfo>
      <UserInfo>
        <DisplayName>Liu, Xiya</DisplayName>
        <AccountId>10</AccountId>
        <AccountType/>
      </UserInfo>
      <UserInfo>
        <DisplayName>Moore, Samantha</DisplayName>
        <AccountId>12</AccountId>
        <AccountType/>
      </UserInfo>
      <UserInfo>
        <DisplayName>Tuplin, Tracy</DisplayName>
        <AccountId>82</AccountId>
        <AccountType/>
      </UserInfo>
      <UserInfo>
        <DisplayName>Sukenik, Maria Victoria</DisplayName>
        <AccountId>76</AccountId>
        <AccountType/>
      </UserInfo>
      <UserInfo>
        <DisplayName>Högback, Alex</DisplayName>
        <AccountId>89</AccountId>
        <AccountType/>
      </UserInfo>
      <UserInfo>
        <DisplayName>Chan, Calvin</DisplayName>
        <AccountId>90</AccountId>
        <AccountType/>
      </UserInfo>
      <UserInfo>
        <DisplayName>Gaspari, Alexandra</DisplayName>
        <AccountId>67</AccountId>
        <AccountType/>
      </UserInfo>
      <UserInfo>
        <DisplayName>Sharma, Akanksha</DisplayName>
        <AccountId>91</AccountId>
        <AccountType/>
      </UserInfo>
      <UserInfo>
        <DisplayName>Jamoussi, Bilel</DisplayName>
        <AccountId>23</AccountId>
        <AccountType/>
      </UserInfo>
      <UserInfo>
        <DisplayName>Al-Mnini, Lara</DisplayName>
        <AccountId>93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2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7026E1-C638-473C-AE33-8ECEAE64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16</TotalTime>
  <Pages>9</Pages>
  <Words>3485</Words>
  <Characters>19870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23309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Braud, Olivia</cp:lastModifiedBy>
  <cp:revision>5</cp:revision>
  <cp:lastPrinted>2025-08-12T12:37:00Z</cp:lastPrinted>
  <dcterms:created xsi:type="dcterms:W3CDTF">2025-08-11T14:48:00Z</dcterms:created>
  <dcterms:modified xsi:type="dcterms:W3CDTF">2025-08-12T12:38:00Z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0x010100A2BFF85A5DFC334A92FC6C579D94C737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