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01"/>
        <w:tblW w:w="0" w:type="auto"/>
        <w:tblCellMar>
          <w:left w:w="0" w:type="dxa"/>
          <w:right w:w="0" w:type="dxa"/>
        </w:tblCellMar>
        <w:tblLook w:val="0000" w:firstRow="0" w:lastRow="0" w:firstColumn="0" w:lastColumn="0" w:noHBand="0" w:noVBand="0"/>
      </w:tblPr>
      <w:tblGrid>
        <w:gridCol w:w="1279"/>
        <w:gridCol w:w="3191"/>
        <w:gridCol w:w="5331"/>
      </w:tblGrid>
      <w:tr w:rsidR="00D43E1F" w:rsidRPr="007134B5" w14:paraId="6F496DF6" w14:textId="77777777" w:rsidTr="00D43E1F">
        <w:trPr>
          <w:cantSplit/>
          <w:trHeight w:val="718"/>
        </w:trPr>
        <w:tc>
          <w:tcPr>
            <w:tcW w:w="0" w:type="auto"/>
            <w:vAlign w:val="center"/>
          </w:tcPr>
          <w:p w14:paraId="31D6375D" w14:textId="77777777" w:rsidR="00D43E1F" w:rsidRPr="007134B5" w:rsidRDefault="00D43E1F" w:rsidP="00D43E1F">
            <w:pPr>
              <w:tabs>
                <w:tab w:val="right" w:pos="8732"/>
              </w:tabs>
              <w:spacing w:before="0"/>
              <w:rPr>
                <w:b/>
                <w:bCs/>
                <w:iCs/>
                <w:color w:val="FFFFFF"/>
                <w:sz w:val="30"/>
                <w:szCs w:val="30"/>
              </w:rPr>
            </w:pPr>
            <w:bookmarkStart w:id="0" w:name="StartTyping_F"/>
            <w:bookmarkEnd w:id="0"/>
            <w:r w:rsidRPr="007134B5">
              <w:rPr>
                <w:noProof/>
                <w:lang w:eastAsia="zh-CN"/>
              </w:rPr>
              <w:drawing>
                <wp:inline distT="0" distB="0" distL="0" distR="0" wp14:anchorId="39B3D99C" wp14:editId="43AFFAC2">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0216B74B" w14:textId="77777777" w:rsidR="00D43E1F" w:rsidRPr="007134B5" w:rsidRDefault="00D43E1F" w:rsidP="00D43E1F">
            <w:pPr>
              <w:spacing w:before="0"/>
              <w:rPr>
                <w:rFonts w:cs="Times New Roman Bold"/>
                <w:b/>
                <w:bCs/>
                <w:iCs/>
                <w:smallCaps/>
                <w:sz w:val="34"/>
                <w:szCs w:val="34"/>
              </w:rPr>
            </w:pPr>
            <w:r w:rsidRPr="007134B5">
              <w:rPr>
                <w:rFonts w:cs="Times New Roman Bold"/>
                <w:b/>
                <w:bCs/>
                <w:iCs/>
                <w:smallCaps/>
                <w:sz w:val="34"/>
                <w:szCs w:val="34"/>
              </w:rPr>
              <w:t>Union internationale des télécommunications</w:t>
            </w:r>
          </w:p>
          <w:p w14:paraId="3C8256D1" w14:textId="77777777" w:rsidR="00D43E1F" w:rsidRPr="007134B5" w:rsidRDefault="00D43E1F" w:rsidP="00D43E1F">
            <w:pPr>
              <w:spacing w:before="0"/>
              <w:rPr>
                <w:color w:val="FFFFFF"/>
                <w:sz w:val="26"/>
                <w:szCs w:val="26"/>
              </w:rPr>
            </w:pPr>
            <w:r w:rsidRPr="007134B5">
              <w:rPr>
                <w:rFonts w:cs="Times New Roman Bold"/>
                <w:b/>
                <w:bCs/>
                <w:iCs/>
                <w:smallCaps/>
                <w:sz w:val="28"/>
                <w:szCs w:val="28"/>
              </w:rPr>
              <w:t>B</w:t>
            </w:r>
            <w:r w:rsidRPr="007134B5">
              <w:rPr>
                <w:b/>
                <w:bCs/>
                <w:iCs/>
                <w:smallCaps/>
                <w:sz w:val="28"/>
                <w:szCs w:val="28"/>
              </w:rPr>
              <w:t>ureau de la Normalisation des Télécommunications</w:t>
            </w:r>
          </w:p>
        </w:tc>
      </w:tr>
      <w:tr w:rsidR="00D43E1F" w:rsidRPr="00D43E1F" w14:paraId="30EED42A" w14:textId="77777777" w:rsidTr="00D43E1F">
        <w:trPr>
          <w:cantSplit/>
        </w:trPr>
        <w:tc>
          <w:tcPr>
            <w:tcW w:w="4540" w:type="dxa"/>
            <w:gridSpan w:val="2"/>
          </w:tcPr>
          <w:p w14:paraId="6F0C65A2" w14:textId="77777777" w:rsidR="00D43E1F" w:rsidRPr="00D43E1F" w:rsidRDefault="00D43E1F" w:rsidP="00D43E1F">
            <w:pPr>
              <w:tabs>
                <w:tab w:val="left" w:pos="4111"/>
              </w:tabs>
              <w:spacing w:before="10"/>
              <w:ind w:left="57"/>
              <w:rPr>
                <w:b/>
                <w:sz w:val="22"/>
                <w:szCs w:val="18"/>
              </w:rPr>
            </w:pPr>
          </w:p>
        </w:tc>
        <w:tc>
          <w:tcPr>
            <w:tcW w:w="5261" w:type="dxa"/>
          </w:tcPr>
          <w:p w14:paraId="49A3EE03" w14:textId="77777777" w:rsidR="00D43E1F" w:rsidRPr="00D43E1F" w:rsidRDefault="00D43E1F" w:rsidP="00D43E1F">
            <w:pPr>
              <w:tabs>
                <w:tab w:val="clear" w:pos="794"/>
                <w:tab w:val="clear" w:pos="1191"/>
                <w:tab w:val="clear" w:pos="1588"/>
                <w:tab w:val="clear" w:pos="1985"/>
                <w:tab w:val="left" w:pos="284"/>
              </w:tabs>
              <w:spacing w:before="0" w:after="120"/>
              <w:ind w:left="288" w:hanging="230"/>
              <w:rPr>
                <w:sz w:val="22"/>
                <w:szCs w:val="18"/>
              </w:rPr>
            </w:pPr>
            <w:r w:rsidRPr="00D43E1F">
              <w:rPr>
                <w:sz w:val="22"/>
                <w:szCs w:val="18"/>
              </w:rPr>
              <w:t>Genève, le 23 juillet 2025</w:t>
            </w:r>
          </w:p>
        </w:tc>
      </w:tr>
      <w:tr w:rsidR="00D43E1F" w:rsidRPr="00D43E1F" w14:paraId="518BFEDF" w14:textId="77777777" w:rsidTr="00D43E1F">
        <w:trPr>
          <w:cantSplit/>
          <w:trHeight w:val="340"/>
        </w:trPr>
        <w:tc>
          <w:tcPr>
            <w:tcW w:w="0" w:type="auto"/>
          </w:tcPr>
          <w:p w14:paraId="554E1863" w14:textId="77777777" w:rsidR="00D43E1F" w:rsidRPr="00D43E1F" w:rsidRDefault="00D43E1F" w:rsidP="00D43E1F">
            <w:pPr>
              <w:tabs>
                <w:tab w:val="left" w:pos="4111"/>
              </w:tabs>
              <w:spacing w:before="10"/>
              <w:ind w:left="57"/>
              <w:rPr>
                <w:b/>
                <w:bCs/>
                <w:sz w:val="22"/>
                <w:szCs w:val="18"/>
              </w:rPr>
            </w:pPr>
            <w:proofErr w:type="gramStart"/>
            <w:r w:rsidRPr="00D43E1F">
              <w:rPr>
                <w:b/>
                <w:bCs/>
                <w:sz w:val="22"/>
                <w:szCs w:val="18"/>
              </w:rPr>
              <w:t>Réf.:</w:t>
            </w:r>
            <w:proofErr w:type="gramEnd"/>
          </w:p>
        </w:tc>
        <w:tc>
          <w:tcPr>
            <w:tcW w:w="3261" w:type="dxa"/>
          </w:tcPr>
          <w:p w14:paraId="300A7298" w14:textId="77777777" w:rsidR="00D43E1F" w:rsidRPr="00D43E1F" w:rsidRDefault="00D43E1F" w:rsidP="00D43E1F">
            <w:pPr>
              <w:tabs>
                <w:tab w:val="left" w:pos="4111"/>
              </w:tabs>
              <w:spacing w:before="10"/>
              <w:rPr>
                <w:b/>
                <w:sz w:val="22"/>
                <w:szCs w:val="18"/>
              </w:rPr>
            </w:pPr>
            <w:r w:rsidRPr="00D43E1F">
              <w:rPr>
                <w:b/>
                <w:sz w:val="22"/>
                <w:szCs w:val="18"/>
              </w:rPr>
              <w:t>Circulaire TSB 50</w:t>
            </w:r>
          </w:p>
          <w:p w14:paraId="1BDB08E3" w14:textId="77777777" w:rsidR="00D43E1F" w:rsidRPr="00D43E1F" w:rsidRDefault="00D43E1F" w:rsidP="00D43E1F">
            <w:pPr>
              <w:tabs>
                <w:tab w:val="left" w:pos="4111"/>
              </w:tabs>
              <w:spacing w:before="10" w:after="120"/>
              <w:rPr>
                <w:sz w:val="22"/>
                <w:szCs w:val="18"/>
              </w:rPr>
            </w:pPr>
            <w:r w:rsidRPr="00D43E1F">
              <w:rPr>
                <w:sz w:val="22"/>
                <w:szCs w:val="18"/>
              </w:rPr>
              <w:t>CE 17/XY</w:t>
            </w:r>
          </w:p>
        </w:tc>
        <w:tc>
          <w:tcPr>
            <w:tcW w:w="5261" w:type="dxa"/>
            <w:vMerge w:val="restart"/>
          </w:tcPr>
          <w:p w14:paraId="3CF0B3DF" w14:textId="77777777" w:rsidR="00D43E1F" w:rsidRPr="00D43E1F" w:rsidRDefault="00D43E1F" w:rsidP="00D43E1F">
            <w:pPr>
              <w:tabs>
                <w:tab w:val="left" w:pos="226"/>
                <w:tab w:val="left" w:pos="4111"/>
              </w:tabs>
              <w:spacing w:before="0"/>
              <w:ind w:left="226" w:hanging="226"/>
              <w:rPr>
                <w:b/>
                <w:bCs/>
                <w:sz w:val="22"/>
                <w:szCs w:val="18"/>
              </w:rPr>
            </w:pPr>
            <w:bookmarkStart w:id="1" w:name="Addressee_F"/>
            <w:bookmarkEnd w:id="1"/>
            <w:proofErr w:type="gramStart"/>
            <w:r w:rsidRPr="00D43E1F">
              <w:rPr>
                <w:b/>
                <w:bCs/>
                <w:sz w:val="22"/>
                <w:szCs w:val="18"/>
              </w:rPr>
              <w:t>Aux:</w:t>
            </w:r>
            <w:proofErr w:type="gramEnd"/>
          </w:p>
          <w:p w14:paraId="79314FD2" w14:textId="77777777" w:rsidR="00D43E1F" w:rsidRPr="00D43E1F" w:rsidRDefault="00D43E1F" w:rsidP="00D43E1F">
            <w:pPr>
              <w:tabs>
                <w:tab w:val="left" w:pos="4111"/>
              </w:tabs>
              <w:spacing w:before="0"/>
              <w:ind w:left="426" w:hanging="426"/>
              <w:rPr>
                <w:sz w:val="22"/>
                <w:szCs w:val="18"/>
              </w:rPr>
            </w:pPr>
            <w:r w:rsidRPr="00D43E1F">
              <w:rPr>
                <w:sz w:val="22"/>
                <w:szCs w:val="18"/>
              </w:rPr>
              <w:t>–</w:t>
            </w:r>
            <w:r w:rsidRPr="00D43E1F">
              <w:rPr>
                <w:sz w:val="22"/>
                <w:szCs w:val="18"/>
              </w:rPr>
              <w:tab/>
              <w:t>Administrations des États Membres de l'Union</w:t>
            </w:r>
          </w:p>
          <w:p w14:paraId="73D01503" w14:textId="77777777" w:rsidR="00D43E1F" w:rsidRPr="00D43E1F" w:rsidRDefault="00D43E1F" w:rsidP="00D43E1F">
            <w:pPr>
              <w:tabs>
                <w:tab w:val="clear" w:pos="794"/>
                <w:tab w:val="left" w:pos="226"/>
                <w:tab w:val="left" w:pos="4111"/>
              </w:tabs>
              <w:spacing w:before="0"/>
              <w:ind w:left="226" w:hanging="226"/>
              <w:rPr>
                <w:b/>
                <w:bCs/>
                <w:sz w:val="22"/>
                <w:szCs w:val="18"/>
              </w:rPr>
            </w:pPr>
            <w:proofErr w:type="gramStart"/>
            <w:r w:rsidRPr="00D43E1F">
              <w:rPr>
                <w:b/>
                <w:bCs/>
                <w:sz w:val="22"/>
                <w:szCs w:val="18"/>
              </w:rPr>
              <w:t>Copie:</w:t>
            </w:r>
            <w:proofErr w:type="gramEnd"/>
          </w:p>
          <w:p w14:paraId="10C2F952" w14:textId="77777777" w:rsidR="00D43E1F" w:rsidRPr="00D43E1F" w:rsidRDefault="00D43E1F" w:rsidP="00D43E1F">
            <w:pPr>
              <w:tabs>
                <w:tab w:val="clear" w:pos="794"/>
                <w:tab w:val="left" w:pos="4111"/>
              </w:tabs>
              <w:spacing w:before="0"/>
              <w:ind w:left="426" w:hanging="426"/>
              <w:rPr>
                <w:sz w:val="22"/>
                <w:szCs w:val="18"/>
              </w:rPr>
            </w:pPr>
            <w:r w:rsidRPr="00D43E1F">
              <w:rPr>
                <w:sz w:val="22"/>
                <w:szCs w:val="18"/>
              </w:rPr>
              <w:t>–</w:t>
            </w:r>
            <w:r w:rsidRPr="00D43E1F">
              <w:rPr>
                <w:sz w:val="22"/>
                <w:szCs w:val="18"/>
              </w:rPr>
              <w:tab/>
              <w:t>Aux Membres du Secteur de l'UIT-</w:t>
            </w:r>
            <w:proofErr w:type="gramStart"/>
            <w:r w:rsidRPr="00D43E1F">
              <w:rPr>
                <w:sz w:val="22"/>
                <w:szCs w:val="18"/>
              </w:rPr>
              <w:t>T;</w:t>
            </w:r>
            <w:proofErr w:type="gramEnd"/>
          </w:p>
          <w:p w14:paraId="22E3818D" w14:textId="77777777" w:rsidR="00D43E1F" w:rsidRPr="00D43E1F" w:rsidRDefault="00D43E1F" w:rsidP="00D43E1F">
            <w:pPr>
              <w:tabs>
                <w:tab w:val="clear" w:pos="794"/>
                <w:tab w:val="left" w:pos="4111"/>
              </w:tabs>
              <w:spacing w:before="0"/>
              <w:ind w:left="426" w:hanging="426"/>
              <w:rPr>
                <w:sz w:val="22"/>
                <w:szCs w:val="18"/>
              </w:rPr>
            </w:pPr>
            <w:r w:rsidRPr="00D43E1F">
              <w:rPr>
                <w:sz w:val="22"/>
                <w:szCs w:val="18"/>
              </w:rPr>
              <w:t>–</w:t>
            </w:r>
            <w:r w:rsidRPr="00D43E1F">
              <w:rPr>
                <w:sz w:val="22"/>
                <w:szCs w:val="18"/>
              </w:rPr>
              <w:tab/>
              <w:t xml:space="preserve">Aux Associés de l'UIT-T participant aux travaux de la Commission d'études </w:t>
            </w:r>
            <w:proofErr w:type="gramStart"/>
            <w:r w:rsidRPr="00D43E1F">
              <w:rPr>
                <w:sz w:val="22"/>
                <w:szCs w:val="18"/>
              </w:rPr>
              <w:t>17;</w:t>
            </w:r>
            <w:proofErr w:type="gramEnd"/>
          </w:p>
          <w:p w14:paraId="0CEDD1FF" w14:textId="77777777" w:rsidR="00D43E1F" w:rsidRPr="00D43E1F" w:rsidRDefault="00D43E1F" w:rsidP="00D43E1F">
            <w:pPr>
              <w:tabs>
                <w:tab w:val="clear" w:pos="794"/>
                <w:tab w:val="left" w:pos="4111"/>
              </w:tabs>
              <w:spacing w:before="0"/>
              <w:ind w:left="426" w:hanging="426"/>
              <w:rPr>
                <w:sz w:val="22"/>
                <w:szCs w:val="18"/>
              </w:rPr>
            </w:pPr>
            <w:r w:rsidRPr="00D43E1F">
              <w:rPr>
                <w:sz w:val="22"/>
                <w:szCs w:val="18"/>
              </w:rPr>
              <w:t>–</w:t>
            </w:r>
            <w:r w:rsidRPr="00D43E1F">
              <w:rPr>
                <w:sz w:val="22"/>
                <w:szCs w:val="18"/>
              </w:rPr>
              <w:tab/>
              <w:t xml:space="preserve">Aux établissements universitaires participant aux travaux de </w:t>
            </w:r>
            <w:proofErr w:type="gramStart"/>
            <w:r w:rsidRPr="00D43E1F">
              <w:rPr>
                <w:sz w:val="22"/>
                <w:szCs w:val="18"/>
              </w:rPr>
              <w:t>l'UIT;</w:t>
            </w:r>
            <w:proofErr w:type="gramEnd"/>
          </w:p>
          <w:p w14:paraId="1A9DD9F6" w14:textId="77777777" w:rsidR="00D43E1F" w:rsidRPr="00D43E1F" w:rsidRDefault="00D43E1F" w:rsidP="00D43E1F">
            <w:pPr>
              <w:tabs>
                <w:tab w:val="clear" w:pos="794"/>
                <w:tab w:val="left" w:pos="4111"/>
              </w:tabs>
              <w:spacing w:before="0"/>
              <w:ind w:left="426" w:hanging="426"/>
              <w:rPr>
                <w:sz w:val="22"/>
                <w:szCs w:val="18"/>
              </w:rPr>
            </w:pPr>
            <w:r w:rsidRPr="00D43E1F">
              <w:rPr>
                <w:sz w:val="22"/>
                <w:szCs w:val="18"/>
              </w:rPr>
              <w:t>–</w:t>
            </w:r>
            <w:r w:rsidRPr="00D43E1F">
              <w:rPr>
                <w:sz w:val="22"/>
                <w:szCs w:val="18"/>
              </w:rPr>
              <w:tab/>
              <w:t>Aux Président et Vice-Présidents de la Commission d'études 17 de l'UIT-</w:t>
            </w:r>
            <w:proofErr w:type="gramStart"/>
            <w:r w:rsidRPr="00D43E1F">
              <w:rPr>
                <w:sz w:val="22"/>
                <w:szCs w:val="18"/>
              </w:rPr>
              <w:t>T;</w:t>
            </w:r>
            <w:proofErr w:type="gramEnd"/>
          </w:p>
          <w:p w14:paraId="34BF804B" w14:textId="77777777" w:rsidR="00D43E1F" w:rsidRPr="00D43E1F" w:rsidRDefault="00D43E1F" w:rsidP="00D43E1F">
            <w:pPr>
              <w:tabs>
                <w:tab w:val="clear" w:pos="794"/>
                <w:tab w:val="left" w:pos="4111"/>
              </w:tabs>
              <w:spacing w:before="0"/>
              <w:ind w:left="426" w:hanging="426"/>
              <w:rPr>
                <w:sz w:val="22"/>
                <w:szCs w:val="18"/>
              </w:rPr>
            </w:pPr>
            <w:r w:rsidRPr="00D43E1F">
              <w:rPr>
                <w:sz w:val="22"/>
                <w:szCs w:val="18"/>
              </w:rPr>
              <w:t>–</w:t>
            </w:r>
            <w:r w:rsidRPr="00D43E1F">
              <w:rPr>
                <w:sz w:val="22"/>
                <w:szCs w:val="18"/>
              </w:rPr>
              <w:tab/>
              <w:t xml:space="preserve">Au Directeur du Bureau de développement des </w:t>
            </w:r>
            <w:proofErr w:type="gramStart"/>
            <w:r w:rsidRPr="00D43E1F">
              <w:rPr>
                <w:sz w:val="22"/>
                <w:szCs w:val="18"/>
              </w:rPr>
              <w:t>télécommunications;</w:t>
            </w:r>
            <w:proofErr w:type="gramEnd"/>
          </w:p>
          <w:p w14:paraId="31A9937D" w14:textId="77777777" w:rsidR="00D43E1F" w:rsidRPr="00D43E1F" w:rsidRDefault="00D43E1F" w:rsidP="00D43E1F">
            <w:pPr>
              <w:tabs>
                <w:tab w:val="left" w:pos="4111"/>
              </w:tabs>
              <w:spacing w:before="0"/>
              <w:ind w:left="426" w:hanging="426"/>
              <w:rPr>
                <w:sz w:val="22"/>
                <w:szCs w:val="18"/>
              </w:rPr>
            </w:pPr>
            <w:r w:rsidRPr="00D43E1F">
              <w:rPr>
                <w:sz w:val="22"/>
                <w:szCs w:val="18"/>
              </w:rPr>
              <w:t>–</w:t>
            </w:r>
            <w:r w:rsidRPr="00D43E1F">
              <w:rPr>
                <w:sz w:val="22"/>
                <w:szCs w:val="18"/>
              </w:rPr>
              <w:tab/>
              <w:t>Au Directeur du Bureau des radiocommunications</w:t>
            </w:r>
          </w:p>
        </w:tc>
      </w:tr>
      <w:tr w:rsidR="00D43E1F" w:rsidRPr="00D43E1F" w14:paraId="161887DE" w14:textId="77777777" w:rsidTr="00D43E1F">
        <w:trPr>
          <w:cantSplit/>
          <w:trHeight w:val="431"/>
        </w:trPr>
        <w:tc>
          <w:tcPr>
            <w:tcW w:w="0" w:type="auto"/>
          </w:tcPr>
          <w:p w14:paraId="02BD9066" w14:textId="77777777" w:rsidR="00D43E1F" w:rsidRPr="00D43E1F" w:rsidRDefault="00D43E1F" w:rsidP="00D43E1F">
            <w:pPr>
              <w:tabs>
                <w:tab w:val="left" w:pos="4111"/>
              </w:tabs>
              <w:spacing w:before="10"/>
              <w:ind w:left="57"/>
              <w:rPr>
                <w:sz w:val="22"/>
                <w:szCs w:val="18"/>
              </w:rPr>
            </w:pPr>
            <w:proofErr w:type="gramStart"/>
            <w:r w:rsidRPr="00D43E1F">
              <w:rPr>
                <w:sz w:val="22"/>
                <w:szCs w:val="18"/>
              </w:rPr>
              <w:t>Tél.:</w:t>
            </w:r>
            <w:proofErr w:type="gramEnd"/>
          </w:p>
        </w:tc>
        <w:tc>
          <w:tcPr>
            <w:tcW w:w="3261" w:type="dxa"/>
          </w:tcPr>
          <w:p w14:paraId="3D59554C" w14:textId="77777777" w:rsidR="00D43E1F" w:rsidRPr="00D43E1F" w:rsidRDefault="00D43E1F" w:rsidP="00D43E1F">
            <w:pPr>
              <w:tabs>
                <w:tab w:val="left" w:pos="4111"/>
              </w:tabs>
              <w:spacing w:before="0"/>
              <w:rPr>
                <w:sz w:val="22"/>
                <w:szCs w:val="18"/>
              </w:rPr>
            </w:pPr>
            <w:r w:rsidRPr="00D43E1F">
              <w:rPr>
                <w:sz w:val="22"/>
                <w:szCs w:val="18"/>
              </w:rPr>
              <w:t>+41 22 730 6206</w:t>
            </w:r>
          </w:p>
        </w:tc>
        <w:tc>
          <w:tcPr>
            <w:tcW w:w="5261" w:type="dxa"/>
            <w:vMerge/>
          </w:tcPr>
          <w:p w14:paraId="272A1FF3" w14:textId="77777777" w:rsidR="00D43E1F" w:rsidRPr="00D43E1F" w:rsidRDefault="00D43E1F" w:rsidP="00D43E1F">
            <w:pPr>
              <w:tabs>
                <w:tab w:val="left" w:pos="4111"/>
              </w:tabs>
              <w:spacing w:before="0"/>
              <w:ind w:left="426" w:hanging="426"/>
              <w:rPr>
                <w:sz w:val="22"/>
                <w:szCs w:val="18"/>
              </w:rPr>
            </w:pPr>
          </w:p>
        </w:tc>
      </w:tr>
      <w:tr w:rsidR="00D43E1F" w:rsidRPr="00D43E1F" w14:paraId="0DC01A09" w14:textId="77777777" w:rsidTr="00D43E1F">
        <w:trPr>
          <w:cantSplit/>
          <w:trHeight w:val="423"/>
        </w:trPr>
        <w:tc>
          <w:tcPr>
            <w:tcW w:w="0" w:type="auto"/>
          </w:tcPr>
          <w:p w14:paraId="46211A47" w14:textId="77777777" w:rsidR="00D43E1F" w:rsidRPr="00D43E1F" w:rsidRDefault="00D43E1F" w:rsidP="00D43E1F">
            <w:pPr>
              <w:tabs>
                <w:tab w:val="left" w:pos="4111"/>
              </w:tabs>
              <w:spacing w:before="10"/>
              <w:ind w:left="57"/>
              <w:rPr>
                <w:sz w:val="18"/>
                <w:szCs w:val="18"/>
              </w:rPr>
            </w:pPr>
            <w:proofErr w:type="gramStart"/>
            <w:r w:rsidRPr="00D43E1F">
              <w:rPr>
                <w:sz w:val="22"/>
                <w:szCs w:val="18"/>
              </w:rPr>
              <w:t>Télécopie:</w:t>
            </w:r>
            <w:proofErr w:type="gramEnd"/>
          </w:p>
        </w:tc>
        <w:tc>
          <w:tcPr>
            <w:tcW w:w="3261" w:type="dxa"/>
          </w:tcPr>
          <w:p w14:paraId="7EF9EC55" w14:textId="77777777" w:rsidR="00D43E1F" w:rsidRPr="00D43E1F" w:rsidRDefault="00D43E1F" w:rsidP="00D43E1F">
            <w:pPr>
              <w:tabs>
                <w:tab w:val="left" w:pos="4111"/>
              </w:tabs>
              <w:spacing w:before="0"/>
              <w:rPr>
                <w:sz w:val="22"/>
                <w:szCs w:val="18"/>
              </w:rPr>
            </w:pPr>
            <w:r w:rsidRPr="00D43E1F">
              <w:rPr>
                <w:sz w:val="22"/>
                <w:szCs w:val="18"/>
              </w:rPr>
              <w:t>+41 22 730 5853</w:t>
            </w:r>
          </w:p>
        </w:tc>
        <w:tc>
          <w:tcPr>
            <w:tcW w:w="5261" w:type="dxa"/>
            <w:vMerge/>
          </w:tcPr>
          <w:p w14:paraId="54EC7136" w14:textId="77777777" w:rsidR="00D43E1F" w:rsidRPr="00D43E1F" w:rsidRDefault="00D43E1F" w:rsidP="00D43E1F">
            <w:pPr>
              <w:tabs>
                <w:tab w:val="left" w:pos="4111"/>
              </w:tabs>
              <w:spacing w:before="0"/>
              <w:ind w:left="426" w:hanging="426"/>
              <w:rPr>
                <w:b/>
                <w:sz w:val="22"/>
                <w:szCs w:val="18"/>
              </w:rPr>
            </w:pPr>
          </w:p>
        </w:tc>
      </w:tr>
      <w:tr w:rsidR="00D43E1F" w:rsidRPr="00D43E1F" w14:paraId="21C9B703" w14:textId="77777777" w:rsidTr="00D43E1F">
        <w:trPr>
          <w:cantSplit/>
        </w:trPr>
        <w:tc>
          <w:tcPr>
            <w:tcW w:w="0" w:type="auto"/>
          </w:tcPr>
          <w:p w14:paraId="1DB37096" w14:textId="77777777" w:rsidR="00D43E1F" w:rsidRPr="00D43E1F" w:rsidRDefault="00D43E1F" w:rsidP="00D43E1F">
            <w:pPr>
              <w:tabs>
                <w:tab w:val="left" w:pos="4111"/>
              </w:tabs>
              <w:spacing w:before="10"/>
              <w:ind w:left="57"/>
              <w:rPr>
                <w:sz w:val="22"/>
                <w:szCs w:val="18"/>
              </w:rPr>
            </w:pPr>
            <w:proofErr w:type="gramStart"/>
            <w:r w:rsidRPr="00D43E1F">
              <w:rPr>
                <w:sz w:val="22"/>
                <w:szCs w:val="18"/>
              </w:rPr>
              <w:t>Courriel:</w:t>
            </w:r>
            <w:proofErr w:type="gramEnd"/>
          </w:p>
        </w:tc>
        <w:tc>
          <w:tcPr>
            <w:tcW w:w="3261" w:type="dxa"/>
          </w:tcPr>
          <w:p w14:paraId="07F2EF81" w14:textId="77777777" w:rsidR="00D43E1F" w:rsidRPr="00D43E1F" w:rsidRDefault="00D43E1F" w:rsidP="00D43E1F">
            <w:pPr>
              <w:tabs>
                <w:tab w:val="left" w:pos="4111"/>
              </w:tabs>
              <w:spacing w:before="0"/>
              <w:rPr>
                <w:sz w:val="22"/>
                <w:szCs w:val="18"/>
              </w:rPr>
            </w:pPr>
            <w:hyperlink r:id="rId9" w:history="1">
              <w:r w:rsidRPr="00D43E1F">
                <w:rPr>
                  <w:rStyle w:val="Hyperlink"/>
                  <w:sz w:val="22"/>
                  <w:szCs w:val="18"/>
                </w:rPr>
                <w:t>tsbg17@itu.int</w:t>
              </w:r>
            </w:hyperlink>
          </w:p>
        </w:tc>
        <w:tc>
          <w:tcPr>
            <w:tcW w:w="5261" w:type="dxa"/>
            <w:vMerge/>
          </w:tcPr>
          <w:p w14:paraId="0DDAE682" w14:textId="77777777" w:rsidR="00D43E1F" w:rsidRPr="00D43E1F" w:rsidRDefault="00D43E1F" w:rsidP="00D43E1F">
            <w:pPr>
              <w:tabs>
                <w:tab w:val="clear" w:pos="794"/>
                <w:tab w:val="left" w:pos="4111"/>
              </w:tabs>
              <w:spacing w:before="0"/>
              <w:ind w:left="426" w:hanging="426"/>
              <w:rPr>
                <w:sz w:val="22"/>
                <w:szCs w:val="18"/>
              </w:rPr>
            </w:pPr>
          </w:p>
        </w:tc>
      </w:tr>
      <w:tr w:rsidR="00D43E1F" w:rsidRPr="00D43E1F" w14:paraId="183EBBB5" w14:textId="77777777" w:rsidTr="00D43E1F">
        <w:trPr>
          <w:cantSplit/>
          <w:trHeight w:val="397"/>
        </w:trPr>
        <w:tc>
          <w:tcPr>
            <w:tcW w:w="0" w:type="auto"/>
          </w:tcPr>
          <w:p w14:paraId="527EA0E4" w14:textId="77777777" w:rsidR="00D43E1F" w:rsidRPr="00D43E1F" w:rsidRDefault="00D43E1F" w:rsidP="00D43E1F">
            <w:pPr>
              <w:tabs>
                <w:tab w:val="left" w:pos="4111"/>
              </w:tabs>
              <w:spacing w:before="60" w:afterLines="60" w:after="144"/>
              <w:ind w:left="58"/>
              <w:rPr>
                <w:b/>
                <w:bCs/>
                <w:sz w:val="22"/>
              </w:rPr>
            </w:pPr>
            <w:proofErr w:type="gramStart"/>
            <w:r w:rsidRPr="00D43E1F">
              <w:rPr>
                <w:b/>
                <w:bCs/>
                <w:sz w:val="22"/>
              </w:rPr>
              <w:t>Objet:</w:t>
            </w:r>
            <w:proofErr w:type="gramEnd"/>
          </w:p>
        </w:tc>
        <w:tc>
          <w:tcPr>
            <w:tcW w:w="0" w:type="auto"/>
            <w:gridSpan w:val="2"/>
          </w:tcPr>
          <w:p w14:paraId="5EEF2A83" w14:textId="77777777" w:rsidR="00D43E1F" w:rsidRPr="00D43E1F" w:rsidRDefault="00D43E1F" w:rsidP="00D43E1F">
            <w:pPr>
              <w:tabs>
                <w:tab w:val="left" w:pos="4111"/>
              </w:tabs>
              <w:spacing w:before="60" w:after="20"/>
              <w:rPr>
                <w:b/>
                <w:bCs/>
                <w:sz w:val="22"/>
              </w:rPr>
            </w:pPr>
            <w:r w:rsidRPr="00D43E1F">
              <w:rPr>
                <w:b/>
                <w:bCs/>
                <w:sz w:val="22"/>
              </w:rPr>
              <w:t xml:space="preserve">Consultation des États Membres au sujet du texte déterminé des projets de nouvelles Recommandations UIT-T X.1062 (anciennement </w:t>
            </w:r>
            <w:proofErr w:type="spellStart"/>
            <w:r w:rsidRPr="00D43E1F">
              <w:rPr>
                <w:b/>
                <w:bCs/>
                <w:sz w:val="22"/>
              </w:rPr>
              <w:t>X.shcd</w:t>
            </w:r>
            <w:proofErr w:type="spellEnd"/>
            <w:r w:rsidRPr="00D43E1F">
              <w:rPr>
                <w:b/>
                <w:bCs/>
                <w:sz w:val="22"/>
              </w:rPr>
              <w:t xml:space="preserve">), X.1238 (anciennement </w:t>
            </w:r>
            <w:proofErr w:type="spellStart"/>
            <w:r w:rsidRPr="00D43E1F">
              <w:rPr>
                <w:b/>
                <w:bCs/>
                <w:sz w:val="22"/>
              </w:rPr>
              <w:t>X.sgc-rcs</w:t>
            </w:r>
            <w:proofErr w:type="spellEnd"/>
            <w:r w:rsidRPr="00D43E1F">
              <w:rPr>
                <w:b/>
                <w:bCs/>
                <w:sz w:val="22"/>
              </w:rPr>
              <w:t>), X.1128 (anciennement X.mt-</w:t>
            </w:r>
            <w:proofErr w:type="spellStart"/>
            <w:r w:rsidRPr="00D43E1F">
              <w:rPr>
                <w:b/>
                <w:bCs/>
                <w:sz w:val="22"/>
              </w:rPr>
              <w:t>feature</w:t>
            </w:r>
            <w:proofErr w:type="spellEnd"/>
            <w:r w:rsidRPr="00D43E1F">
              <w:rPr>
                <w:b/>
                <w:bCs/>
                <w:sz w:val="22"/>
              </w:rPr>
              <w:t>), X.1129 (anciennement X.mt-</w:t>
            </w:r>
            <w:proofErr w:type="spellStart"/>
            <w:r w:rsidRPr="00D43E1F">
              <w:rPr>
                <w:b/>
                <w:bCs/>
                <w:sz w:val="22"/>
              </w:rPr>
              <w:t>integrity</w:t>
            </w:r>
            <w:proofErr w:type="spellEnd"/>
            <w:r w:rsidRPr="00D43E1F">
              <w:rPr>
                <w:b/>
                <w:bCs/>
                <w:sz w:val="22"/>
              </w:rPr>
              <w:t>), X.1130 (anciennement X.tg-</w:t>
            </w:r>
            <w:proofErr w:type="spellStart"/>
            <w:r w:rsidRPr="00D43E1F">
              <w:rPr>
                <w:b/>
                <w:bCs/>
                <w:sz w:val="22"/>
              </w:rPr>
              <w:t>fdma</w:t>
            </w:r>
            <w:proofErr w:type="spellEnd"/>
            <w:r w:rsidRPr="00D43E1F">
              <w:rPr>
                <w:b/>
                <w:bCs/>
                <w:sz w:val="22"/>
              </w:rPr>
              <w:t xml:space="preserve">), X.1457 (anciennement </w:t>
            </w:r>
            <w:proofErr w:type="spellStart"/>
            <w:r w:rsidRPr="00D43E1F">
              <w:rPr>
                <w:b/>
                <w:bCs/>
                <w:sz w:val="22"/>
              </w:rPr>
              <w:t>X.str-irs</w:t>
            </w:r>
            <w:proofErr w:type="spellEnd"/>
            <w:r w:rsidRPr="00D43E1F">
              <w:rPr>
                <w:b/>
                <w:bCs/>
                <w:sz w:val="22"/>
              </w:rPr>
              <w:t xml:space="preserve">), X.1753 (anciennement </w:t>
            </w:r>
            <w:proofErr w:type="spellStart"/>
            <w:r w:rsidRPr="00D43E1F">
              <w:rPr>
                <w:b/>
                <w:bCs/>
                <w:sz w:val="22"/>
              </w:rPr>
              <w:t>X.gdsml</w:t>
            </w:r>
            <w:proofErr w:type="spellEnd"/>
            <w:r w:rsidRPr="00D43E1F">
              <w:rPr>
                <w:b/>
                <w:bCs/>
                <w:sz w:val="22"/>
              </w:rPr>
              <w:t xml:space="preserve">) et X.1649 (anciennement </w:t>
            </w:r>
            <w:proofErr w:type="spellStart"/>
            <w:r w:rsidRPr="00D43E1F">
              <w:rPr>
                <w:b/>
                <w:bCs/>
                <w:sz w:val="22"/>
              </w:rPr>
              <w:t>X.sgmc</w:t>
            </w:r>
            <w:proofErr w:type="spellEnd"/>
            <w:r w:rsidRPr="00D43E1F">
              <w:rPr>
                <w:b/>
                <w:bCs/>
                <w:sz w:val="22"/>
              </w:rPr>
              <w:t>), et des Recommandations révisées UIT-T X.1250 et X.1631, qu'il est proposé d'approuver à la réunion de la Commission d'études 17 de l'UIT-T (Genève, 3</w:t>
            </w:r>
            <w:r w:rsidRPr="00D43E1F">
              <w:rPr>
                <w:b/>
                <w:bCs/>
                <w:sz w:val="22"/>
              </w:rPr>
              <w:noBreakHyphen/>
              <w:t>11 décembre 2025)</w:t>
            </w:r>
          </w:p>
        </w:tc>
      </w:tr>
    </w:tbl>
    <w:p w14:paraId="2D1EC328" w14:textId="77777777" w:rsidR="00517A03" w:rsidRPr="00D43E1F" w:rsidRDefault="00517A03" w:rsidP="00D43E1F">
      <w:pPr>
        <w:spacing w:before="0"/>
        <w:rPr>
          <w:sz w:val="22"/>
          <w:szCs w:val="18"/>
        </w:rPr>
      </w:pPr>
      <w:r w:rsidRPr="00D43E1F">
        <w:rPr>
          <w:sz w:val="22"/>
          <w:szCs w:val="18"/>
        </w:rPr>
        <w:t>Madame, Monsieur,</w:t>
      </w:r>
    </w:p>
    <w:p w14:paraId="7C333B38" w14:textId="54CD52E6" w:rsidR="002B2E4B" w:rsidRPr="00D43E1F" w:rsidRDefault="002B2E4B" w:rsidP="00D43E1F">
      <w:pPr>
        <w:spacing w:before="100"/>
        <w:rPr>
          <w:bCs/>
          <w:sz w:val="22"/>
          <w:szCs w:val="18"/>
        </w:rPr>
      </w:pPr>
      <w:r w:rsidRPr="00D43E1F">
        <w:rPr>
          <w:bCs/>
          <w:sz w:val="22"/>
          <w:szCs w:val="18"/>
        </w:rPr>
        <w:t>1</w:t>
      </w:r>
      <w:r w:rsidRPr="00D43E1F">
        <w:rPr>
          <w:bCs/>
          <w:sz w:val="22"/>
          <w:szCs w:val="18"/>
        </w:rPr>
        <w:tab/>
        <w:t>La Commission d'études 17 de l'UIT-T (Sécurité) a l'intention d'appliquer la procédure d'approbation traditionnelle énoncée à la section 9 de la Résolution 1 (Rév. Genève, 2022) de</w:t>
      </w:r>
      <w:r w:rsidR="008E2974" w:rsidRPr="00D43E1F">
        <w:rPr>
          <w:bCs/>
          <w:sz w:val="22"/>
          <w:szCs w:val="18"/>
        </w:rPr>
        <w:t xml:space="preserve"> </w:t>
      </w:r>
      <w:r w:rsidRPr="00D43E1F">
        <w:rPr>
          <w:bCs/>
          <w:sz w:val="22"/>
          <w:szCs w:val="18"/>
        </w:rPr>
        <w:t xml:space="preserve">l'AMNT pour l'approbation des projets de Recommandations mentionnés ci-dessus à sa prochaine réunion physique, qui se tiendra à Genève du 3 au 11 décembre 2025. L'ordre du jour et tous les renseignements utiles concernant cette réunion seront présentés dans la Lettre collective </w:t>
      </w:r>
      <w:hyperlink r:id="rId10" w:history="1">
        <w:r w:rsidRPr="00D43E1F">
          <w:rPr>
            <w:rStyle w:val="Hyperlink"/>
            <w:bCs/>
            <w:sz w:val="22"/>
            <w:szCs w:val="18"/>
          </w:rPr>
          <w:t>4/17</w:t>
        </w:r>
      </w:hyperlink>
      <w:r w:rsidRPr="00D43E1F">
        <w:rPr>
          <w:bCs/>
          <w:sz w:val="22"/>
          <w:szCs w:val="18"/>
        </w:rPr>
        <w:t>.</w:t>
      </w:r>
    </w:p>
    <w:p w14:paraId="5473C143" w14:textId="710E1937" w:rsidR="002B2E4B" w:rsidRPr="00D43E1F" w:rsidRDefault="002B2E4B" w:rsidP="00D43E1F">
      <w:pPr>
        <w:spacing w:before="100"/>
        <w:rPr>
          <w:bCs/>
          <w:sz w:val="22"/>
          <w:szCs w:val="18"/>
        </w:rPr>
      </w:pPr>
      <w:r w:rsidRPr="00D43E1F">
        <w:rPr>
          <w:bCs/>
          <w:sz w:val="22"/>
          <w:szCs w:val="18"/>
        </w:rPr>
        <w:t>2</w:t>
      </w:r>
      <w:r w:rsidRPr="00D43E1F">
        <w:rPr>
          <w:bCs/>
          <w:sz w:val="22"/>
          <w:szCs w:val="18"/>
        </w:rPr>
        <w:tab/>
        <w:t>Vous trouverez dans l'</w:t>
      </w:r>
      <w:r w:rsidRPr="00D43E1F">
        <w:rPr>
          <w:b/>
          <w:sz w:val="22"/>
          <w:szCs w:val="18"/>
        </w:rPr>
        <w:t>Annexe 1</w:t>
      </w:r>
      <w:r w:rsidRPr="00D43E1F">
        <w:rPr>
          <w:bCs/>
          <w:sz w:val="22"/>
          <w:szCs w:val="18"/>
        </w:rPr>
        <w:t xml:space="preserve"> le titre, le résumé et l</w:t>
      </w:r>
      <w:r w:rsidR="00D47B00" w:rsidRPr="00D43E1F">
        <w:rPr>
          <w:bCs/>
          <w:sz w:val="22"/>
          <w:szCs w:val="18"/>
        </w:rPr>
        <w:t>'</w:t>
      </w:r>
      <w:r w:rsidRPr="00D43E1F">
        <w:rPr>
          <w:bCs/>
          <w:sz w:val="22"/>
          <w:szCs w:val="18"/>
        </w:rPr>
        <w:t>emplacement des projets de Recommandations UIT-T qu'il est proposé d'approuver.</w:t>
      </w:r>
    </w:p>
    <w:p w14:paraId="77CA1329" w14:textId="77777777" w:rsidR="002B2E4B" w:rsidRPr="00D43E1F" w:rsidRDefault="002B2E4B" w:rsidP="00D43E1F">
      <w:pPr>
        <w:pStyle w:val="Note"/>
        <w:spacing w:before="100"/>
        <w:rPr>
          <w:sz w:val="22"/>
          <w:szCs w:val="18"/>
        </w:rPr>
      </w:pPr>
      <w:r w:rsidRPr="00D43E1F">
        <w:rPr>
          <w:sz w:val="22"/>
          <w:szCs w:val="18"/>
        </w:rPr>
        <w:t>NOTE 1 DU TSB – Aucune justification UIT-T A.5 n'a été soumise pour ces textes déterminés.</w:t>
      </w:r>
    </w:p>
    <w:p w14:paraId="44A4C8D3" w14:textId="77777777" w:rsidR="00D43E1F" w:rsidRDefault="002B2E4B" w:rsidP="00D43E1F">
      <w:pPr>
        <w:pStyle w:val="Note"/>
        <w:spacing w:before="100"/>
        <w:rPr>
          <w:sz w:val="22"/>
          <w:szCs w:val="18"/>
        </w:rPr>
      </w:pPr>
      <w:r w:rsidRPr="00D43E1F">
        <w:rPr>
          <w:sz w:val="22"/>
          <w:szCs w:val="18"/>
        </w:rPr>
        <w:t xml:space="preserve">NOTE 2 DU TSB – À la date de la présente </w:t>
      </w:r>
      <w:r w:rsidR="004C37C7" w:rsidRPr="00D43E1F">
        <w:rPr>
          <w:sz w:val="22"/>
          <w:szCs w:val="18"/>
        </w:rPr>
        <w:t>c</w:t>
      </w:r>
      <w:r w:rsidRPr="00D43E1F">
        <w:rPr>
          <w:sz w:val="22"/>
          <w:szCs w:val="18"/>
        </w:rPr>
        <w:t xml:space="preserve">irculaire, le TSB n'avait reçu aucune déclaration concernant les droits de propriété intellectuelle relative à ces textes déterminés. Pour obtenir des renseignements actualisés, les membres sont invités à consulter la base de données relative aux droits de propriété intellectuelle à l'adresse </w:t>
      </w:r>
      <w:hyperlink r:id="rId11" w:history="1">
        <w:r w:rsidRPr="00D43E1F">
          <w:rPr>
            <w:rStyle w:val="Hyperlink"/>
            <w:sz w:val="22"/>
            <w:szCs w:val="18"/>
          </w:rPr>
          <w:t>www.itu.int/ipr/</w:t>
        </w:r>
      </w:hyperlink>
      <w:r w:rsidRPr="00D43E1F">
        <w:rPr>
          <w:sz w:val="22"/>
          <w:szCs w:val="18"/>
        </w:rPr>
        <w:t>.</w:t>
      </w:r>
    </w:p>
    <w:p w14:paraId="46F2C3C2" w14:textId="2395CB4B" w:rsidR="00307FB4" w:rsidRPr="00D43E1F" w:rsidRDefault="002B2E4B" w:rsidP="00D43E1F">
      <w:pPr>
        <w:pStyle w:val="Note"/>
        <w:spacing w:before="100"/>
        <w:rPr>
          <w:sz w:val="22"/>
          <w:szCs w:val="18"/>
        </w:rPr>
      </w:pPr>
      <w:r w:rsidRPr="00D43E1F">
        <w:rPr>
          <w:bCs/>
          <w:sz w:val="22"/>
          <w:szCs w:val="18"/>
        </w:rPr>
        <w:t>3</w:t>
      </w:r>
      <w:r w:rsidRPr="00D43E1F">
        <w:rPr>
          <w:bCs/>
          <w:sz w:val="22"/>
          <w:szCs w:val="18"/>
        </w:rPr>
        <w:tab/>
        <w:t xml:space="preserve">La présente </w:t>
      </w:r>
      <w:r w:rsidR="004C37C7" w:rsidRPr="00D43E1F">
        <w:rPr>
          <w:bCs/>
          <w:sz w:val="22"/>
          <w:szCs w:val="18"/>
        </w:rPr>
        <w:t>c</w:t>
      </w:r>
      <w:r w:rsidRPr="00D43E1F">
        <w:rPr>
          <w:bCs/>
          <w:sz w:val="22"/>
          <w:szCs w:val="18"/>
        </w:rPr>
        <w:t>irculaire a pour objet d'engager le processus de consultation formelle des États</w:t>
      </w:r>
      <w:r w:rsidR="004C37C7" w:rsidRPr="00D43E1F">
        <w:rPr>
          <w:bCs/>
          <w:sz w:val="22"/>
          <w:szCs w:val="18"/>
        </w:rPr>
        <w:t> </w:t>
      </w:r>
      <w:r w:rsidRPr="00D43E1F">
        <w:rPr>
          <w:bCs/>
          <w:sz w:val="22"/>
          <w:szCs w:val="18"/>
        </w:rPr>
        <w:t>Membres de l'UIT, qui devront indiquer si ces textes peuvent être examinés en vue de leur approbation à la prochaine réunion, conformément au paragraphe 9.4 de la Résolution 1. Les États Membres sont priés de remplir le formulaire de l'</w:t>
      </w:r>
      <w:r w:rsidRPr="00D43E1F">
        <w:rPr>
          <w:b/>
          <w:sz w:val="22"/>
          <w:szCs w:val="18"/>
        </w:rPr>
        <w:t>Annexe 2</w:t>
      </w:r>
      <w:r w:rsidRPr="00D43E1F">
        <w:rPr>
          <w:bCs/>
          <w:sz w:val="22"/>
          <w:szCs w:val="18"/>
        </w:rPr>
        <w:t xml:space="preserve"> et de le renvoyer d'ici au </w:t>
      </w:r>
      <w:r w:rsidRPr="00D43E1F">
        <w:rPr>
          <w:b/>
          <w:sz w:val="22"/>
          <w:szCs w:val="18"/>
        </w:rPr>
        <w:t>21 novembre 2025</w:t>
      </w:r>
      <w:r w:rsidRPr="00D43E1F">
        <w:rPr>
          <w:bCs/>
          <w:sz w:val="22"/>
          <w:szCs w:val="18"/>
        </w:rPr>
        <w:t xml:space="preserve"> à 23 h 59 (UTC).</w:t>
      </w:r>
    </w:p>
    <w:p w14:paraId="5E9A3227" w14:textId="79C80C45" w:rsidR="002B2E4B" w:rsidRPr="00D43E1F" w:rsidRDefault="002B2E4B" w:rsidP="00D43E1F">
      <w:pPr>
        <w:keepNext/>
        <w:keepLines/>
        <w:spacing w:before="100"/>
        <w:rPr>
          <w:bCs/>
          <w:sz w:val="22"/>
          <w:szCs w:val="18"/>
        </w:rPr>
      </w:pPr>
      <w:r w:rsidRPr="00D43E1F">
        <w:rPr>
          <w:bCs/>
          <w:sz w:val="22"/>
          <w:szCs w:val="18"/>
        </w:rPr>
        <w:t>4</w:t>
      </w:r>
      <w:r w:rsidRPr="00D43E1F">
        <w:rPr>
          <w:bCs/>
          <w:sz w:val="22"/>
          <w:szCs w:val="18"/>
        </w:rPr>
        <w:tab/>
        <w:t>Si au moins 70% des réponses des États Membres sont en faveur de l'examen, aux fins d'approbation, de ces textes, une séance plénière sera consacrée à l'application de la procédure d'approbation. Les États Membres qui n'autorisent pas la commission d'études à procéder ainsi doivent informer le Directeur du TSB des motifs de cette décision et lui faire part des éventuels changements à opérer qui permettraient la poursuite des travaux.</w:t>
      </w:r>
    </w:p>
    <w:p w14:paraId="6A4CD67F" w14:textId="0756550D" w:rsidR="00307FB4" w:rsidRPr="00D43E1F" w:rsidRDefault="00307FB4" w:rsidP="00D43E1F">
      <w:pPr>
        <w:spacing w:before="100"/>
        <w:rPr>
          <w:bCs/>
          <w:sz w:val="22"/>
          <w:szCs w:val="18"/>
        </w:rPr>
      </w:pPr>
      <w:r w:rsidRPr="00D43E1F">
        <w:rPr>
          <w:bCs/>
          <w:sz w:val="22"/>
          <w:szCs w:val="18"/>
        </w:rPr>
        <w:t>Veuillez agréer, Madame, Monsieur, l'assurance de ma considération distinguée.</w:t>
      </w:r>
    </w:p>
    <w:p w14:paraId="558FB742" w14:textId="16097DC3" w:rsidR="002937DB" w:rsidRPr="00D43E1F" w:rsidRDefault="0002295E" w:rsidP="00D43E1F">
      <w:pPr>
        <w:spacing w:before="600" w:after="120"/>
        <w:rPr>
          <w:bCs/>
          <w:sz w:val="22"/>
          <w:szCs w:val="18"/>
        </w:rPr>
      </w:pPr>
      <w:r>
        <w:rPr>
          <w:bCs/>
          <w:noProof/>
          <w:sz w:val="22"/>
          <w:szCs w:val="18"/>
        </w:rPr>
        <w:drawing>
          <wp:anchor distT="0" distB="0" distL="114300" distR="114300" simplePos="0" relativeHeight="251658240" behindDoc="1" locked="0" layoutInCell="1" allowOverlap="1" wp14:anchorId="7600682C" wp14:editId="052A5180">
            <wp:simplePos x="0" y="0"/>
            <wp:positionH relativeFrom="margin">
              <wp:align>left</wp:align>
            </wp:positionH>
            <wp:positionV relativeFrom="paragraph">
              <wp:posOffset>41275</wp:posOffset>
            </wp:positionV>
            <wp:extent cx="692186" cy="330217"/>
            <wp:effectExtent l="0" t="0" r="0" b="0"/>
            <wp:wrapNone/>
            <wp:docPr id="214650757"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0757" name="Picture 2" descr="A black text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307FB4" w:rsidRPr="00D43E1F">
        <w:rPr>
          <w:bCs/>
          <w:sz w:val="22"/>
          <w:szCs w:val="18"/>
        </w:rPr>
        <w:t>Seizo Onoe</w:t>
      </w:r>
      <w:r w:rsidR="00B60868" w:rsidRPr="00D43E1F">
        <w:rPr>
          <w:bCs/>
          <w:sz w:val="22"/>
          <w:szCs w:val="18"/>
        </w:rPr>
        <w:br/>
      </w:r>
      <w:r w:rsidR="00307FB4" w:rsidRPr="00D43E1F">
        <w:rPr>
          <w:bCs/>
          <w:sz w:val="22"/>
          <w:szCs w:val="18"/>
        </w:rPr>
        <w:t>Directeur du Bureau de la normalisation</w:t>
      </w:r>
      <w:r w:rsidR="00B60868" w:rsidRPr="00D43E1F">
        <w:rPr>
          <w:bCs/>
          <w:sz w:val="22"/>
          <w:szCs w:val="18"/>
        </w:rPr>
        <w:br/>
      </w:r>
      <w:r w:rsidR="00307FB4" w:rsidRPr="00D43E1F">
        <w:rPr>
          <w:bCs/>
          <w:sz w:val="22"/>
          <w:szCs w:val="18"/>
        </w:rPr>
        <w:t>des télécommunications</w:t>
      </w:r>
    </w:p>
    <w:p w14:paraId="3EEBB799" w14:textId="5851D790" w:rsidR="002B2E4B" w:rsidRPr="00D43E1F" w:rsidRDefault="002B2E4B" w:rsidP="00B60868">
      <w:pPr>
        <w:rPr>
          <w:bCs/>
          <w:sz w:val="22"/>
          <w:szCs w:val="18"/>
        </w:rPr>
      </w:pPr>
      <w:proofErr w:type="gramStart"/>
      <w:r w:rsidRPr="00D43E1F">
        <w:rPr>
          <w:b/>
          <w:sz w:val="22"/>
          <w:szCs w:val="18"/>
        </w:rPr>
        <w:t>Annexes</w:t>
      </w:r>
      <w:r w:rsidRPr="00D43E1F">
        <w:rPr>
          <w:bCs/>
          <w:sz w:val="22"/>
          <w:szCs w:val="18"/>
        </w:rPr>
        <w:t>:</w:t>
      </w:r>
      <w:proofErr w:type="gramEnd"/>
      <w:r w:rsidRPr="00D43E1F">
        <w:rPr>
          <w:bCs/>
          <w:sz w:val="22"/>
          <w:szCs w:val="18"/>
        </w:rPr>
        <w:tab/>
        <w:t>2</w:t>
      </w:r>
    </w:p>
    <w:p w14:paraId="36A0B4E6" w14:textId="21676259" w:rsidR="0056466D" w:rsidRPr="007134B5" w:rsidRDefault="0056466D" w:rsidP="0056466D">
      <w:pPr>
        <w:pStyle w:val="AnnexTitle"/>
      </w:pPr>
      <w:r w:rsidRPr="00D43E1F">
        <w:rPr>
          <w:sz w:val="28"/>
          <w:szCs w:val="22"/>
        </w:rPr>
        <w:lastRenderedPageBreak/>
        <w:t>Annexe 1</w:t>
      </w:r>
      <w:r w:rsidRPr="007134B5">
        <w:br/>
        <w:t>Résumé et emplacement du texte déterminé des projets de nouvelles Recommandations</w:t>
      </w:r>
      <w:r w:rsidRPr="007134B5">
        <w:br/>
        <w:t xml:space="preserve">UIT-T X.1062 (anciennement </w:t>
      </w:r>
      <w:proofErr w:type="spellStart"/>
      <w:proofErr w:type="gramStart"/>
      <w:r w:rsidRPr="007134B5">
        <w:t>X.shcd</w:t>
      </w:r>
      <w:proofErr w:type="spellEnd"/>
      <w:proofErr w:type="gramEnd"/>
      <w:r w:rsidRPr="007134B5">
        <w:t xml:space="preserve">), X.1238 (anciennement </w:t>
      </w:r>
      <w:proofErr w:type="spellStart"/>
      <w:r w:rsidRPr="007134B5">
        <w:t>X.sgc-rcs</w:t>
      </w:r>
      <w:proofErr w:type="spellEnd"/>
      <w:r w:rsidRPr="007134B5">
        <w:t>), X.1128</w:t>
      </w:r>
      <w:r w:rsidRPr="007134B5">
        <w:br/>
        <w:t>(anciennement X.mt-</w:t>
      </w:r>
      <w:proofErr w:type="spellStart"/>
      <w:r w:rsidRPr="007134B5">
        <w:t>feature</w:t>
      </w:r>
      <w:proofErr w:type="spellEnd"/>
      <w:r w:rsidRPr="007134B5">
        <w:t>), X.1129 (anciennement X.mt-</w:t>
      </w:r>
      <w:proofErr w:type="spellStart"/>
      <w:r w:rsidRPr="007134B5">
        <w:t>integrity</w:t>
      </w:r>
      <w:proofErr w:type="spellEnd"/>
      <w:r w:rsidRPr="007134B5">
        <w:t>), X.1130</w:t>
      </w:r>
      <w:r w:rsidRPr="007134B5">
        <w:br/>
        <w:t>(anciennement X.tg-</w:t>
      </w:r>
      <w:proofErr w:type="spellStart"/>
      <w:r w:rsidRPr="007134B5">
        <w:t>fdma</w:t>
      </w:r>
      <w:proofErr w:type="spellEnd"/>
      <w:r w:rsidRPr="007134B5">
        <w:t xml:space="preserve">), X.1457 (anciennement </w:t>
      </w:r>
      <w:proofErr w:type="spellStart"/>
      <w:r w:rsidRPr="007134B5">
        <w:t>X.str-irs</w:t>
      </w:r>
      <w:proofErr w:type="spellEnd"/>
      <w:r w:rsidRPr="007134B5">
        <w:t>), X.1753</w:t>
      </w:r>
      <w:r w:rsidRPr="007134B5">
        <w:br/>
        <w:t xml:space="preserve">(anciennement </w:t>
      </w:r>
      <w:proofErr w:type="spellStart"/>
      <w:proofErr w:type="gramStart"/>
      <w:r w:rsidRPr="007134B5">
        <w:t>X.gdsml</w:t>
      </w:r>
      <w:proofErr w:type="spellEnd"/>
      <w:proofErr w:type="gramEnd"/>
      <w:r w:rsidRPr="007134B5">
        <w:t xml:space="preserve">) et X.1649 (anciennement </w:t>
      </w:r>
      <w:proofErr w:type="spellStart"/>
      <w:proofErr w:type="gramStart"/>
      <w:r w:rsidRPr="007134B5">
        <w:t>X.sgmc</w:t>
      </w:r>
      <w:proofErr w:type="spellEnd"/>
      <w:proofErr w:type="gramEnd"/>
      <w:r w:rsidRPr="007134B5">
        <w:t>), et</w:t>
      </w:r>
      <w:r w:rsidRPr="007134B5">
        <w:br/>
        <w:t>des Recommandations révisées UIT-T X.1250 et X.1631</w:t>
      </w:r>
    </w:p>
    <w:p w14:paraId="4E48BD69" w14:textId="51178792" w:rsidR="0056466D" w:rsidRPr="007134B5" w:rsidRDefault="0056466D" w:rsidP="0056466D">
      <w:pPr>
        <w:pStyle w:val="Heading1"/>
      </w:pPr>
      <w:r w:rsidRPr="007134B5">
        <w:t>1</w:t>
      </w:r>
      <w:r w:rsidRPr="007134B5">
        <w:tab/>
        <w:t xml:space="preserve">Projet de nouvelle Recommandation UIT-T X.1062 (anciennement </w:t>
      </w:r>
      <w:proofErr w:type="spellStart"/>
      <w:proofErr w:type="gramStart"/>
      <w:r w:rsidRPr="007134B5">
        <w:t>X.shcd</w:t>
      </w:r>
      <w:proofErr w:type="spellEnd"/>
      <w:proofErr w:type="gramEnd"/>
      <w:r w:rsidRPr="007134B5">
        <w:t>) [</w:t>
      </w:r>
      <w:hyperlink r:id="rId13" w:history="1">
        <w:r w:rsidRPr="007134B5">
          <w:rPr>
            <w:rStyle w:val="Hyperlink"/>
          </w:rPr>
          <w:t>SG17-R6</w:t>
        </w:r>
      </w:hyperlink>
      <w:r w:rsidRPr="007134B5">
        <w:t>]</w:t>
      </w:r>
    </w:p>
    <w:p w14:paraId="57974786" w14:textId="77777777" w:rsidR="0056466D" w:rsidRPr="007134B5" w:rsidRDefault="0056466D" w:rsidP="0056466D">
      <w:pPr>
        <w:rPr>
          <w:bCs/>
        </w:rPr>
      </w:pPr>
      <w:r w:rsidRPr="007134B5">
        <w:rPr>
          <w:bCs/>
        </w:rPr>
        <w:t>Cadre relatif au renforcement des capacités humaines en matière de sécurité</w:t>
      </w:r>
    </w:p>
    <w:p w14:paraId="619FCC79" w14:textId="77777777" w:rsidR="0056466D" w:rsidRPr="007134B5" w:rsidRDefault="0056466D" w:rsidP="0056466D">
      <w:pPr>
        <w:pStyle w:val="headingb"/>
      </w:pPr>
      <w:r w:rsidRPr="007134B5">
        <w:t>Résumé</w:t>
      </w:r>
    </w:p>
    <w:p w14:paraId="4A743445" w14:textId="77777777" w:rsidR="0056466D" w:rsidRPr="007134B5" w:rsidRDefault="0056466D" w:rsidP="0056466D">
      <w:pPr>
        <w:rPr>
          <w:bCs/>
        </w:rPr>
      </w:pPr>
      <w:r w:rsidRPr="007134B5">
        <w:rPr>
          <w:bCs/>
        </w:rPr>
        <w:t>La cybersécurité est un domaine vaste et en constante évolution, qui exige un apprentissage et un développement des compétences permanents. Cette Recommandation établit un cadre relatif au renforcement des capacités humaines en matière de sécurité, lequel vise à fournir des orientations pour la formation des spécialistes et des professionnels de la sécurité par le renforcement de leurs compétences et la reconnaissance de leurs aptitudes et connaissances en matière de sécurité au sein de leur organisation.</w:t>
      </w:r>
    </w:p>
    <w:p w14:paraId="67060DA3" w14:textId="6875AF88" w:rsidR="0056466D" w:rsidRPr="007134B5" w:rsidRDefault="0056466D" w:rsidP="0056466D">
      <w:pPr>
        <w:pStyle w:val="Heading1"/>
      </w:pPr>
      <w:r w:rsidRPr="007134B5">
        <w:t>2</w:t>
      </w:r>
      <w:r w:rsidRPr="007134B5">
        <w:tab/>
        <w:t xml:space="preserve">Projet de nouvelle Recommandation UIT-T X.1238 (anciennement </w:t>
      </w:r>
      <w:proofErr w:type="spellStart"/>
      <w:r w:rsidRPr="007134B5">
        <w:t>X.sgc-rcs</w:t>
      </w:r>
      <w:proofErr w:type="spellEnd"/>
      <w:r w:rsidRPr="007134B5">
        <w:t>) [</w:t>
      </w:r>
      <w:hyperlink r:id="rId14" w:history="1">
        <w:r w:rsidR="00246E06" w:rsidRPr="007134B5">
          <w:rPr>
            <w:rStyle w:val="Hyperlink"/>
          </w:rPr>
          <w:t>SG</w:t>
        </w:r>
        <w:r w:rsidRPr="007134B5">
          <w:rPr>
            <w:rStyle w:val="Hyperlink"/>
          </w:rPr>
          <w:t>17-R7</w:t>
        </w:r>
      </w:hyperlink>
      <w:r w:rsidRPr="007134B5">
        <w:t>]</w:t>
      </w:r>
    </w:p>
    <w:p w14:paraId="6E46067F" w14:textId="77777777" w:rsidR="0056466D" w:rsidRPr="007134B5" w:rsidRDefault="0056466D" w:rsidP="0056466D">
      <w:pPr>
        <w:rPr>
          <w:bCs/>
        </w:rPr>
      </w:pPr>
      <w:r w:rsidRPr="007134B5">
        <w:rPr>
          <w:bCs/>
        </w:rPr>
        <w:t>Lignes directrices relatives à la lutte contre les spams envoyés sur les messageries des services de communication enrichis (RCS)</w:t>
      </w:r>
    </w:p>
    <w:p w14:paraId="0F741FA4" w14:textId="77777777" w:rsidR="0056466D" w:rsidRPr="007134B5" w:rsidRDefault="0056466D" w:rsidP="0056466D">
      <w:pPr>
        <w:pStyle w:val="headingb"/>
      </w:pPr>
      <w:r w:rsidRPr="007134B5">
        <w:t>Résumé</w:t>
      </w:r>
    </w:p>
    <w:p w14:paraId="74EE8076" w14:textId="69052C2B" w:rsidR="0056466D" w:rsidRPr="007134B5" w:rsidRDefault="0056466D" w:rsidP="0056466D">
      <w:pPr>
        <w:rPr>
          <w:bCs/>
        </w:rPr>
      </w:pPr>
      <w:r w:rsidRPr="007134B5">
        <w:rPr>
          <w:bCs/>
        </w:rPr>
        <w:t>Cette Recommandation contient des spécifications relatives à des orientations et à des catalyseurs techniques permettant aux fournisseurs de services de communication enrichis (RCS) d</w:t>
      </w:r>
      <w:r w:rsidR="00D47B00" w:rsidRPr="007134B5">
        <w:rPr>
          <w:bCs/>
        </w:rPr>
        <w:t>'</w:t>
      </w:r>
      <w:r w:rsidRPr="007134B5">
        <w:rPr>
          <w:bCs/>
        </w:rPr>
        <w:t>empêcher la diffusion de spams sur la base des spécificités des services RCS, et vise à définir le mécanisme de prévention et de gestion des spams pris en charge par le client des services RCS.</w:t>
      </w:r>
    </w:p>
    <w:p w14:paraId="7CC31D4F" w14:textId="6CBF3E25" w:rsidR="0056466D" w:rsidRPr="007134B5" w:rsidRDefault="0056466D" w:rsidP="0056466D">
      <w:pPr>
        <w:rPr>
          <w:bCs/>
        </w:rPr>
      </w:pPr>
      <w:r w:rsidRPr="007134B5">
        <w:rPr>
          <w:bCs/>
        </w:rPr>
        <w:t>Elle reprend l</w:t>
      </w:r>
      <w:r w:rsidR="00D47B00" w:rsidRPr="007134B5">
        <w:rPr>
          <w:bCs/>
        </w:rPr>
        <w:t>'</w:t>
      </w:r>
      <w:r w:rsidRPr="007134B5">
        <w:rPr>
          <w:bCs/>
        </w:rPr>
        <w:t>architecture des services RCS définie dans la norme de l'Association GSM (GSMA)</w:t>
      </w:r>
      <w:r w:rsidR="00716AF6" w:rsidRPr="007134B5">
        <w:rPr>
          <w:bCs/>
        </w:rPr>
        <w:t> </w:t>
      </w:r>
      <w:r w:rsidRPr="007134B5">
        <w:rPr>
          <w:bCs/>
        </w:rPr>
        <w:t>[b</w:t>
      </w:r>
      <w:r w:rsidR="00716AF6" w:rsidRPr="007134B5">
        <w:rPr>
          <w:bCs/>
        </w:rPr>
        <w:noBreakHyphen/>
      </w:r>
      <w:r w:rsidRPr="007134B5">
        <w:rPr>
          <w:bCs/>
        </w:rPr>
        <w:t>GSMA RCC.07] et porte essentiellement sur les solutions d'atténuation des risques liés aux spams dans la messagerie RCS.</w:t>
      </w:r>
    </w:p>
    <w:p w14:paraId="64485602" w14:textId="4F976204" w:rsidR="0056466D" w:rsidRPr="007134B5" w:rsidRDefault="0056466D" w:rsidP="00716AF6">
      <w:pPr>
        <w:pStyle w:val="Heading1"/>
      </w:pPr>
      <w:r w:rsidRPr="007134B5">
        <w:t>3</w:t>
      </w:r>
      <w:r w:rsidRPr="007134B5">
        <w:tab/>
        <w:t>Projet de nouvelle Recommandation UIT-T X.1128 (anciennement X.mt-</w:t>
      </w:r>
      <w:proofErr w:type="spellStart"/>
      <w:r w:rsidRPr="007134B5">
        <w:t>feature</w:t>
      </w:r>
      <w:proofErr w:type="spellEnd"/>
      <w:r w:rsidRPr="007134B5">
        <w:t>) [</w:t>
      </w:r>
      <w:hyperlink r:id="rId15" w:history="1">
        <w:r w:rsidR="00246E06" w:rsidRPr="007134B5">
          <w:rPr>
            <w:rStyle w:val="Hyperlink"/>
          </w:rPr>
          <w:t>SG</w:t>
        </w:r>
        <w:r w:rsidRPr="007134B5">
          <w:rPr>
            <w:rStyle w:val="Hyperlink"/>
          </w:rPr>
          <w:t>17</w:t>
        </w:r>
        <w:r w:rsidR="00716AF6" w:rsidRPr="007134B5">
          <w:rPr>
            <w:rStyle w:val="Hyperlink"/>
          </w:rPr>
          <w:noBreakHyphen/>
        </w:r>
        <w:r w:rsidRPr="007134B5">
          <w:rPr>
            <w:rStyle w:val="Hyperlink"/>
          </w:rPr>
          <w:t>R8</w:t>
        </w:r>
      </w:hyperlink>
      <w:r w:rsidRPr="007134B5">
        <w:t>]</w:t>
      </w:r>
    </w:p>
    <w:p w14:paraId="461883BC" w14:textId="77777777" w:rsidR="0056466D" w:rsidRPr="007134B5" w:rsidRDefault="0056466D" w:rsidP="0056466D">
      <w:pPr>
        <w:rPr>
          <w:bCs/>
        </w:rPr>
      </w:pPr>
      <w:r w:rsidRPr="007134B5">
        <w:rPr>
          <w:bCs/>
        </w:rPr>
        <w:t>Fonctionnalités de sécurité utilisées pour l'évaluation de la sécurité des terminaux mobiles</w:t>
      </w:r>
    </w:p>
    <w:p w14:paraId="3582AA8D" w14:textId="77777777" w:rsidR="0056466D" w:rsidRPr="007134B5" w:rsidRDefault="0056466D" w:rsidP="00716AF6">
      <w:pPr>
        <w:pStyle w:val="headingb"/>
      </w:pPr>
      <w:r w:rsidRPr="007134B5">
        <w:t>Résumé</w:t>
      </w:r>
    </w:p>
    <w:p w14:paraId="70D5A23C" w14:textId="287140A8" w:rsidR="0056466D" w:rsidRPr="007134B5" w:rsidRDefault="0056466D" w:rsidP="0056466D">
      <w:pPr>
        <w:rPr>
          <w:bCs/>
        </w:rPr>
      </w:pPr>
      <w:r w:rsidRPr="007134B5">
        <w:rPr>
          <w:bCs/>
        </w:rPr>
        <w:t>Les terminaux mobiles, en particulier les téléphones intelligents, changent la manière de travailler et le mode de vie des personnes. Par exemple, les paiements par mobile sont en plein essor, car les consommateurs utilisent leur terminal mobile dans le cadre de leur mode de vie moderne et dynamique. En outre, de plus en plus d'entreprises autorisent leurs employés à accéder à leurs services à l'aide de terminaux mobiles personnels. Cependant, la sécurité des terminaux mobiles représente, en l'état, un défi de taille pour les services d'applications mobiles. En effet, les utilisateurs peuvent, à leur insu, mettre leur terminal à la merci de logiciels malveillants et ainsi risquer de se faire voler des données sensibles.</w:t>
      </w:r>
    </w:p>
    <w:p w14:paraId="4EBDCEC8" w14:textId="77777777" w:rsidR="0056466D" w:rsidRPr="007134B5" w:rsidRDefault="0056466D" w:rsidP="0056466D">
      <w:pPr>
        <w:rPr>
          <w:bCs/>
        </w:rPr>
      </w:pPr>
      <w:r w:rsidRPr="007134B5">
        <w:rPr>
          <w:bCs/>
        </w:rPr>
        <w:t>Cette Recommandation décrit des fonctionnalités de sécurité utilisées pour évaluer la sécurité des terminaux mobiles et contient des informations sur la manière dont les parties prenantes concernées pourraient utiliser lesdites fonctionnalités de sécurité.</w:t>
      </w:r>
    </w:p>
    <w:p w14:paraId="62B2B994" w14:textId="791BC67D" w:rsidR="0056466D" w:rsidRPr="007134B5" w:rsidRDefault="0056466D" w:rsidP="00716AF6">
      <w:pPr>
        <w:pStyle w:val="Heading1"/>
      </w:pPr>
      <w:r w:rsidRPr="007134B5">
        <w:lastRenderedPageBreak/>
        <w:t>4</w:t>
      </w:r>
      <w:r w:rsidRPr="007134B5">
        <w:tab/>
        <w:t>Projet de nouvelle Recommandation UIT-T X.1129 (anciennement X.mt-</w:t>
      </w:r>
      <w:proofErr w:type="spellStart"/>
      <w:r w:rsidRPr="007134B5">
        <w:t>integrity</w:t>
      </w:r>
      <w:proofErr w:type="spellEnd"/>
      <w:r w:rsidRPr="007134B5">
        <w:t>) [</w:t>
      </w:r>
      <w:hyperlink r:id="rId16" w:history="1">
        <w:r w:rsidR="00246E06" w:rsidRPr="007134B5">
          <w:rPr>
            <w:rStyle w:val="Hyperlink"/>
          </w:rPr>
          <w:t>SG</w:t>
        </w:r>
        <w:r w:rsidRPr="007134B5">
          <w:rPr>
            <w:rStyle w:val="Hyperlink"/>
          </w:rPr>
          <w:t>17</w:t>
        </w:r>
        <w:r w:rsidR="00716AF6" w:rsidRPr="007134B5">
          <w:rPr>
            <w:rStyle w:val="Hyperlink"/>
          </w:rPr>
          <w:noBreakHyphen/>
        </w:r>
        <w:r w:rsidRPr="007134B5">
          <w:rPr>
            <w:rStyle w:val="Hyperlink"/>
          </w:rPr>
          <w:t>R9</w:t>
        </w:r>
      </w:hyperlink>
      <w:r w:rsidRPr="007134B5">
        <w:t>]</w:t>
      </w:r>
    </w:p>
    <w:p w14:paraId="7D864452" w14:textId="77777777" w:rsidR="0056466D" w:rsidRPr="007134B5" w:rsidRDefault="0056466D" w:rsidP="0056466D">
      <w:pPr>
        <w:rPr>
          <w:bCs/>
        </w:rPr>
      </w:pPr>
      <w:r w:rsidRPr="007134B5">
        <w:rPr>
          <w:bCs/>
        </w:rPr>
        <w:t>Lignes directrices de sécurité visant à assurer l'intégrité des terminaux mobiles</w:t>
      </w:r>
    </w:p>
    <w:p w14:paraId="22F7EAA9" w14:textId="77777777" w:rsidR="0056466D" w:rsidRPr="007134B5" w:rsidRDefault="0056466D" w:rsidP="00716AF6">
      <w:pPr>
        <w:pStyle w:val="headingb"/>
      </w:pPr>
      <w:r w:rsidRPr="007134B5">
        <w:t>Résumé</w:t>
      </w:r>
    </w:p>
    <w:p w14:paraId="1BF22C64" w14:textId="0252C814" w:rsidR="0056466D" w:rsidRPr="007134B5" w:rsidRDefault="0056466D" w:rsidP="0056466D">
      <w:pPr>
        <w:rPr>
          <w:bCs/>
        </w:rPr>
      </w:pPr>
      <w:r w:rsidRPr="007134B5">
        <w:rPr>
          <w:bCs/>
        </w:rPr>
        <w:t>L'objectif d'assurer l'intégrité des terminaux mobiles consiste à garantir qu'un terminal mobile se comporte comme prévu. Cela signifie que le matériel, le micrologiciel et les logiciels (par exemple, le système d'exploitation ou les applications préinstallées) du terminal mobile n'ont été compromis d'aucune façon ni par aucun moyen. Si l'auteur d</w:t>
      </w:r>
      <w:r w:rsidR="00D47B00" w:rsidRPr="007134B5">
        <w:rPr>
          <w:bCs/>
        </w:rPr>
        <w:t>'</w:t>
      </w:r>
      <w:r w:rsidRPr="007134B5">
        <w:rPr>
          <w:bCs/>
        </w:rPr>
        <w:t>une attaque compromet le logiciel ou le micrologiciel, modifie la configuration du matériel (par exemple, la mémoire morte ou les cellules de rétention) ou modifie ce dernier (par exemple, la mémoire flash), il peut contrôler ou entraver la fonctionnalité du terminal mobile.</w:t>
      </w:r>
    </w:p>
    <w:p w14:paraId="349DA762" w14:textId="4E6C5498" w:rsidR="0056466D" w:rsidRPr="007134B5" w:rsidRDefault="0056466D" w:rsidP="0056466D">
      <w:pPr>
        <w:rPr>
          <w:bCs/>
        </w:rPr>
      </w:pPr>
      <w:r w:rsidRPr="007134B5">
        <w:rPr>
          <w:bCs/>
        </w:rPr>
        <w:t>Lorsqu'un terminal mobile est mis sous tension, il commence par une phase de démarrage afin de vérifier les composants matériels et de charger un ou plusieurs modules logiciels. Ensuite, le terminal mobile entre dans une phase d'exécution et atteint un état opérationnel dans lequel il est prêt pour l'utilisation prévue. Afin de corriger les vulnérabilités et les faiblesses des micrologiciels/logiciels, le terminal mobile doit être mis à jour de temps en temps. C'est ce qu'on appelle la phase de mise à jour du micrologiciel/logiciel. Chacune de ces phases est l'occasion pour l</w:t>
      </w:r>
      <w:r w:rsidR="00D47B00" w:rsidRPr="007134B5">
        <w:rPr>
          <w:bCs/>
        </w:rPr>
        <w:t>'</w:t>
      </w:r>
      <w:r w:rsidRPr="007134B5">
        <w:rPr>
          <w:bCs/>
        </w:rPr>
        <w:t>auteur d</w:t>
      </w:r>
      <w:r w:rsidR="00D47B00" w:rsidRPr="007134B5">
        <w:rPr>
          <w:bCs/>
        </w:rPr>
        <w:t>'</w:t>
      </w:r>
      <w:r w:rsidRPr="007134B5">
        <w:rPr>
          <w:bCs/>
        </w:rPr>
        <w:t>une attaque de faire peser des menaces sur la sécurité de l'intégrité du terminal mobile.</w:t>
      </w:r>
    </w:p>
    <w:p w14:paraId="1F2B3724" w14:textId="77777777" w:rsidR="0056466D" w:rsidRPr="007134B5" w:rsidRDefault="0056466D" w:rsidP="0056466D">
      <w:pPr>
        <w:rPr>
          <w:bCs/>
        </w:rPr>
      </w:pPr>
      <w:r w:rsidRPr="007134B5">
        <w:rPr>
          <w:bCs/>
        </w:rPr>
        <w:t>Cette Recommandation analyse les menaces pour la sécurité pesant sur les terminaux mobiles pendant la phase de démarrage, la phase d'exécution et la phase de mise à jour du micrologiciel/logiciel. Elle définit les exigences et donne des lignes directrices en matière de sécurité pour assurer l'intégrité des terminaux mobiles.</w:t>
      </w:r>
    </w:p>
    <w:p w14:paraId="57EF2011" w14:textId="2B1CC160" w:rsidR="0056466D" w:rsidRPr="007134B5" w:rsidRDefault="0056466D" w:rsidP="00716AF6">
      <w:pPr>
        <w:pStyle w:val="Heading1"/>
      </w:pPr>
      <w:r w:rsidRPr="007134B5">
        <w:t>5</w:t>
      </w:r>
      <w:r w:rsidRPr="007134B5">
        <w:tab/>
        <w:t>Projet de nouvelle Recommandation UIT-T X.1130 (anciennement X.tg-</w:t>
      </w:r>
      <w:proofErr w:type="spellStart"/>
      <w:r w:rsidRPr="007134B5">
        <w:t>fdma</w:t>
      </w:r>
      <w:proofErr w:type="spellEnd"/>
      <w:r w:rsidRPr="007134B5">
        <w:t>) [</w:t>
      </w:r>
      <w:hyperlink r:id="rId17" w:history="1">
        <w:r w:rsidR="00246E06" w:rsidRPr="007134B5">
          <w:rPr>
            <w:rStyle w:val="Hyperlink"/>
          </w:rPr>
          <w:t>SG</w:t>
        </w:r>
        <w:r w:rsidRPr="007134B5">
          <w:rPr>
            <w:rStyle w:val="Hyperlink"/>
          </w:rPr>
          <w:t>17-R10</w:t>
        </w:r>
      </w:hyperlink>
      <w:r w:rsidRPr="007134B5">
        <w:t>]</w:t>
      </w:r>
    </w:p>
    <w:p w14:paraId="0BAE0AAA" w14:textId="77777777" w:rsidR="0056466D" w:rsidRPr="007134B5" w:rsidRDefault="0056466D" w:rsidP="0056466D">
      <w:pPr>
        <w:rPr>
          <w:bCs/>
        </w:rPr>
      </w:pPr>
      <w:r w:rsidRPr="007134B5">
        <w:rPr>
          <w:bCs/>
        </w:rPr>
        <w:t>Lignes directrices techniques pour la détection des activités malveillantes commises à travers des applications installées sur les dispositifs mobiles</w:t>
      </w:r>
    </w:p>
    <w:p w14:paraId="2EDBD11C" w14:textId="77777777" w:rsidR="0056466D" w:rsidRPr="007134B5" w:rsidRDefault="0056466D" w:rsidP="00716AF6">
      <w:pPr>
        <w:pStyle w:val="headingb"/>
      </w:pPr>
      <w:r w:rsidRPr="007134B5">
        <w:t>Résumé</w:t>
      </w:r>
    </w:p>
    <w:p w14:paraId="41F1DF3C" w14:textId="5970CA9B" w:rsidR="0056466D" w:rsidRPr="007134B5" w:rsidRDefault="0056466D" w:rsidP="0056466D">
      <w:pPr>
        <w:rPr>
          <w:bCs/>
        </w:rPr>
      </w:pPr>
      <w:r w:rsidRPr="007134B5">
        <w:rPr>
          <w:bCs/>
        </w:rPr>
        <w:t>En raison de l'utilisation généralisée des dispositifs et des applications mobiles, ces dernières sont devenues un vecteur important des activités malveillantes. Les applications malveillantes peuvent, par</w:t>
      </w:r>
      <w:r w:rsidR="008E2974">
        <w:rPr>
          <w:bCs/>
        </w:rPr>
        <w:t> </w:t>
      </w:r>
      <w:r w:rsidRPr="007134B5">
        <w:rPr>
          <w:bCs/>
        </w:rPr>
        <w:t>exemple, prendre l'apparence d'applications de crédit ou d'achat authentiques dans le but de tromper les utilisateurs. Afin de détecter et d'empêcher ces activités malveillantes, on se fie généralement aux avis laissés dans les boutiques d'applications et aux alertes émises par les logiciels de sécurité installés sur les dispositifs mobiles. Cependant, cette solution se heurte à plusieurs obstacles. Bien que les avis susmentionnés puissent aider à bloquer les applications malveillantes, les fraudeurs mettent au point continuellement de nouvelles techniques pour échapper à la détection et contourner ces avis. En outre, certaines applications malveillantes sont distribuées via des plates-formes tierces où les utilisateurs sont encouragés à les télécharger et à les installer. Les logiciels de sécurité mobile se concentrant principalement sur la détection des virus et des vulnérabilités des applications, il est difficile d'identifier efficacement les applications malveillantes conçues précisément pour mener des activités malveillantes.</w:t>
      </w:r>
    </w:p>
    <w:p w14:paraId="770DE63F" w14:textId="7BF28F3B" w:rsidR="0056466D" w:rsidRPr="007134B5" w:rsidRDefault="0056466D" w:rsidP="0056466D">
      <w:pPr>
        <w:rPr>
          <w:bCs/>
        </w:rPr>
      </w:pPr>
      <w:r w:rsidRPr="007134B5">
        <w:rPr>
          <w:bCs/>
        </w:rPr>
        <w:t>Les applications mobiles malveillantes agissent généralement pendant quatre étapes, à savoir le téléchargement, l'installation, l'exécution et l'incitation au paiement. Chaque étape présente des risques distincts.</w:t>
      </w:r>
    </w:p>
    <w:p w14:paraId="6B46FCD7" w14:textId="236DBD4D" w:rsidR="0056466D" w:rsidRPr="007134B5" w:rsidRDefault="0056466D" w:rsidP="0056466D">
      <w:pPr>
        <w:rPr>
          <w:bCs/>
        </w:rPr>
      </w:pPr>
      <w:r w:rsidRPr="007134B5">
        <w:rPr>
          <w:bCs/>
        </w:rPr>
        <w:t>Lors du téléchargement et de l'installation, les applications malveillantes prennent souvent l'apparence d'applications authentiques afin d'éviter d'être détectées par les logiciels de sécurité. Elles pourront également implanter des chevaux de Troie sur le dispositif mobile à ce stade.</w:t>
      </w:r>
    </w:p>
    <w:p w14:paraId="1D5EAAFC" w14:textId="77777777" w:rsidR="0056466D" w:rsidRPr="007134B5" w:rsidRDefault="0056466D" w:rsidP="0056466D">
      <w:pPr>
        <w:rPr>
          <w:bCs/>
        </w:rPr>
      </w:pPr>
      <w:r w:rsidRPr="007134B5">
        <w:rPr>
          <w:bCs/>
        </w:rPr>
        <w:lastRenderedPageBreak/>
        <w:t>Au moment de leur exécution, ces applications pourront voler des informations relatives à l'utilisateur à l'aide des chevaux de Troie implantés, ou tromper les utilisateurs en se faisant passer pour des applications authentiques de sorte que ceux-ci communiquent de leur plein gré des données sensibles.</w:t>
      </w:r>
    </w:p>
    <w:p w14:paraId="53D24828" w14:textId="77777777" w:rsidR="0056466D" w:rsidRPr="007134B5" w:rsidRDefault="0056466D" w:rsidP="0056466D">
      <w:pPr>
        <w:rPr>
          <w:bCs/>
        </w:rPr>
      </w:pPr>
      <w:r w:rsidRPr="007134B5">
        <w:rPr>
          <w:bCs/>
        </w:rPr>
        <w:t>Lors de l'étape de l'incitation au paiement, les applications malveillantes instaurent généralement un climat de confiance en offrant de petites récompenses ou de petits gains par divers procédés. Une fois le lien de confiance avec les utilisateurs établi, elles les incitent à transférer de l'argent. Dans certains cas, la tromperie est directe, par exemple lorsqu'une application se fait passer pour une application d'achat authentique afin d'abuser des utilisateurs peu méfiants.</w:t>
      </w:r>
    </w:p>
    <w:p w14:paraId="452712BA" w14:textId="77777777" w:rsidR="0056466D" w:rsidRPr="007134B5" w:rsidRDefault="0056466D" w:rsidP="0056466D">
      <w:pPr>
        <w:rPr>
          <w:bCs/>
        </w:rPr>
      </w:pPr>
      <w:r w:rsidRPr="007134B5">
        <w:rPr>
          <w:bCs/>
        </w:rPr>
        <w:t>Le processus de détection et de prévention des activités malveillantes dans son ensemble est particulièrement complexe et nécessite une coordination étroite entre les dispositifs mobiles et les applications. Cette Recommandation vise à analyser les caractéristiques des applications malveillantes et les risques qu'elles présentent à différentes étapes, notamment lors du téléchargement, de l'installation, de l'exécution et de l'incitation au paiement, et à proposer une solution technique complète permettant de détecter et d'empêcher les activités malveillantes, sur la base des interactions entre les dispositifs et les applications mobiles.</w:t>
      </w:r>
    </w:p>
    <w:p w14:paraId="07064E81" w14:textId="2C496FA6" w:rsidR="0056466D" w:rsidRPr="007134B5" w:rsidRDefault="0056466D" w:rsidP="00716AF6">
      <w:pPr>
        <w:pStyle w:val="Heading1"/>
      </w:pPr>
      <w:r w:rsidRPr="007134B5">
        <w:t>6</w:t>
      </w:r>
      <w:r w:rsidRPr="007134B5">
        <w:tab/>
        <w:t xml:space="preserve">Projet de nouvelle Recommandation UIT-T X.1457 (anciennement </w:t>
      </w:r>
      <w:proofErr w:type="spellStart"/>
      <w:r w:rsidRPr="007134B5">
        <w:t>X.str-irs</w:t>
      </w:r>
      <w:proofErr w:type="spellEnd"/>
      <w:r w:rsidRPr="007134B5">
        <w:t>) [</w:t>
      </w:r>
      <w:hyperlink r:id="rId18" w:history="1">
        <w:r w:rsidR="00246E06" w:rsidRPr="007134B5">
          <w:rPr>
            <w:rStyle w:val="Hyperlink"/>
          </w:rPr>
          <w:t>SG</w:t>
        </w:r>
        <w:r w:rsidRPr="007134B5">
          <w:rPr>
            <w:rStyle w:val="Hyperlink"/>
          </w:rPr>
          <w:t>17-R11</w:t>
        </w:r>
      </w:hyperlink>
      <w:r w:rsidRPr="007134B5">
        <w:t>]</w:t>
      </w:r>
    </w:p>
    <w:p w14:paraId="17FE51AE" w14:textId="77777777" w:rsidR="0056466D" w:rsidRPr="007134B5" w:rsidRDefault="0056466D" w:rsidP="0056466D">
      <w:pPr>
        <w:rPr>
          <w:bCs/>
        </w:rPr>
      </w:pPr>
      <w:r w:rsidRPr="007134B5">
        <w:rPr>
          <w:bCs/>
        </w:rPr>
        <w:t>Menaces et exigences en matière de sécurité relatives aux services de recommandation d'informations</w:t>
      </w:r>
    </w:p>
    <w:p w14:paraId="12903723" w14:textId="77777777" w:rsidR="0056466D" w:rsidRPr="007134B5" w:rsidRDefault="0056466D" w:rsidP="00716AF6">
      <w:pPr>
        <w:pStyle w:val="headingb"/>
      </w:pPr>
      <w:r w:rsidRPr="007134B5">
        <w:t>Résumé</w:t>
      </w:r>
    </w:p>
    <w:p w14:paraId="419FF2A9" w14:textId="3ECD1C75" w:rsidR="0056466D" w:rsidRPr="007134B5" w:rsidRDefault="0056466D" w:rsidP="0056466D">
      <w:pPr>
        <w:rPr>
          <w:bCs/>
        </w:rPr>
      </w:pPr>
      <w:r w:rsidRPr="007134B5">
        <w:rPr>
          <w:bCs/>
        </w:rPr>
        <w:t>Les services de recommandation d'informations sont largement employés dans différents sites</w:t>
      </w:r>
      <w:r w:rsidR="00545FB3">
        <w:rPr>
          <w:bCs/>
        </w:rPr>
        <w:t> w</w:t>
      </w:r>
      <w:r w:rsidRPr="007134B5">
        <w:rPr>
          <w:bCs/>
        </w:rPr>
        <w:t>eb et différentes applications. Ils jouent par exemple un rôle important dans la diffusion d'informations à vocation éducative. Grâce à eux, les utilisateurs peuvent aisément trouver les ressources éducatives adéquates dans la masse des informations disponibles, ce qui favorise leur apprentissage et en améliore l'expérience. Pour autant, les problématiques de sécurité inhérentes à ces services, comme les menaces contre l'intégrité des données, l'empoisonnement de ces dernières ou encore les attaques par évasion, ne peuvent être négligées.</w:t>
      </w:r>
    </w:p>
    <w:p w14:paraId="302D1908" w14:textId="77777777" w:rsidR="0056466D" w:rsidRPr="007134B5" w:rsidRDefault="0056466D" w:rsidP="0056466D">
      <w:pPr>
        <w:rPr>
          <w:bCs/>
        </w:rPr>
      </w:pPr>
      <w:r w:rsidRPr="007134B5">
        <w:rPr>
          <w:bCs/>
        </w:rPr>
        <w:t>Cette Recommandation propose une analyse des menaces et des exigences en matière de sécurité relatives aux services de recommandation d'informations. Elle établit la liste des menaces qui les visent et détaille les exigences de sécurité destinées à les contrer.</w:t>
      </w:r>
    </w:p>
    <w:p w14:paraId="4D26275D" w14:textId="5340445E" w:rsidR="0056466D" w:rsidRPr="007134B5" w:rsidRDefault="0056466D" w:rsidP="00545FB3">
      <w:pPr>
        <w:pStyle w:val="Heading1"/>
      </w:pPr>
      <w:r w:rsidRPr="007134B5">
        <w:t>7</w:t>
      </w:r>
      <w:r w:rsidRPr="007134B5">
        <w:tab/>
        <w:t xml:space="preserve">Projet de nouvelle Recommandation UIT-T X.1753 (anciennement </w:t>
      </w:r>
      <w:proofErr w:type="spellStart"/>
      <w:proofErr w:type="gramStart"/>
      <w:r w:rsidRPr="007134B5">
        <w:t>X.gdsml</w:t>
      </w:r>
      <w:proofErr w:type="spellEnd"/>
      <w:proofErr w:type="gramEnd"/>
      <w:r w:rsidRPr="007134B5">
        <w:t>) [</w:t>
      </w:r>
      <w:hyperlink r:id="rId19" w:history="1">
        <w:r w:rsidR="00AD3FE5" w:rsidRPr="007134B5">
          <w:rPr>
            <w:rStyle w:val="Hyperlink"/>
          </w:rPr>
          <w:t>SG</w:t>
        </w:r>
        <w:r w:rsidRPr="007134B5">
          <w:rPr>
            <w:rStyle w:val="Hyperlink"/>
          </w:rPr>
          <w:t>17-R12</w:t>
        </w:r>
      </w:hyperlink>
      <w:r w:rsidRPr="007134B5">
        <w:t>]</w:t>
      </w:r>
    </w:p>
    <w:p w14:paraId="4BC1045C" w14:textId="77777777" w:rsidR="0056466D" w:rsidRPr="007134B5" w:rsidRDefault="0056466D" w:rsidP="00545FB3">
      <w:pPr>
        <w:keepNext/>
        <w:keepLines/>
        <w:rPr>
          <w:bCs/>
        </w:rPr>
      </w:pPr>
      <w:r w:rsidRPr="007134B5">
        <w:rPr>
          <w:bCs/>
        </w:rPr>
        <w:t>Lignes directrices visant à garantir la sécurité des données en utilisant l'apprentissage automatique dans l'infrastructure de mégadonnées</w:t>
      </w:r>
    </w:p>
    <w:p w14:paraId="46D114A3" w14:textId="77777777" w:rsidR="0056466D" w:rsidRPr="007134B5" w:rsidRDefault="0056466D" w:rsidP="00716AF6">
      <w:pPr>
        <w:pStyle w:val="headingb"/>
      </w:pPr>
      <w:r w:rsidRPr="007134B5">
        <w:t>Résumé</w:t>
      </w:r>
    </w:p>
    <w:p w14:paraId="5E119B89" w14:textId="77777777" w:rsidR="0056466D" w:rsidRPr="007134B5" w:rsidRDefault="0056466D" w:rsidP="0056466D">
      <w:pPr>
        <w:rPr>
          <w:bCs/>
        </w:rPr>
      </w:pPr>
      <w:r w:rsidRPr="007134B5">
        <w:rPr>
          <w:bCs/>
        </w:rPr>
        <w:t>Dans l'infrastructure de mégadonnées, il existe de nombreuses menaces de sécurité dans le processus de collecte, de stockage, de traitement et de gestion des données. La façon de surveiller et d'analyser les menaces compromettant la sécurité des données et d'y répondre de manière dynamique et intelligente est un problème à résoudre dans l'infrastructure de mégadonnées. L'apprentissage automatique a des capacités d'acquisition automatique des connaissances et de reconnaissance des formes, qui permettent de détecter des menaces potentielles pour la sécurité et des comportements anormaux à partir d'une grande quantité de données, afin que des mesures défensives puissent être prises en amont. L'utilisation de la technologie de l'apprentissage automatique pour le renforcement de la sécurité des données est progressivement devenue nécessaire dans l'infrastructure de mégadonnées.</w:t>
      </w:r>
    </w:p>
    <w:p w14:paraId="6488CD4E" w14:textId="77777777" w:rsidR="0056466D" w:rsidRPr="007134B5" w:rsidRDefault="0056466D" w:rsidP="0056466D">
      <w:pPr>
        <w:rPr>
          <w:bCs/>
        </w:rPr>
      </w:pPr>
      <w:r w:rsidRPr="007134B5">
        <w:rPr>
          <w:bCs/>
        </w:rPr>
        <w:lastRenderedPageBreak/>
        <w:t>Cette Recommandation vise à analyser les menaces compromettant la sécurité des données dans l'infrastructure de mégadonnées et les scénarios dans lesquels l'apprentissage automatique peut être utilisé pour protéger la sécurité des données dans cette infrastructure, et contient des lignes directrices relatives à l'utilisation de cet apprentissage pour la protection de la sécurité des données dans l'infrastructure de mégadonnées.</w:t>
      </w:r>
    </w:p>
    <w:p w14:paraId="6F3910CF" w14:textId="43D976BD" w:rsidR="0056466D" w:rsidRPr="007134B5" w:rsidRDefault="0056466D" w:rsidP="00716AF6">
      <w:pPr>
        <w:pStyle w:val="Heading1"/>
      </w:pPr>
      <w:r w:rsidRPr="007134B5">
        <w:t>8</w:t>
      </w:r>
      <w:r w:rsidRPr="007134B5">
        <w:tab/>
        <w:t xml:space="preserve">Projet de nouvelle Recommandation UIT-T X.1649 (anciennement </w:t>
      </w:r>
      <w:proofErr w:type="spellStart"/>
      <w:proofErr w:type="gramStart"/>
      <w:r w:rsidRPr="007134B5">
        <w:t>X.sgmc</w:t>
      </w:r>
      <w:proofErr w:type="spellEnd"/>
      <w:proofErr w:type="gramEnd"/>
      <w:r w:rsidRPr="007134B5">
        <w:t>) [</w:t>
      </w:r>
      <w:hyperlink r:id="rId20" w:history="1">
        <w:r w:rsidR="00AD3FE5" w:rsidRPr="007134B5">
          <w:rPr>
            <w:rStyle w:val="Hyperlink"/>
          </w:rPr>
          <w:t>SG</w:t>
        </w:r>
        <w:r w:rsidRPr="007134B5">
          <w:rPr>
            <w:rStyle w:val="Hyperlink"/>
          </w:rPr>
          <w:t>17-R14</w:t>
        </w:r>
      </w:hyperlink>
      <w:r w:rsidRPr="007134B5">
        <w:t>]</w:t>
      </w:r>
    </w:p>
    <w:p w14:paraId="7B46CF7B" w14:textId="77777777" w:rsidR="0056466D" w:rsidRPr="007134B5" w:rsidRDefault="0056466D" w:rsidP="0056466D">
      <w:pPr>
        <w:rPr>
          <w:bCs/>
        </w:rPr>
      </w:pPr>
      <w:r w:rsidRPr="007134B5">
        <w:rPr>
          <w:bCs/>
        </w:rPr>
        <w:t>Lignes directrices relatives à la sécurité de l'environnement multi-nuage</w:t>
      </w:r>
    </w:p>
    <w:p w14:paraId="66928C4E" w14:textId="77777777" w:rsidR="0056466D" w:rsidRPr="007134B5" w:rsidRDefault="0056466D" w:rsidP="00716AF6">
      <w:pPr>
        <w:pStyle w:val="headingb"/>
      </w:pPr>
      <w:r w:rsidRPr="007134B5">
        <w:t>Résumé</w:t>
      </w:r>
    </w:p>
    <w:p w14:paraId="1F1D7876" w14:textId="38DFD843" w:rsidR="0056466D" w:rsidRPr="007134B5" w:rsidRDefault="0056466D" w:rsidP="0056466D">
      <w:pPr>
        <w:rPr>
          <w:bCs/>
        </w:rPr>
      </w:pPr>
      <w:r w:rsidRPr="007134B5">
        <w:rPr>
          <w:bCs/>
        </w:rPr>
        <w:t>Cette Recommandation fournit une vue d'ensemble de l'environnement multi-nuage, sa définition et le contexte de son apparition. Elle donne en outre une analyse des risques de sécurité et définit des lignes directrices appropriées pour atténuer les risques de sécurité dans l'environnement multi</w:t>
      </w:r>
      <w:r w:rsidR="0034271D" w:rsidRPr="007134B5">
        <w:rPr>
          <w:bCs/>
        </w:rPr>
        <w:noBreakHyphen/>
      </w:r>
      <w:r w:rsidRPr="007134B5">
        <w:rPr>
          <w:bCs/>
        </w:rPr>
        <w:t>nuage.</w:t>
      </w:r>
    </w:p>
    <w:p w14:paraId="48A2FE77" w14:textId="331A2232" w:rsidR="0056466D" w:rsidRPr="007134B5" w:rsidRDefault="0056466D" w:rsidP="00716AF6">
      <w:pPr>
        <w:pStyle w:val="Heading1"/>
      </w:pPr>
      <w:r w:rsidRPr="007134B5">
        <w:t>9</w:t>
      </w:r>
      <w:r w:rsidRPr="007134B5">
        <w:tab/>
        <w:t>Projet de Recommandation révisée UIT-T X.1250 [</w:t>
      </w:r>
      <w:hyperlink r:id="rId21" w:history="1">
        <w:r w:rsidR="00AD3FE5" w:rsidRPr="007134B5">
          <w:rPr>
            <w:rStyle w:val="Hyperlink"/>
          </w:rPr>
          <w:t>SG</w:t>
        </w:r>
        <w:r w:rsidRPr="007134B5">
          <w:rPr>
            <w:rStyle w:val="Hyperlink"/>
          </w:rPr>
          <w:t>17-R15</w:t>
        </w:r>
      </w:hyperlink>
      <w:r w:rsidRPr="007134B5">
        <w:t>]</w:t>
      </w:r>
    </w:p>
    <w:p w14:paraId="3008EC87" w14:textId="77777777" w:rsidR="0056466D" w:rsidRPr="007134B5" w:rsidRDefault="0056466D" w:rsidP="0056466D">
      <w:pPr>
        <w:rPr>
          <w:bCs/>
        </w:rPr>
      </w:pPr>
      <w:r w:rsidRPr="007134B5">
        <w:rPr>
          <w:bCs/>
        </w:rPr>
        <w:t>Capacités de base pour l'amélioration de l'interopérabilité dans la gestion d'identité</w:t>
      </w:r>
    </w:p>
    <w:p w14:paraId="6166D3F4" w14:textId="77777777" w:rsidR="0056466D" w:rsidRPr="007134B5" w:rsidRDefault="0056466D" w:rsidP="00716AF6">
      <w:pPr>
        <w:pStyle w:val="headingb"/>
      </w:pPr>
      <w:r w:rsidRPr="007134B5">
        <w:t>Résumé</w:t>
      </w:r>
    </w:p>
    <w:p w14:paraId="40DE1A79" w14:textId="771D0867" w:rsidR="0056466D" w:rsidRPr="007134B5" w:rsidRDefault="0056466D" w:rsidP="0056466D">
      <w:pPr>
        <w:rPr>
          <w:bCs/>
        </w:rPr>
      </w:pPr>
      <w:r w:rsidRPr="007134B5">
        <w:rPr>
          <w:bCs/>
        </w:rPr>
        <w:t>Le présent document décrit les principales dispositions relatives au développement et au déploiement de systèmes de gestion d</w:t>
      </w:r>
      <w:r w:rsidR="00D47B00" w:rsidRPr="007134B5">
        <w:rPr>
          <w:bCs/>
        </w:rPr>
        <w:t>'</w:t>
      </w:r>
      <w:r w:rsidRPr="007134B5">
        <w:rPr>
          <w:bCs/>
        </w:rPr>
        <w:t>identité structurés et interopérables au sein de réseaux de télécommunication et de réseaux informatiques, garantissant la protection de la vie privée et le respect des politiques régionales. Il porte notamment sur les modèles structurés de gestion d</w:t>
      </w:r>
      <w:r w:rsidR="00D47B00" w:rsidRPr="007134B5">
        <w:rPr>
          <w:bCs/>
        </w:rPr>
        <w:t>'</w:t>
      </w:r>
      <w:r w:rsidRPr="007134B5">
        <w:rPr>
          <w:bCs/>
        </w:rPr>
        <w:t>identité pour des échanges d</w:t>
      </w:r>
      <w:r w:rsidR="00D47B00" w:rsidRPr="007134B5">
        <w:rPr>
          <w:bCs/>
        </w:rPr>
        <w:t>'</w:t>
      </w:r>
      <w:r w:rsidRPr="007134B5">
        <w:rPr>
          <w:bCs/>
        </w:rPr>
        <w:t>identité sécurisés et efficaces, la protection et la fourniture d</w:t>
      </w:r>
      <w:r w:rsidR="00D47B00" w:rsidRPr="007134B5">
        <w:rPr>
          <w:bCs/>
        </w:rPr>
        <w:t>'</w:t>
      </w:r>
      <w:r w:rsidRPr="007134B5">
        <w:rPr>
          <w:bCs/>
        </w:rPr>
        <w:t>attributs d</w:t>
      </w:r>
      <w:r w:rsidR="00D47B00" w:rsidRPr="007134B5">
        <w:rPr>
          <w:bCs/>
        </w:rPr>
        <w:t>'</w:t>
      </w:r>
      <w:r w:rsidRPr="007134B5">
        <w:rPr>
          <w:bCs/>
        </w:rPr>
        <w:t>identité et la découverte de fournisseurs de services d</w:t>
      </w:r>
      <w:r w:rsidR="00D47B00" w:rsidRPr="007134B5">
        <w:rPr>
          <w:bCs/>
        </w:rPr>
        <w:t>'</w:t>
      </w:r>
      <w:r w:rsidRPr="007134B5">
        <w:rPr>
          <w:bCs/>
        </w:rPr>
        <w:t>identité. Il traite également de l</w:t>
      </w:r>
      <w:r w:rsidR="00D47B00" w:rsidRPr="007134B5">
        <w:rPr>
          <w:bCs/>
        </w:rPr>
        <w:t>'</w:t>
      </w:r>
      <w:r w:rsidRPr="007134B5">
        <w:rPr>
          <w:bCs/>
        </w:rPr>
        <w:t>interopérabilité entre les plates-formes d</w:t>
      </w:r>
      <w:r w:rsidR="00D47B00" w:rsidRPr="007134B5">
        <w:rPr>
          <w:bCs/>
        </w:rPr>
        <w:t>'</w:t>
      </w:r>
      <w:r w:rsidRPr="007134B5">
        <w:rPr>
          <w:bCs/>
        </w:rPr>
        <w:t>identité, des mesures de sécurité visant à atténuer les menaces, de l</w:t>
      </w:r>
      <w:r w:rsidR="00D47B00" w:rsidRPr="007134B5">
        <w:rPr>
          <w:bCs/>
        </w:rPr>
        <w:t>'</w:t>
      </w:r>
      <w:r w:rsidRPr="007134B5">
        <w:rPr>
          <w:bCs/>
        </w:rPr>
        <w:t>audit à des fins de conformité et de l</w:t>
      </w:r>
      <w:r w:rsidR="00D47B00" w:rsidRPr="007134B5">
        <w:rPr>
          <w:bCs/>
        </w:rPr>
        <w:t>'</w:t>
      </w:r>
      <w:r w:rsidRPr="007134B5">
        <w:rPr>
          <w:bCs/>
        </w:rPr>
        <w:t>importance de la facilité d</w:t>
      </w:r>
      <w:r w:rsidR="00D47B00" w:rsidRPr="007134B5">
        <w:rPr>
          <w:bCs/>
        </w:rPr>
        <w:t>'</w:t>
      </w:r>
      <w:r w:rsidRPr="007134B5">
        <w:rPr>
          <w:bCs/>
        </w:rPr>
        <w:t>utilisation et de l</w:t>
      </w:r>
      <w:r w:rsidR="00D47B00" w:rsidRPr="007134B5">
        <w:rPr>
          <w:bCs/>
        </w:rPr>
        <w:t>'</w:t>
      </w:r>
      <w:r w:rsidRPr="007134B5">
        <w:rPr>
          <w:bCs/>
        </w:rPr>
        <w:t>évolutivité. L</w:t>
      </w:r>
      <w:r w:rsidR="00D47B00" w:rsidRPr="007134B5">
        <w:rPr>
          <w:bCs/>
        </w:rPr>
        <w:t>'</w:t>
      </w:r>
      <w:r w:rsidRPr="007134B5">
        <w:rPr>
          <w:bCs/>
        </w:rPr>
        <w:t>objectif global est de créer des systèmes de gestion d</w:t>
      </w:r>
      <w:r w:rsidR="00D47B00" w:rsidRPr="007134B5">
        <w:rPr>
          <w:bCs/>
        </w:rPr>
        <w:t>'</w:t>
      </w:r>
      <w:r w:rsidRPr="007134B5">
        <w:rPr>
          <w:bCs/>
        </w:rPr>
        <w:t>identité robustes, transparents et adaptables qui améliorent la confiance, la sécurité et l</w:t>
      </w:r>
      <w:r w:rsidR="00D47B00" w:rsidRPr="007134B5">
        <w:rPr>
          <w:bCs/>
        </w:rPr>
        <w:t>'</w:t>
      </w:r>
      <w:r w:rsidRPr="007134B5">
        <w:rPr>
          <w:bCs/>
        </w:rPr>
        <w:t>expérience des utilisateurs dans le cadre des interactions numériques, dans le respect des normes réglementaires.</w:t>
      </w:r>
    </w:p>
    <w:p w14:paraId="23AA5DD7" w14:textId="5F1C5CFE" w:rsidR="0056466D" w:rsidRPr="007134B5" w:rsidRDefault="0056466D" w:rsidP="00716AF6">
      <w:pPr>
        <w:pStyle w:val="Heading1"/>
      </w:pPr>
      <w:r w:rsidRPr="007134B5">
        <w:t>10</w:t>
      </w:r>
      <w:r w:rsidRPr="007134B5">
        <w:tab/>
        <w:t>Projet de Recommandation révisée UIT-T X.1631 [</w:t>
      </w:r>
      <w:hyperlink r:id="rId22" w:history="1">
        <w:r w:rsidR="00AD3FE5" w:rsidRPr="007134B5">
          <w:rPr>
            <w:rStyle w:val="Hyperlink"/>
          </w:rPr>
          <w:t>SG</w:t>
        </w:r>
        <w:r w:rsidRPr="007134B5">
          <w:rPr>
            <w:rStyle w:val="Hyperlink"/>
          </w:rPr>
          <w:t>17-R13</w:t>
        </w:r>
      </w:hyperlink>
      <w:r w:rsidRPr="007134B5">
        <w:t>]</w:t>
      </w:r>
    </w:p>
    <w:p w14:paraId="59DEB854" w14:textId="6B271934" w:rsidR="0056466D" w:rsidRPr="007134B5" w:rsidRDefault="0056466D" w:rsidP="0056466D">
      <w:pPr>
        <w:rPr>
          <w:bCs/>
        </w:rPr>
      </w:pPr>
      <w:r w:rsidRPr="007134B5">
        <w:rPr>
          <w:bCs/>
        </w:rPr>
        <w:t>Mesures de sécurité de l'information fondées sur la norme ISO/CEI 27002 pour les services en</w:t>
      </w:r>
      <w:r w:rsidR="00A76E85">
        <w:rPr>
          <w:bCs/>
        </w:rPr>
        <w:t> </w:t>
      </w:r>
      <w:r w:rsidRPr="007134B5">
        <w:rPr>
          <w:bCs/>
        </w:rPr>
        <w:t>nuage</w:t>
      </w:r>
    </w:p>
    <w:p w14:paraId="50524355" w14:textId="77777777" w:rsidR="0056466D" w:rsidRPr="007134B5" w:rsidRDefault="0056466D" w:rsidP="00716AF6">
      <w:pPr>
        <w:pStyle w:val="headingb"/>
      </w:pPr>
      <w:r w:rsidRPr="007134B5">
        <w:t>Résumé</w:t>
      </w:r>
    </w:p>
    <w:p w14:paraId="7EEE0564" w14:textId="77777777" w:rsidR="0056466D" w:rsidRPr="007134B5" w:rsidRDefault="0056466D" w:rsidP="0056466D">
      <w:pPr>
        <w:rPr>
          <w:bCs/>
        </w:rPr>
      </w:pPr>
      <w:r w:rsidRPr="007134B5">
        <w:rPr>
          <w:bCs/>
        </w:rPr>
        <w:t xml:space="preserve">Les lignes directrices contenues dans cette Recommandation | Norme internationale s'ajoutent aux lignes directrices exposées dans la norme ISO/CEI </w:t>
      </w:r>
      <w:proofErr w:type="gramStart"/>
      <w:r w:rsidRPr="007134B5">
        <w:rPr>
          <w:bCs/>
        </w:rPr>
        <w:t>27002:</w:t>
      </w:r>
      <w:proofErr w:type="gramEnd"/>
      <w:r w:rsidRPr="007134B5">
        <w:rPr>
          <w:bCs/>
        </w:rPr>
        <w:t>2022 et les complètent.</w:t>
      </w:r>
    </w:p>
    <w:p w14:paraId="0C51D4A7" w14:textId="06DC2139" w:rsidR="0056466D" w:rsidRPr="007134B5" w:rsidRDefault="0056466D" w:rsidP="0056466D">
      <w:pPr>
        <w:rPr>
          <w:bCs/>
        </w:rPr>
      </w:pPr>
      <w:r w:rsidRPr="007134B5">
        <w:rPr>
          <w:bCs/>
        </w:rPr>
        <w:t xml:space="preserve">Plus précisément, cette Recommandation | Norme internationale </w:t>
      </w:r>
      <w:proofErr w:type="gramStart"/>
      <w:r w:rsidRPr="007134B5">
        <w:rPr>
          <w:bCs/>
        </w:rPr>
        <w:t>donne</w:t>
      </w:r>
      <w:proofErr w:type="gramEnd"/>
      <w:r w:rsidRPr="007134B5">
        <w:rPr>
          <w:bCs/>
        </w:rPr>
        <w:t xml:space="preserve"> des conseils à l'appui de la mise en œuvre des contrôles de sécurité de l'information pour les clients de services en nuage (clients</w:t>
      </w:r>
      <w:r w:rsidR="008E2974">
        <w:rPr>
          <w:bCs/>
        </w:rPr>
        <w:t> </w:t>
      </w:r>
      <w:r w:rsidRPr="007134B5">
        <w:rPr>
          <w:bCs/>
        </w:rPr>
        <w:t>CSC) et les fournisseurs de services en nuage (fournisseurs CSP). Certains conseils s'adressent aux clients CSC qui mettent en œuvre les contrôles, tandis que d'autres visent à aider les fournisseurs CSP dans la mise en œuvre de ces contrôles. La détermination des contrôles appropriés en matière de sécurité de l'information et le niveau d'utilisation des conseils prodigués dépendront des résultats de l'évaluation des risques correspondants et de l'existence d'éventuelles exigences légales, réglementaires, contractuelles ou autres en matière de sécurité de l'information propres à l'informatique en nuage.</w:t>
      </w:r>
    </w:p>
    <w:p w14:paraId="3B647157" w14:textId="594F164D" w:rsidR="0056466D" w:rsidRPr="007134B5" w:rsidRDefault="0056466D" w:rsidP="00B60868">
      <w:pPr>
        <w:rPr>
          <w:bCs/>
        </w:rPr>
      </w:pPr>
      <w:r w:rsidRPr="007134B5">
        <w:rPr>
          <w:bCs/>
        </w:rPr>
        <w:br w:type="page"/>
      </w:r>
    </w:p>
    <w:p w14:paraId="4A175F30" w14:textId="756741A7" w:rsidR="00517A03" w:rsidRPr="007134B5" w:rsidRDefault="00AD3FE5" w:rsidP="006C3D24">
      <w:pPr>
        <w:pStyle w:val="AnnexTitle"/>
        <w:spacing w:after="240"/>
      </w:pPr>
      <w:r w:rsidRPr="00D43E1F">
        <w:rPr>
          <w:sz w:val="28"/>
          <w:szCs w:val="22"/>
        </w:rPr>
        <w:lastRenderedPageBreak/>
        <w:t>Annexe 2</w:t>
      </w:r>
      <w:r w:rsidRPr="007134B5">
        <w:br/>
      </w:r>
      <w:proofErr w:type="gramStart"/>
      <w:r w:rsidRPr="007134B5">
        <w:t>Objet:</w:t>
      </w:r>
      <w:proofErr w:type="gramEnd"/>
      <w:r w:rsidRPr="007134B5">
        <w:t xml:space="preserve"> Réponse des États Membres à la Circulaire TSB </w:t>
      </w:r>
      <w:proofErr w:type="gramStart"/>
      <w:r w:rsidRPr="007134B5">
        <w:t>50:</w:t>
      </w:r>
      <w:proofErr w:type="gramEnd"/>
      <w:r w:rsidR="0034271D" w:rsidRPr="007134B5">
        <w:br/>
      </w:r>
      <w:r w:rsidRPr="007134B5">
        <w:t xml:space="preserve">Consultation sur le texte déterminé des projets de nouvelles Recommandations UIT-T X.1062 (anciennement </w:t>
      </w:r>
      <w:proofErr w:type="spellStart"/>
      <w:proofErr w:type="gramStart"/>
      <w:r w:rsidRPr="007134B5">
        <w:t>X.shcd</w:t>
      </w:r>
      <w:proofErr w:type="spellEnd"/>
      <w:proofErr w:type="gramEnd"/>
      <w:r w:rsidRPr="007134B5">
        <w:t xml:space="preserve">), X.1238 (anciennement </w:t>
      </w:r>
      <w:proofErr w:type="spellStart"/>
      <w:r w:rsidRPr="007134B5">
        <w:t>X.sgc-rcs</w:t>
      </w:r>
      <w:proofErr w:type="spellEnd"/>
      <w:r w:rsidRPr="007134B5">
        <w:t>), X.1128 (anciennement X.mt-</w:t>
      </w:r>
      <w:proofErr w:type="spellStart"/>
      <w:r w:rsidRPr="007134B5">
        <w:t>feature</w:t>
      </w:r>
      <w:proofErr w:type="spellEnd"/>
      <w:r w:rsidRPr="007134B5">
        <w:t>), X.1129</w:t>
      </w:r>
      <w:r w:rsidR="0034271D" w:rsidRPr="007134B5">
        <w:t xml:space="preserve"> </w:t>
      </w:r>
      <w:r w:rsidRPr="007134B5">
        <w:t>(anciennement X.mt-</w:t>
      </w:r>
      <w:proofErr w:type="spellStart"/>
      <w:r w:rsidRPr="007134B5">
        <w:t>integrity</w:t>
      </w:r>
      <w:proofErr w:type="spellEnd"/>
      <w:r w:rsidRPr="007134B5">
        <w:t>), X.1130 (anciennement X.tg-</w:t>
      </w:r>
      <w:proofErr w:type="spellStart"/>
      <w:r w:rsidRPr="007134B5">
        <w:t>fdma</w:t>
      </w:r>
      <w:proofErr w:type="spellEnd"/>
      <w:r w:rsidRPr="007134B5">
        <w:t>),</w:t>
      </w:r>
      <w:r w:rsidRPr="007134B5">
        <w:br/>
        <w:t xml:space="preserve">X.1457 (anciennement </w:t>
      </w:r>
      <w:proofErr w:type="spellStart"/>
      <w:r w:rsidRPr="007134B5">
        <w:t>X.str-irs</w:t>
      </w:r>
      <w:proofErr w:type="spellEnd"/>
      <w:r w:rsidRPr="007134B5">
        <w:t xml:space="preserve">), X.1753 (anciennement </w:t>
      </w:r>
      <w:proofErr w:type="spellStart"/>
      <w:proofErr w:type="gramStart"/>
      <w:r w:rsidRPr="007134B5">
        <w:t>X.gdsml</w:t>
      </w:r>
      <w:proofErr w:type="spellEnd"/>
      <w:proofErr w:type="gramEnd"/>
      <w:r w:rsidRPr="007134B5">
        <w:t>)</w:t>
      </w:r>
      <w:r w:rsidRPr="007134B5">
        <w:br/>
        <w:t xml:space="preserve">et X.1649 (anciennement </w:t>
      </w:r>
      <w:proofErr w:type="spellStart"/>
      <w:proofErr w:type="gramStart"/>
      <w:r w:rsidRPr="007134B5">
        <w:t>X.sgmc</w:t>
      </w:r>
      <w:proofErr w:type="spellEnd"/>
      <w:proofErr w:type="gramEnd"/>
      <w:r w:rsidRPr="007134B5">
        <w:t>), et des Recommandations</w:t>
      </w:r>
      <w:r w:rsidRPr="007134B5">
        <w:br/>
        <w:t>révisées UIT-T X.1250 et X.1631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0"/>
        <w:gridCol w:w="4696"/>
        <w:gridCol w:w="1240"/>
        <w:gridCol w:w="2625"/>
      </w:tblGrid>
      <w:tr w:rsidR="00AD3FE5" w:rsidRPr="007134B5" w14:paraId="1974EB98" w14:textId="77777777" w:rsidTr="00AD3FE5">
        <w:tc>
          <w:tcPr>
            <w:tcW w:w="1155" w:type="dxa"/>
          </w:tcPr>
          <w:p w14:paraId="29E29D4F" w14:textId="486F0325" w:rsidR="00AD3FE5" w:rsidRPr="00234759" w:rsidRDefault="00AD3FE5" w:rsidP="00AD3FE5">
            <w:pPr>
              <w:pStyle w:val="TableText"/>
              <w:jc w:val="right"/>
              <w:rPr>
                <w:b/>
                <w:bCs/>
                <w:sz w:val="24"/>
                <w:szCs w:val="22"/>
              </w:rPr>
            </w:pPr>
            <w:proofErr w:type="gramStart"/>
            <w:r w:rsidRPr="00234759">
              <w:rPr>
                <w:b/>
                <w:bCs/>
                <w:sz w:val="24"/>
                <w:szCs w:val="22"/>
              </w:rPr>
              <w:t>À:</w:t>
            </w:r>
            <w:proofErr w:type="gramEnd"/>
          </w:p>
        </w:tc>
        <w:tc>
          <w:tcPr>
            <w:tcW w:w="4759" w:type="dxa"/>
            <w:tcBorders>
              <w:right w:val="single" w:sz="4" w:space="0" w:color="auto"/>
            </w:tcBorders>
          </w:tcPr>
          <w:p w14:paraId="09B39BF5" w14:textId="77777777" w:rsidR="00AD3FE5" w:rsidRPr="00234759" w:rsidRDefault="00AD3FE5" w:rsidP="00A76E85">
            <w:pPr>
              <w:pStyle w:val="TableText"/>
              <w:spacing w:before="0" w:after="0"/>
              <w:rPr>
                <w:sz w:val="24"/>
                <w:szCs w:val="22"/>
              </w:rPr>
            </w:pPr>
            <w:r w:rsidRPr="00234759">
              <w:rPr>
                <w:sz w:val="24"/>
                <w:szCs w:val="22"/>
              </w:rPr>
              <w:t>Directeur du Bureau de la normalisation des télécommunications</w:t>
            </w:r>
          </w:p>
          <w:p w14:paraId="4A72B0A3" w14:textId="77777777" w:rsidR="00AD3FE5" w:rsidRPr="00234759" w:rsidRDefault="00AD3FE5" w:rsidP="00A76E85">
            <w:pPr>
              <w:pStyle w:val="TableText"/>
              <w:spacing w:before="0" w:after="0"/>
              <w:rPr>
                <w:sz w:val="24"/>
                <w:szCs w:val="22"/>
              </w:rPr>
            </w:pPr>
            <w:r w:rsidRPr="00234759">
              <w:rPr>
                <w:sz w:val="24"/>
                <w:szCs w:val="22"/>
              </w:rPr>
              <w:t>Union internationale des télécommunications</w:t>
            </w:r>
          </w:p>
          <w:p w14:paraId="2CEF449E" w14:textId="77777777" w:rsidR="00AD3FE5" w:rsidRPr="00234759" w:rsidRDefault="00AD3FE5" w:rsidP="00A76E85">
            <w:pPr>
              <w:pStyle w:val="TableText"/>
              <w:spacing w:before="0" w:after="0"/>
              <w:rPr>
                <w:sz w:val="24"/>
                <w:szCs w:val="22"/>
              </w:rPr>
            </w:pPr>
            <w:r w:rsidRPr="00234759">
              <w:rPr>
                <w:sz w:val="24"/>
                <w:szCs w:val="22"/>
              </w:rPr>
              <w:t>Place des Nations</w:t>
            </w:r>
          </w:p>
          <w:p w14:paraId="75B9A7ED" w14:textId="72282E59" w:rsidR="00AD3FE5" w:rsidRPr="00234759" w:rsidRDefault="00AD3FE5" w:rsidP="00A76E85">
            <w:pPr>
              <w:pStyle w:val="TableText"/>
              <w:spacing w:before="0" w:after="0"/>
              <w:rPr>
                <w:sz w:val="24"/>
                <w:szCs w:val="22"/>
              </w:rPr>
            </w:pPr>
            <w:r w:rsidRPr="00234759">
              <w:rPr>
                <w:sz w:val="24"/>
                <w:szCs w:val="22"/>
              </w:rPr>
              <w:t>CH-1211 Genève 20, Suisse</w:t>
            </w:r>
          </w:p>
        </w:tc>
        <w:tc>
          <w:tcPr>
            <w:tcW w:w="1155" w:type="dxa"/>
            <w:tcBorders>
              <w:left w:val="single" w:sz="4" w:space="0" w:color="auto"/>
            </w:tcBorders>
          </w:tcPr>
          <w:p w14:paraId="6E6C3332" w14:textId="2BF3E580" w:rsidR="00AD3FE5" w:rsidRPr="00234759" w:rsidRDefault="00AD3FE5" w:rsidP="00AD3FE5">
            <w:pPr>
              <w:pStyle w:val="TableText"/>
              <w:jc w:val="right"/>
              <w:rPr>
                <w:b/>
                <w:bCs/>
                <w:sz w:val="24"/>
                <w:szCs w:val="22"/>
              </w:rPr>
            </w:pPr>
            <w:proofErr w:type="gramStart"/>
            <w:r w:rsidRPr="00234759">
              <w:rPr>
                <w:b/>
                <w:bCs/>
                <w:sz w:val="24"/>
                <w:szCs w:val="22"/>
              </w:rPr>
              <w:t>De:</w:t>
            </w:r>
            <w:proofErr w:type="gramEnd"/>
          </w:p>
        </w:tc>
        <w:tc>
          <w:tcPr>
            <w:tcW w:w="2660" w:type="dxa"/>
          </w:tcPr>
          <w:p w14:paraId="0991494E" w14:textId="77777777" w:rsidR="00AD3FE5" w:rsidRPr="00234759" w:rsidRDefault="00AD3FE5" w:rsidP="00AD3FE5">
            <w:pPr>
              <w:pStyle w:val="TableText"/>
              <w:rPr>
                <w:sz w:val="24"/>
                <w:szCs w:val="22"/>
                <w:highlight w:val="green"/>
              </w:rPr>
            </w:pPr>
            <w:r w:rsidRPr="00234759">
              <w:rPr>
                <w:sz w:val="24"/>
                <w:szCs w:val="22"/>
                <w:highlight w:val="green"/>
              </w:rPr>
              <w:t>[Nom]</w:t>
            </w:r>
          </w:p>
          <w:p w14:paraId="25B5F002" w14:textId="77777777" w:rsidR="00AD3FE5" w:rsidRPr="00234759" w:rsidRDefault="00AD3FE5" w:rsidP="00AD3FE5">
            <w:pPr>
              <w:pStyle w:val="TableText"/>
              <w:rPr>
                <w:sz w:val="24"/>
                <w:szCs w:val="22"/>
                <w:highlight w:val="green"/>
              </w:rPr>
            </w:pPr>
            <w:r w:rsidRPr="00234759">
              <w:rPr>
                <w:sz w:val="24"/>
                <w:szCs w:val="22"/>
                <w:highlight w:val="green"/>
              </w:rPr>
              <w:t>[Rôle/titre officiel]</w:t>
            </w:r>
          </w:p>
          <w:p w14:paraId="47F4E7FF" w14:textId="4FC538D2" w:rsidR="00AD3FE5" w:rsidRPr="00234759" w:rsidRDefault="00AD3FE5" w:rsidP="00AD3FE5">
            <w:pPr>
              <w:pStyle w:val="TableText"/>
              <w:rPr>
                <w:sz w:val="24"/>
                <w:szCs w:val="22"/>
              </w:rPr>
            </w:pPr>
            <w:r w:rsidRPr="00234759">
              <w:rPr>
                <w:sz w:val="24"/>
                <w:szCs w:val="22"/>
                <w:highlight w:val="green"/>
              </w:rPr>
              <w:t>[Adresse]</w:t>
            </w:r>
          </w:p>
        </w:tc>
      </w:tr>
      <w:tr w:rsidR="00AD3FE5" w:rsidRPr="007134B5" w14:paraId="4992F4DC" w14:textId="77777777" w:rsidTr="00AD3FE5">
        <w:tc>
          <w:tcPr>
            <w:tcW w:w="1155" w:type="dxa"/>
          </w:tcPr>
          <w:p w14:paraId="357EE469" w14:textId="29FBA99F" w:rsidR="00AD3FE5" w:rsidRPr="00234759" w:rsidRDefault="00AD3FE5" w:rsidP="00AD3FE5">
            <w:pPr>
              <w:pStyle w:val="TableText"/>
              <w:jc w:val="right"/>
              <w:rPr>
                <w:b/>
                <w:bCs/>
                <w:sz w:val="24"/>
                <w:szCs w:val="22"/>
              </w:rPr>
            </w:pPr>
            <w:proofErr w:type="gramStart"/>
            <w:r w:rsidRPr="00234759">
              <w:rPr>
                <w:b/>
                <w:bCs/>
                <w:sz w:val="24"/>
                <w:szCs w:val="22"/>
              </w:rPr>
              <w:t>Télécopie:</w:t>
            </w:r>
            <w:proofErr w:type="gramEnd"/>
          </w:p>
        </w:tc>
        <w:tc>
          <w:tcPr>
            <w:tcW w:w="4759" w:type="dxa"/>
            <w:tcBorders>
              <w:right w:val="single" w:sz="4" w:space="0" w:color="auto"/>
            </w:tcBorders>
          </w:tcPr>
          <w:p w14:paraId="600D60D7" w14:textId="0EE263BE" w:rsidR="00AD3FE5" w:rsidRPr="00234759" w:rsidRDefault="00AD3FE5" w:rsidP="00AD3FE5">
            <w:pPr>
              <w:pStyle w:val="TableText"/>
              <w:rPr>
                <w:sz w:val="24"/>
                <w:szCs w:val="22"/>
              </w:rPr>
            </w:pPr>
            <w:r w:rsidRPr="00234759">
              <w:rPr>
                <w:sz w:val="24"/>
                <w:szCs w:val="22"/>
              </w:rPr>
              <w:t>+41</w:t>
            </w:r>
            <w:r w:rsidR="00A76E85" w:rsidRPr="00234759">
              <w:rPr>
                <w:sz w:val="24"/>
                <w:szCs w:val="22"/>
              </w:rPr>
              <w:t xml:space="preserve"> </w:t>
            </w:r>
            <w:r w:rsidRPr="00234759">
              <w:rPr>
                <w:sz w:val="24"/>
                <w:szCs w:val="22"/>
              </w:rPr>
              <w:t>22</w:t>
            </w:r>
            <w:r w:rsidR="00A76E85" w:rsidRPr="00234759">
              <w:rPr>
                <w:sz w:val="24"/>
                <w:szCs w:val="22"/>
              </w:rPr>
              <w:t xml:space="preserve"> </w:t>
            </w:r>
            <w:r w:rsidRPr="00234759">
              <w:rPr>
                <w:sz w:val="24"/>
                <w:szCs w:val="22"/>
              </w:rPr>
              <w:t>730</w:t>
            </w:r>
            <w:r w:rsidR="00A76E85" w:rsidRPr="00234759">
              <w:rPr>
                <w:sz w:val="24"/>
                <w:szCs w:val="22"/>
              </w:rPr>
              <w:t xml:space="preserve"> </w:t>
            </w:r>
            <w:r w:rsidRPr="00234759">
              <w:rPr>
                <w:sz w:val="24"/>
                <w:szCs w:val="22"/>
              </w:rPr>
              <w:t>5853</w:t>
            </w:r>
          </w:p>
        </w:tc>
        <w:tc>
          <w:tcPr>
            <w:tcW w:w="1155" w:type="dxa"/>
            <w:tcBorders>
              <w:left w:val="single" w:sz="4" w:space="0" w:color="auto"/>
            </w:tcBorders>
          </w:tcPr>
          <w:p w14:paraId="7C4909FE" w14:textId="01E383E6" w:rsidR="00AD3FE5" w:rsidRPr="00234759" w:rsidRDefault="00AD3FE5" w:rsidP="00AD3FE5">
            <w:pPr>
              <w:pStyle w:val="TableText"/>
              <w:jc w:val="right"/>
              <w:rPr>
                <w:b/>
                <w:bCs/>
                <w:sz w:val="24"/>
                <w:szCs w:val="22"/>
              </w:rPr>
            </w:pPr>
            <w:proofErr w:type="gramStart"/>
            <w:r w:rsidRPr="00234759">
              <w:rPr>
                <w:b/>
                <w:bCs/>
                <w:sz w:val="24"/>
                <w:szCs w:val="22"/>
              </w:rPr>
              <w:t>Télécopie:</w:t>
            </w:r>
            <w:proofErr w:type="gramEnd"/>
          </w:p>
        </w:tc>
        <w:tc>
          <w:tcPr>
            <w:tcW w:w="2660" w:type="dxa"/>
          </w:tcPr>
          <w:p w14:paraId="19115913" w14:textId="77777777" w:rsidR="00AD3FE5" w:rsidRPr="00234759" w:rsidRDefault="00AD3FE5" w:rsidP="00AD3FE5">
            <w:pPr>
              <w:pStyle w:val="TableText"/>
              <w:rPr>
                <w:sz w:val="24"/>
                <w:szCs w:val="22"/>
              </w:rPr>
            </w:pPr>
          </w:p>
        </w:tc>
      </w:tr>
      <w:tr w:rsidR="00AD3FE5" w:rsidRPr="007134B5" w14:paraId="30A3CB7B" w14:textId="77777777" w:rsidTr="00AD3FE5">
        <w:tc>
          <w:tcPr>
            <w:tcW w:w="1155" w:type="dxa"/>
          </w:tcPr>
          <w:p w14:paraId="25C8764A" w14:textId="312DF4DB" w:rsidR="00AD3FE5" w:rsidRPr="00234759" w:rsidRDefault="00AD3FE5" w:rsidP="00AD3FE5">
            <w:pPr>
              <w:pStyle w:val="TableText"/>
              <w:jc w:val="right"/>
              <w:rPr>
                <w:b/>
                <w:bCs/>
                <w:sz w:val="24"/>
                <w:szCs w:val="22"/>
              </w:rPr>
            </w:pPr>
            <w:proofErr w:type="gramStart"/>
            <w:r w:rsidRPr="00234759">
              <w:rPr>
                <w:b/>
                <w:bCs/>
                <w:sz w:val="24"/>
                <w:szCs w:val="22"/>
              </w:rPr>
              <w:t>Courriel:</w:t>
            </w:r>
            <w:proofErr w:type="gramEnd"/>
          </w:p>
        </w:tc>
        <w:tc>
          <w:tcPr>
            <w:tcW w:w="4759" w:type="dxa"/>
            <w:tcBorders>
              <w:right w:val="single" w:sz="4" w:space="0" w:color="auto"/>
            </w:tcBorders>
          </w:tcPr>
          <w:p w14:paraId="166EAA9C" w14:textId="48D3D6F1" w:rsidR="00AD3FE5" w:rsidRPr="00234759" w:rsidRDefault="00AD3FE5" w:rsidP="00AD3FE5">
            <w:pPr>
              <w:pStyle w:val="TableText"/>
              <w:rPr>
                <w:sz w:val="24"/>
                <w:szCs w:val="22"/>
              </w:rPr>
            </w:pPr>
            <w:hyperlink r:id="rId23" w:history="1">
              <w:r w:rsidRPr="00234759">
                <w:rPr>
                  <w:rStyle w:val="Hyperlink"/>
                  <w:sz w:val="24"/>
                  <w:szCs w:val="22"/>
                </w:rPr>
                <w:t>tsbdir@itu.int</w:t>
              </w:r>
            </w:hyperlink>
          </w:p>
        </w:tc>
        <w:tc>
          <w:tcPr>
            <w:tcW w:w="1155" w:type="dxa"/>
            <w:tcBorders>
              <w:left w:val="single" w:sz="4" w:space="0" w:color="auto"/>
            </w:tcBorders>
          </w:tcPr>
          <w:p w14:paraId="2E93DF37" w14:textId="6B8EE096" w:rsidR="00AD3FE5" w:rsidRPr="00234759" w:rsidRDefault="00AD3FE5" w:rsidP="00AD3FE5">
            <w:pPr>
              <w:pStyle w:val="TableText"/>
              <w:jc w:val="right"/>
              <w:rPr>
                <w:b/>
                <w:bCs/>
                <w:sz w:val="24"/>
                <w:szCs w:val="22"/>
              </w:rPr>
            </w:pPr>
            <w:proofErr w:type="gramStart"/>
            <w:r w:rsidRPr="00234759">
              <w:rPr>
                <w:b/>
                <w:bCs/>
                <w:sz w:val="24"/>
                <w:szCs w:val="22"/>
              </w:rPr>
              <w:t>Courriel:</w:t>
            </w:r>
            <w:proofErr w:type="gramEnd"/>
          </w:p>
        </w:tc>
        <w:tc>
          <w:tcPr>
            <w:tcW w:w="2660" w:type="dxa"/>
          </w:tcPr>
          <w:p w14:paraId="79E711D3" w14:textId="77777777" w:rsidR="00AD3FE5" w:rsidRPr="00234759" w:rsidRDefault="00AD3FE5" w:rsidP="00AD3FE5">
            <w:pPr>
              <w:pStyle w:val="TableText"/>
              <w:rPr>
                <w:sz w:val="24"/>
                <w:szCs w:val="22"/>
              </w:rPr>
            </w:pPr>
          </w:p>
        </w:tc>
      </w:tr>
      <w:tr w:rsidR="00AD3FE5" w:rsidRPr="007134B5" w14:paraId="7BD0E2F4" w14:textId="77777777" w:rsidTr="00AD3FE5">
        <w:tc>
          <w:tcPr>
            <w:tcW w:w="1155" w:type="dxa"/>
          </w:tcPr>
          <w:p w14:paraId="16C20308" w14:textId="77777777" w:rsidR="00AD3FE5" w:rsidRPr="00234759" w:rsidRDefault="00AD3FE5" w:rsidP="00AD3FE5">
            <w:pPr>
              <w:pStyle w:val="TableText"/>
              <w:jc w:val="right"/>
              <w:rPr>
                <w:b/>
                <w:bCs/>
                <w:sz w:val="24"/>
                <w:szCs w:val="22"/>
              </w:rPr>
            </w:pPr>
          </w:p>
        </w:tc>
        <w:tc>
          <w:tcPr>
            <w:tcW w:w="4759" w:type="dxa"/>
            <w:tcBorders>
              <w:right w:val="single" w:sz="4" w:space="0" w:color="auto"/>
            </w:tcBorders>
          </w:tcPr>
          <w:p w14:paraId="2BFAF91D" w14:textId="77777777" w:rsidR="00AD3FE5" w:rsidRPr="00234759" w:rsidRDefault="00AD3FE5" w:rsidP="00AD3FE5">
            <w:pPr>
              <w:pStyle w:val="TableText"/>
              <w:rPr>
                <w:sz w:val="24"/>
                <w:szCs w:val="22"/>
              </w:rPr>
            </w:pPr>
          </w:p>
        </w:tc>
        <w:tc>
          <w:tcPr>
            <w:tcW w:w="1155" w:type="dxa"/>
            <w:tcBorders>
              <w:left w:val="single" w:sz="4" w:space="0" w:color="auto"/>
            </w:tcBorders>
          </w:tcPr>
          <w:p w14:paraId="563391A5" w14:textId="1FF3C6FE" w:rsidR="00AD3FE5" w:rsidRPr="00234759" w:rsidRDefault="00AD3FE5" w:rsidP="00AD3FE5">
            <w:pPr>
              <w:pStyle w:val="TableText"/>
              <w:jc w:val="right"/>
              <w:rPr>
                <w:b/>
                <w:bCs/>
                <w:sz w:val="24"/>
                <w:szCs w:val="22"/>
              </w:rPr>
            </w:pPr>
            <w:proofErr w:type="gramStart"/>
            <w:r w:rsidRPr="00234759">
              <w:rPr>
                <w:b/>
                <w:bCs/>
                <w:sz w:val="24"/>
                <w:szCs w:val="22"/>
              </w:rPr>
              <w:t>Date:</w:t>
            </w:r>
            <w:proofErr w:type="gramEnd"/>
          </w:p>
        </w:tc>
        <w:tc>
          <w:tcPr>
            <w:tcW w:w="2660" w:type="dxa"/>
          </w:tcPr>
          <w:p w14:paraId="1367450E" w14:textId="24437C33" w:rsidR="00AD3FE5" w:rsidRPr="00234759" w:rsidRDefault="00AD3FE5" w:rsidP="00AD3FE5">
            <w:pPr>
              <w:pStyle w:val="TableText"/>
              <w:rPr>
                <w:sz w:val="24"/>
                <w:szCs w:val="22"/>
              </w:rPr>
            </w:pPr>
            <w:r w:rsidRPr="00234759">
              <w:rPr>
                <w:sz w:val="24"/>
                <w:szCs w:val="22"/>
                <w:highlight w:val="green"/>
              </w:rPr>
              <w:t>[Lieu,] [Date]</w:t>
            </w:r>
          </w:p>
        </w:tc>
      </w:tr>
    </w:tbl>
    <w:p w14:paraId="00D870D4" w14:textId="77777777" w:rsidR="00AD3FE5" w:rsidRPr="007134B5" w:rsidRDefault="00AD3FE5" w:rsidP="00AD3FE5">
      <w:pPr>
        <w:pStyle w:val="Normalaftertitle"/>
      </w:pPr>
      <w:r w:rsidRPr="007134B5">
        <w:t>Madame, Monsieur,</w:t>
      </w:r>
    </w:p>
    <w:p w14:paraId="0CEB878A" w14:textId="56E2704C" w:rsidR="00AD3FE5" w:rsidRPr="007134B5" w:rsidRDefault="00AD3FE5" w:rsidP="00AD3FE5">
      <w:pPr>
        <w:spacing w:after="120"/>
      </w:pPr>
      <w:r w:rsidRPr="007134B5">
        <w:t xml:space="preserve">Dans le cadre de la consultation des États Membres au sujet des projets de textes déterminés dont il est question dans la Circulaire TSB </w:t>
      </w:r>
      <w:r w:rsidR="00B70802">
        <w:t>50</w:t>
      </w:r>
      <w:r w:rsidRPr="007134B5">
        <w:t>, je souhaite vous faire connaître par la présente le point de vue de mon Administration, qui figure dans le tableau ci-après.</w:t>
      </w:r>
    </w:p>
    <w:tbl>
      <w:tblPr>
        <w:tblStyle w:val="TableGrid"/>
        <w:tblW w:w="0" w:type="auto"/>
        <w:tblLook w:val="04A0" w:firstRow="1" w:lastRow="0" w:firstColumn="1" w:lastColumn="0" w:noHBand="0" w:noVBand="1"/>
      </w:tblPr>
      <w:tblGrid>
        <w:gridCol w:w="2122"/>
        <w:gridCol w:w="7597"/>
      </w:tblGrid>
      <w:tr w:rsidR="00AD3FE5" w:rsidRPr="00234759" w14:paraId="4F23F65D" w14:textId="77777777" w:rsidTr="00B5153A">
        <w:trPr>
          <w:tblHeader/>
        </w:trPr>
        <w:tc>
          <w:tcPr>
            <w:tcW w:w="2122" w:type="dxa"/>
            <w:vAlign w:val="center"/>
          </w:tcPr>
          <w:p w14:paraId="50DCF39E" w14:textId="77777777" w:rsidR="00AD3FE5" w:rsidRPr="00234759" w:rsidRDefault="00AD3FE5" w:rsidP="00B5153A">
            <w:pPr>
              <w:pStyle w:val="TableTitle"/>
              <w:spacing w:before="120"/>
              <w:rPr>
                <w:sz w:val="22"/>
                <w:szCs w:val="22"/>
              </w:rPr>
            </w:pPr>
          </w:p>
        </w:tc>
        <w:tc>
          <w:tcPr>
            <w:tcW w:w="7597" w:type="dxa"/>
          </w:tcPr>
          <w:p w14:paraId="477ADAAD" w14:textId="59741D9E" w:rsidR="00AD3FE5" w:rsidRPr="00234759" w:rsidRDefault="00AD3FE5" w:rsidP="00B5153A">
            <w:pPr>
              <w:pStyle w:val="TableTitle"/>
              <w:spacing w:before="120"/>
              <w:rPr>
                <w:sz w:val="22"/>
                <w:szCs w:val="22"/>
              </w:rPr>
            </w:pPr>
            <w:r w:rsidRPr="00234759">
              <w:rPr>
                <w:sz w:val="22"/>
                <w:szCs w:val="22"/>
              </w:rPr>
              <w:t>Cochez l'une des deux cases pour chaque texte</w:t>
            </w:r>
          </w:p>
        </w:tc>
      </w:tr>
      <w:tr w:rsidR="00AD3FE5" w:rsidRPr="00234759" w14:paraId="4EFCE0C0" w14:textId="77777777" w:rsidTr="00B5153A">
        <w:trPr>
          <w:trHeight w:val="646"/>
        </w:trPr>
        <w:tc>
          <w:tcPr>
            <w:tcW w:w="2122" w:type="dxa"/>
            <w:vMerge w:val="restart"/>
            <w:vAlign w:val="center"/>
          </w:tcPr>
          <w:p w14:paraId="31AF2D9F" w14:textId="5B892057" w:rsidR="00AD3FE5" w:rsidRPr="00234759" w:rsidRDefault="00AD3FE5" w:rsidP="00B5153A">
            <w:pPr>
              <w:pStyle w:val="TableText"/>
              <w:jc w:val="center"/>
              <w:rPr>
                <w:b/>
                <w:szCs w:val="22"/>
              </w:rPr>
            </w:pPr>
            <w:r w:rsidRPr="00234759">
              <w:rPr>
                <w:b/>
                <w:szCs w:val="22"/>
              </w:rPr>
              <w:t xml:space="preserve">Projet de nouvelle Recommandation UIT-T X.1062 (anciennement </w:t>
            </w:r>
            <w:proofErr w:type="spellStart"/>
            <w:proofErr w:type="gramStart"/>
            <w:r w:rsidRPr="00234759">
              <w:rPr>
                <w:b/>
                <w:szCs w:val="22"/>
              </w:rPr>
              <w:t>X.shcd</w:t>
            </w:r>
            <w:proofErr w:type="spellEnd"/>
            <w:proofErr w:type="gramEnd"/>
            <w:r w:rsidRPr="00234759">
              <w:rPr>
                <w:b/>
                <w:szCs w:val="22"/>
              </w:rPr>
              <w:t>)</w:t>
            </w:r>
          </w:p>
        </w:tc>
        <w:tc>
          <w:tcPr>
            <w:tcW w:w="7597" w:type="dxa"/>
          </w:tcPr>
          <w:p w14:paraId="698C0F35" w14:textId="1D9DC104" w:rsidR="00AD3FE5" w:rsidRPr="00234759" w:rsidRDefault="00AD3FE5" w:rsidP="00B5153A">
            <w:pPr>
              <w:pStyle w:val="enumlev1"/>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00B5153A" w:rsidRPr="00234759">
              <w:rPr>
                <w:sz w:val="22"/>
                <w:szCs w:val="22"/>
              </w:rPr>
              <w:tab/>
            </w:r>
            <w:r w:rsidRPr="00234759">
              <w:rPr>
                <w:b/>
                <w:bCs/>
                <w:sz w:val="22"/>
                <w:szCs w:val="22"/>
              </w:rPr>
              <w:t>Autorise</w:t>
            </w:r>
            <w:r w:rsidRPr="00234759">
              <w:rPr>
                <w:sz w:val="22"/>
                <w:szCs w:val="22"/>
              </w:rPr>
              <w:t xml:space="preserve"> la Commission d'études 17 à procéder à l'examen de ce document en vue de son approbation (dans ce cas, sélectionnez l'une des deux options ⃝</w:t>
            </w:r>
            <w:proofErr w:type="gramStart"/>
            <w:r w:rsidRPr="00234759">
              <w:rPr>
                <w:sz w:val="22"/>
                <w:szCs w:val="22"/>
              </w:rPr>
              <w:t>):</w:t>
            </w:r>
            <w:proofErr w:type="gramEnd"/>
          </w:p>
          <w:p w14:paraId="3D3046B6" w14:textId="77777777" w:rsidR="00AD3FE5" w:rsidRPr="00234759" w:rsidRDefault="00AD3FE5" w:rsidP="00B5153A">
            <w:pPr>
              <w:pStyle w:val="enumlev2"/>
              <w:rPr>
                <w:sz w:val="22"/>
                <w:szCs w:val="22"/>
              </w:rPr>
            </w:pPr>
            <w:r w:rsidRPr="00234759">
              <w:rPr>
                <w:sz w:val="22"/>
                <w:szCs w:val="22"/>
              </w:rPr>
              <w:t>⃝</w:t>
            </w:r>
            <w:r w:rsidRPr="00234759">
              <w:rPr>
                <w:sz w:val="22"/>
                <w:szCs w:val="22"/>
              </w:rPr>
              <w:tab/>
              <w:t>Pas de commentaire ou de proposition de modification.</w:t>
            </w:r>
          </w:p>
          <w:p w14:paraId="2875EC74" w14:textId="00158186" w:rsidR="00AD3FE5" w:rsidRPr="00234759" w:rsidRDefault="00AD3FE5" w:rsidP="00B5153A">
            <w:pPr>
              <w:pStyle w:val="enumlev2"/>
              <w:spacing w:after="80"/>
              <w:rPr>
                <w:sz w:val="22"/>
                <w:szCs w:val="22"/>
              </w:rPr>
            </w:pPr>
            <w:r w:rsidRPr="00234759">
              <w:rPr>
                <w:sz w:val="22"/>
                <w:szCs w:val="22"/>
              </w:rPr>
              <w:t>⃝</w:t>
            </w:r>
            <w:r w:rsidRPr="00234759">
              <w:rPr>
                <w:sz w:val="22"/>
                <w:szCs w:val="22"/>
              </w:rPr>
              <w:tab/>
              <w:t>Des commentaires ou propositions de modification sont joints à la présente.</w:t>
            </w:r>
          </w:p>
        </w:tc>
      </w:tr>
      <w:tr w:rsidR="00AD3FE5" w:rsidRPr="00234759" w14:paraId="7665B1DB" w14:textId="77777777" w:rsidTr="00B5153A">
        <w:trPr>
          <w:trHeight w:val="645"/>
        </w:trPr>
        <w:tc>
          <w:tcPr>
            <w:tcW w:w="2122" w:type="dxa"/>
            <w:vMerge/>
            <w:vAlign w:val="center"/>
          </w:tcPr>
          <w:p w14:paraId="3B830BF3" w14:textId="77777777" w:rsidR="00AD3FE5" w:rsidRPr="00234759" w:rsidRDefault="00AD3FE5" w:rsidP="00B5153A">
            <w:pPr>
              <w:pStyle w:val="TableText"/>
              <w:jc w:val="center"/>
              <w:rPr>
                <w:b/>
                <w:szCs w:val="22"/>
              </w:rPr>
            </w:pPr>
          </w:p>
        </w:tc>
        <w:tc>
          <w:tcPr>
            <w:tcW w:w="7597" w:type="dxa"/>
          </w:tcPr>
          <w:p w14:paraId="2D6E2A9E" w14:textId="62793F58" w:rsidR="00AD3FE5" w:rsidRPr="00234759" w:rsidRDefault="00B5153A" w:rsidP="00B5153A">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N'autorise pas</w:t>
            </w:r>
            <w:r w:rsidRPr="00234759">
              <w:rPr>
                <w:sz w:val="22"/>
                <w:szCs w:val="22"/>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B5153A" w:rsidRPr="00234759" w14:paraId="2C520CA5" w14:textId="77777777" w:rsidTr="00B5153A">
        <w:trPr>
          <w:trHeight w:val="646"/>
        </w:trPr>
        <w:tc>
          <w:tcPr>
            <w:tcW w:w="2122" w:type="dxa"/>
            <w:vMerge w:val="restart"/>
            <w:vAlign w:val="center"/>
          </w:tcPr>
          <w:p w14:paraId="564711F2" w14:textId="7FF411B9" w:rsidR="00B5153A" w:rsidRPr="00234759" w:rsidRDefault="00B5153A" w:rsidP="00B5153A">
            <w:pPr>
              <w:pStyle w:val="TableText"/>
              <w:jc w:val="center"/>
              <w:rPr>
                <w:b/>
                <w:szCs w:val="22"/>
              </w:rPr>
            </w:pPr>
            <w:r w:rsidRPr="00234759">
              <w:rPr>
                <w:b/>
                <w:szCs w:val="22"/>
              </w:rPr>
              <w:t xml:space="preserve">Projet de nouvelle Recommandation UIT-T X.1238 (anciennement </w:t>
            </w:r>
            <w:proofErr w:type="spellStart"/>
            <w:r w:rsidRPr="00234759">
              <w:rPr>
                <w:b/>
                <w:szCs w:val="22"/>
              </w:rPr>
              <w:t>X.sgc-rcs</w:t>
            </w:r>
            <w:proofErr w:type="spellEnd"/>
            <w:r w:rsidRPr="00234759">
              <w:rPr>
                <w:b/>
                <w:szCs w:val="22"/>
              </w:rPr>
              <w:t>)</w:t>
            </w:r>
          </w:p>
        </w:tc>
        <w:tc>
          <w:tcPr>
            <w:tcW w:w="7597" w:type="dxa"/>
          </w:tcPr>
          <w:p w14:paraId="000E760B" w14:textId="3B3CB646" w:rsidR="00B5153A" w:rsidRPr="00234759" w:rsidRDefault="00B5153A" w:rsidP="00B5153A">
            <w:pPr>
              <w:pStyle w:val="enumlev1"/>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Autorise</w:t>
            </w:r>
            <w:r w:rsidRPr="00234759">
              <w:rPr>
                <w:sz w:val="22"/>
                <w:szCs w:val="22"/>
              </w:rPr>
              <w:t xml:space="preserve"> la Commission d'études 17 à procéder à l'examen de ce document en vue de son approbation (dans ce cas, sélectionnez l'une des deux options ⃝</w:t>
            </w:r>
            <w:proofErr w:type="gramStart"/>
            <w:r w:rsidRPr="00234759">
              <w:rPr>
                <w:sz w:val="22"/>
                <w:szCs w:val="22"/>
              </w:rPr>
              <w:t>):</w:t>
            </w:r>
            <w:proofErr w:type="gramEnd"/>
          </w:p>
          <w:p w14:paraId="45D344CF" w14:textId="77777777" w:rsidR="00B5153A" w:rsidRPr="00234759" w:rsidRDefault="00B5153A" w:rsidP="00B5153A">
            <w:pPr>
              <w:pStyle w:val="enumlev2"/>
              <w:rPr>
                <w:sz w:val="22"/>
                <w:szCs w:val="22"/>
              </w:rPr>
            </w:pPr>
            <w:r w:rsidRPr="00234759">
              <w:rPr>
                <w:sz w:val="22"/>
                <w:szCs w:val="22"/>
              </w:rPr>
              <w:t>⃝</w:t>
            </w:r>
            <w:r w:rsidRPr="00234759">
              <w:rPr>
                <w:sz w:val="22"/>
                <w:szCs w:val="22"/>
              </w:rPr>
              <w:tab/>
              <w:t>Pas de commentaire ou de proposition de modification.</w:t>
            </w:r>
          </w:p>
          <w:p w14:paraId="7F8855D7" w14:textId="5503979C" w:rsidR="00B5153A" w:rsidRPr="00234759" w:rsidRDefault="00B5153A" w:rsidP="00B5153A">
            <w:pPr>
              <w:pStyle w:val="enumlev2"/>
              <w:spacing w:after="80"/>
              <w:rPr>
                <w:sz w:val="22"/>
                <w:szCs w:val="22"/>
              </w:rPr>
            </w:pPr>
            <w:r w:rsidRPr="00234759">
              <w:rPr>
                <w:sz w:val="22"/>
                <w:szCs w:val="22"/>
              </w:rPr>
              <w:t>⃝</w:t>
            </w:r>
            <w:r w:rsidRPr="00234759">
              <w:rPr>
                <w:sz w:val="22"/>
                <w:szCs w:val="22"/>
              </w:rPr>
              <w:tab/>
              <w:t>Des commentaires ou propositions de modification sont joints à la présente.</w:t>
            </w:r>
          </w:p>
        </w:tc>
      </w:tr>
      <w:tr w:rsidR="00B5153A" w:rsidRPr="00234759" w14:paraId="1EB8165D" w14:textId="77777777" w:rsidTr="00B5153A">
        <w:trPr>
          <w:trHeight w:val="645"/>
        </w:trPr>
        <w:tc>
          <w:tcPr>
            <w:tcW w:w="2122" w:type="dxa"/>
            <w:vMerge/>
            <w:vAlign w:val="center"/>
          </w:tcPr>
          <w:p w14:paraId="6B7E0410" w14:textId="77777777" w:rsidR="00B5153A" w:rsidRPr="00234759" w:rsidRDefault="00B5153A" w:rsidP="00B5153A">
            <w:pPr>
              <w:pStyle w:val="TableText"/>
              <w:jc w:val="center"/>
              <w:rPr>
                <w:b/>
                <w:szCs w:val="22"/>
              </w:rPr>
            </w:pPr>
          </w:p>
        </w:tc>
        <w:tc>
          <w:tcPr>
            <w:tcW w:w="7597" w:type="dxa"/>
          </w:tcPr>
          <w:p w14:paraId="5C6EB8E5" w14:textId="4919806D" w:rsidR="00B5153A" w:rsidRPr="00234759" w:rsidRDefault="00B5153A" w:rsidP="00B5153A">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N'autorise pas</w:t>
            </w:r>
            <w:r w:rsidRPr="00234759">
              <w:rPr>
                <w:sz w:val="22"/>
                <w:szCs w:val="22"/>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B5153A" w:rsidRPr="00234759" w14:paraId="16D653A9" w14:textId="77777777" w:rsidTr="00B5153A">
        <w:trPr>
          <w:trHeight w:val="836"/>
        </w:trPr>
        <w:tc>
          <w:tcPr>
            <w:tcW w:w="2122" w:type="dxa"/>
            <w:vMerge w:val="restart"/>
            <w:vAlign w:val="center"/>
          </w:tcPr>
          <w:p w14:paraId="62BBF360" w14:textId="621714D4" w:rsidR="00B5153A" w:rsidRPr="00234759" w:rsidRDefault="00B5153A" w:rsidP="00B5153A">
            <w:pPr>
              <w:pStyle w:val="TableText"/>
              <w:jc w:val="center"/>
              <w:rPr>
                <w:b/>
                <w:szCs w:val="22"/>
              </w:rPr>
            </w:pPr>
            <w:r w:rsidRPr="00234759">
              <w:rPr>
                <w:b/>
                <w:szCs w:val="22"/>
              </w:rPr>
              <w:t xml:space="preserve">Projet de nouvelle Recommandation UIT-T X.1128 </w:t>
            </w:r>
            <w:r w:rsidRPr="00234759">
              <w:rPr>
                <w:b/>
                <w:szCs w:val="22"/>
              </w:rPr>
              <w:lastRenderedPageBreak/>
              <w:t>(anciennement X.mt-</w:t>
            </w:r>
            <w:proofErr w:type="spellStart"/>
            <w:r w:rsidRPr="00234759">
              <w:rPr>
                <w:b/>
                <w:szCs w:val="22"/>
              </w:rPr>
              <w:t>feature</w:t>
            </w:r>
            <w:proofErr w:type="spellEnd"/>
            <w:r w:rsidRPr="00234759">
              <w:rPr>
                <w:b/>
                <w:szCs w:val="22"/>
              </w:rPr>
              <w:t>)</w:t>
            </w:r>
          </w:p>
        </w:tc>
        <w:tc>
          <w:tcPr>
            <w:tcW w:w="7597" w:type="dxa"/>
          </w:tcPr>
          <w:p w14:paraId="3E0091B9" w14:textId="186EDE92" w:rsidR="00B5153A" w:rsidRPr="00234759" w:rsidRDefault="00B5153A" w:rsidP="00B5153A">
            <w:pPr>
              <w:pStyle w:val="enumlev1"/>
              <w:rPr>
                <w:sz w:val="22"/>
                <w:szCs w:val="22"/>
              </w:rPr>
            </w:pPr>
            <w:r w:rsidRPr="00234759">
              <w:rPr>
                <w:sz w:val="22"/>
                <w:szCs w:val="22"/>
              </w:rPr>
              <w:lastRenderedPageBreak/>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Autorise</w:t>
            </w:r>
            <w:r w:rsidRPr="00234759">
              <w:rPr>
                <w:sz w:val="22"/>
                <w:szCs w:val="22"/>
              </w:rPr>
              <w:t xml:space="preserve"> la Commission d'études 17 à procéder à l'examen de ce document en vue de son approbation (dans ce cas, sélectionnez l'une des deux options ⃝</w:t>
            </w:r>
            <w:proofErr w:type="gramStart"/>
            <w:r w:rsidRPr="00234759">
              <w:rPr>
                <w:sz w:val="22"/>
                <w:szCs w:val="22"/>
              </w:rPr>
              <w:t>):</w:t>
            </w:r>
            <w:proofErr w:type="gramEnd"/>
          </w:p>
          <w:p w14:paraId="36E32F6A" w14:textId="77777777" w:rsidR="00B5153A" w:rsidRPr="00234759" w:rsidRDefault="00B5153A" w:rsidP="00B5153A">
            <w:pPr>
              <w:pStyle w:val="enumlev2"/>
              <w:rPr>
                <w:sz w:val="22"/>
                <w:szCs w:val="22"/>
              </w:rPr>
            </w:pPr>
            <w:r w:rsidRPr="00234759">
              <w:rPr>
                <w:sz w:val="22"/>
                <w:szCs w:val="22"/>
              </w:rPr>
              <w:t>⃝</w:t>
            </w:r>
            <w:r w:rsidRPr="00234759">
              <w:rPr>
                <w:sz w:val="22"/>
                <w:szCs w:val="22"/>
              </w:rPr>
              <w:tab/>
              <w:t>Pas de commentaire ou de proposition de modification.</w:t>
            </w:r>
          </w:p>
          <w:p w14:paraId="5F74971E" w14:textId="705D4ED1" w:rsidR="00B5153A" w:rsidRPr="00234759" w:rsidRDefault="00B5153A" w:rsidP="00B5153A">
            <w:pPr>
              <w:pStyle w:val="enumlev2"/>
              <w:spacing w:after="80"/>
              <w:rPr>
                <w:sz w:val="22"/>
                <w:szCs w:val="22"/>
              </w:rPr>
            </w:pPr>
            <w:r w:rsidRPr="00234759">
              <w:rPr>
                <w:sz w:val="22"/>
                <w:szCs w:val="22"/>
              </w:rPr>
              <w:lastRenderedPageBreak/>
              <w:t>⃝</w:t>
            </w:r>
            <w:r w:rsidRPr="00234759">
              <w:rPr>
                <w:sz w:val="22"/>
                <w:szCs w:val="22"/>
              </w:rPr>
              <w:tab/>
              <w:t>Des commentaires ou propositions de modification sont joints à la présente.</w:t>
            </w:r>
          </w:p>
        </w:tc>
      </w:tr>
      <w:tr w:rsidR="00B5153A" w:rsidRPr="00234759" w14:paraId="4BE9350E" w14:textId="77777777" w:rsidTr="00B5153A">
        <w:trPr>
          <w:trHeight w:val="835"/>
        </w:trPr>
        <w:tc>
          <w:tcPr>
            <w:tcW w:w="2122" w:type="dxa"/>
            <w:vMerge/>
            <w:vAlign w:val="center"/>
          </w:tcPr>
          <w:p w14:paraId="464E4700" w14:textId="77777777" w:rsidR="00B5153A" w:rsidRPr="00234759" w:rsidRDefault="00B5153A" w:rsidP="00B5153A">
            <w:pPr>
              <w:pStyle w:val="TableText"/>
              <w:jc w:val="center"/>
              <w:rPr>
                <w:b/>
                <w:szCs w:val="22"/>
              </w:rPr>
            </w:pPr>
          </w:p>
        </w:tc>
        <w:tc>
          <w:tcPr>
            <w:tcW w:w="7597" w:type="dxa"/>
          </w:tcPr>
          <w:p w14:paraId="4406975A" w14:textId="6C15CB79" w:rsidR="00B5153A" w:rsidRPr="00234759" w:rsidRDefault="00B5153A" w:rsidP="00B5153A">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N'autorise pas</w:t>
            </w:r>
            <w:r w:rsidRPr="00234759">
              <w:rPr>
                <w:sz w:val="22"/>
                <w:szCs w:val="22"/>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B5153A" w:rsidRPr="00234759" w14:paraId="521921C8" w14:textId="77777777" w:rsidTr="00B5153A">
        <w:trPr>
          <w:trHeight w:val="381"/>
        </w:trPr>
        <w:tc>
          <w:tcPr>
            <w:tcW w:w="2122" w:type="dxa"/>
            <w:vMerge w:val="restart"/>
            <w:vAlign w:val="center"/>
          </w:tcPr>
          <w:p w14:paraId="4B69E5FF" w14:textId="3762F44E" w:rsidR="00B5153A" w:rsidRPr="00234759" w:rsidRDefault="00B5153A" w:rsidP="00B5153A">
            <w:pPr>
              <w:pStyle w:val="TableText"/>
              <w:jc w:val="center"/>
              <w:rPr>
                <w:b/>
                <w:szCs w:val="22"/>
              </w:rPr>
            </w:pPr>
            <w:r w:rsidRPr="00234759">
              <w:rPr>
                <w:b/>
                <w:szCs w:val="22"/>
              </w:rPr>
              <w:t>Projet de nouvelle Recommandation UIT-T X.1129 (anciennement X.mt-</w:t>
            </w:r>
            <w:proofErr w:type="spellStart"/>
            <w:r w:rsidRPr="00234759">
              <w:rPr>
                <w:b/>
                <w:szCs w:val="22"/>
              </w:rPr>
              <w:t>integrity</w:t>
            </w:r>
            <w:proofErr w:type="spellEnd"/>
            <w:r w:rsidRPr="00234759">
              <w:rPr>
                <w:b/>
                <w:szCs w:val="22"/>
              </w:rPr>
              <w:t>)</w:t>
            </w:r>
          </w:p>
        </w:tc>
        <w:tc>
          <w:tcPr>
            <w:tcW w:w="7597" w:type="dxa"/>
          </w:tcPr>
          <w:p w14:paraId="5EB35BA7" w14:textId="77777777" w:rsidR="00B5153A" w:rsidRPr="00234759" w:rsidRDefault="00B5153A" w:rsidP="00B5153A">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Autorise</w:t>
            </w:r>
            <w:r w:rsidRPr="00234759">
              <w:rPr>
                <w:sz w:val="22"/>
                <w:szCs w:val="22"/>
              </w:rPr>
              <w:t xml:space="preserve"> la Commission d'études 17 à procéder à l'examen de ce document en vue de son approbation (dans ce cas, sélectionnez l'une des deux options ⃝</w:t>
            </w:r>
            <w:proofErr w:type="gramStart"/>
            <w:r w:rsidRPr="00234759">
              <w:rPr>
                <w:sz w:val="22"/>
                <w:szCs w:val="22"/>
              </w:rPr>
              <w:t>):</w:t>
            </w:r>
            <w:proofErr w:type="gramEnd"/>
          </w:p>
          <w:p w14:paraId="21CFF414" w14:textId="77777777" w:rsidR="00B5153A" w:rsidRPr="00234759" w:rsidRDefault="00B5153A" w:rsidP="00B5153A">
            <w:pPr>
              <w:pStyle w:val="enumlev2"/>
              <w:rPr>
                <w:sz w:val="22"/>
                <w:szCs w:val="22"/>
              </w:rPr>
            </w:pPr>
            <w:r w:rsidRPr="00234759">
              <w:rPr>
                <w:sz w:val="22"/>
                <w:szCs w:val="22"/>
              </w:rPr>
              <w:t>⃝</w:t>
            </w:r>
            <w:r w:rsidRPr="00234759">
              <w:rPr>
                <w:sz w:val="22"/>
                <w:szCs w:val="22"/>
              </w:rPr>
              <w:tab/>
              <w:t>Pas de commentaire ou de proposition de modification.</w:t>
            </w:r>
          </w:p>
          <w:p w14:paraId="38A94DC4" w14:textId="41D37802" w:rsidR="00B5153A" w:rsidRPr="00234759" w:rsidRDefault="00B5153A" w:rsidP="007134B5">
            <w:pPr>
              <w:pStyle w:val="enumlev2"/>
              <w:spacing w:after="80"/>
              <w:rPr>
                <w:sz w:val="22"/>
                <w:szCs w:val="22"/>
              </w:rPr>
            </w:pPr>
            <w:r w:rsidRPr="00234759">
              <w:rPr>
                <w:sz w:val="22"/>
                <w:szCs w:val="22"/>
              </w:rPr>
              <w:t>⃝</w:t>
            </w:r>
            <w:r w:rsidRPr="00234759">
              <w:rPr>
                <w:sz w:val="22"/>
                <w:szCs w:val="22"/>
              </w:rPr>
              <w:tab/>
              <w:t>Des commentaires ou propositions de modification sont joints à la présente.</w:t>
            </w:r>
          </w:p>
        </w:tc>
      </w:tr>
      <w:tr w:rsidR="00B5153A" w:rsidRPr="00234759" w14:paraId="6819DE31" w14:textId="77777777" w:rsidTr="00B5153A">
        <w:trPr>
          <w:trHeight w:val="380"/>
        </w:trPr>
        <w:tc>
          <w:tcPr>
            <w:tcW w:w="2122" w:type="dxa"/>
            <w:vMerge/>
            <w:vAlign w:val="center"/>
          </w:tcPr>
          <w:p w14:paraId="2F397966" w14:textId="77777777" w:rsidR="00B5153A" w:rsidRPr="00234759" w:rsidRDefault="00B5153A" w:rsidP="00B5153A">
            <w:pPr>
              <w:pStyle w:val="TableText"/>
              <w:jc w:val="center"/>
              <w:rPr>
                <w:b/>
                <w:szCs w:val="22"/>
              </w:rPr>
            </w:pPr>
          </w:p>
        </w:tc>
        <w:tc>
          <w:tcPr>
            <w:tcW w:w="7597" w:type="dxa"/>
          </w:tcPr>
          <w:p w14:paraId="4AF30529" w14:textId="43ACE176" w:rsidR="00B5153A" w:rsidRPr="00234759" w:rsidRDefault="00B5153A" w:rsidP="00B5153A">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N'autorise pas</w:t>
            </w:r>
            <w:r w:rsidRPr="00234759">
              <w:rPr>
                <w:sz w:val="22"/>
                <w:szCs w:val="22"/>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B5153A" w:rsidRPr="00234759" w14:paraId="4F3D865C" w14:textId="77777777" w:rsidTr="00B5153A">
        <w:trPr>
          <w:trHeight w:val="381"/>
        </w:trPr>
        <w:tc>
          <w:tcPr>
            <w:tcW w:w="2122" w:type="dxa"/>
            <w:vMerge w:val="restart"/>
            <w:vAlign w:val="center"/>
          </w:tcPr>
          <w:p w14:paraId="1724D1D1" w14:textId="4F0930C8" w:rsidR="00B5153A" w:rsidRPr="00234759" w:rsidRDefault="00B5153A" w:rsidP="00B5153A">
            <w:pPr>
              <w:pStyle w:val="TableText"/>
              <w:jc w:val="center"/>
              <w:rPr>
                <w:b/>
                <w:szCs w:val="22"/>
              </w:rPr>
            </w:pPr>
            <w:r w:rsidRPr="00234759">
              <w:rPr>
                <w:b/>
                <w:szCs w:val="22"/>
              </w:rPr>
              <w:t>Projet de nouvelle Recommandation UIT-T X.1130 (anciennement X.tg</w:t>
            </w:r>
            <w:r w:rsidRPr="00234759">
              <w:rPr>
                <w:b/>
                <w:szCs w:val="22"/>
              </w:rPr>
              <w:noBreakHyphen/>
            </w:r>
            <w:proofErr w:type="spellStart"/>
            <w:r w:rsidRPr="00234759">
              <w:rPr>
                <w:b/>
                <w:szCs w:val="22"/>
              </w:rPr>
              <w:t>fdma</w:t>
            </w:r>
            <w:proofErr w:type="spellEnd"/>
            <w:r w:rsidRPr="00234759">
              <w:rPr>
                <w:b/>
                <w:szCs w:val="22"/>
              </w:rPr>
              <w:t>)</w:t>
            </w:r>
          </w:p>
        </w:tc>
        <w:tc>
          <w:tcPr>
            <w:tcW w:w="7597" w:type="dxa"/>
          </w:tcPr>
          <w:p w14:paraId="60B52C20" w14:textId="77777777" w:rsidR="00B5153A" w:rsidRPr="00234759" w:rsidRDefault="00B5153A" w:rsidP="00B5153A">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Autorise</w:t>
            </w:r>
            <w:r w:rsidRPr="00234759">
              <w:rPr>
                <w:sz w:val="22"/>
                <w:szCs w:val="22"/>
              </w:rPr>
              <w:t xml:space="preserve"> la Commission d'études 17 à procéder à l'examen de ce document en vue de son approbation (dans ce cas, sélectionnez l'une des deux options ⃝</w:t>
            </w:r>
            <w:proofErr w:type="gramStart"/>
            <w:r w:rsidRPr="00234759">
              <w:rPr>
                <w:sz w:val="22"/>
                <w:szCs w:val="22"/>
              </w:rPr>
              <w:t>):</w:t>
            </w:r>
            <w:proofErr w:type="gramEnd"/>
          </w:p>
          <w:p w14:paraId="216ABC11" w14:textId="77777777" w:rsidR="00B5153A" w:rsidRPr="00234759" w:rsidRDefault="00B5153A" w:rsidP="00B5153A">
            <w:pPr>
              <w:pStyle w:val="enumlev2"/>
              <w:rPr>
                <w:sz w:val="22"/>
                <w:szCs w:val="22"/>
              </w:rPr>
            </w:pPr>
            <w:r w:rsidRPr="00234759">
              <w:rPr>
                <w:sz w:val="22"/>
                <w:szCs w:val="22"/>
              </w:rPr>
              <w:t>⃝</w:t>
            </w:r>
            <w:r w:rsidRPr="00234759">
              <w:rPr>
                <w:sz w:val="22"/>
                <w:szCs w:val="22"/>
              </w:rPr>
              <w:tab/>
              <w:t>Pas de commentaire ou de proposition de modification.</w:t>
            </w:r>
          </w:p>
          <w:p w14:paraId="7A9207AE" w14:textId="16BD95FF" w:rsidR="00B5153A" w:rsidRPr="00234759" w:rsidRDefault="00B5153A" w:rsidP="007134B5">
            <w:pPr>
              <w:pStyle w:val="enumlev2"/>
              <w:spacing w:after="80"/>
              <w:rPr>
                <w:sz w:val="22"/>
                <w:szCs w:val="22"/>
              </w:rPr>
            </w:pPr>
            <w:r w:rsidRPr="00234759">
              <w:rPr>
                <w:sz w:val="22"/>
                <w:szCs w:val="22"/>
              </w:rPr>
              <w:t>⃝</w:t>
            </w:r>
            <w:r w:rsidRPr="00234759">
              <w:rPr>
                <w:sz w:val="22"/>
                <w:szCs w:val="22"/>
              </w:rPr>
              <w:tab/>
              <w:t>Des commentaires ou propositions de modification sont joints à la présente.</w:t>
            </w:r>
          </w:p>
        </w:tc>
      </w:tr>
      <w:tr w:rsidR="00B5153A" w:rsidRPr="00234759" w14:paraId="6DBDB291" w14:textId="77777777" w:rsidTr="00B5153A">
        <w:trPr>
          <w:trHeight w:val="380"/>
        </w:trPr>
        <w:tc>
          <w:tcPr>
            <w:tcW w:w="2122" w:type="dxa"/>
            <w:vMerge/>
            <w:vAlign w:val="center"/>
          </w:tcPr>
          <w:p w14:paraId="3D3FCE35" w14:textId="77777777" w:rsidR="00B5153A" w:rsidRPr="00234759" w:rsidRDefault="00B5153A" w:rsidP="00B5153A">
            <w:pPr>
              <w:pStyle w:val="TableText"/>
              <w:jc w:val="center"/>
              <w:rPr>
                <w:b/>
                <w:szCs w:val="22"/>
              </w:rPr>
            </w:pPr>
          </w:p>
        </w:tc>
        <w:tc>
          <w:tcPr>
            <w:tcW w:w="7597" w:type="dxa"/>
          </w:tcPr>
          <w:p w14:paraId="53D6AD28" w14:textId="077CC28F" w:rsidR="00B5153A" w:rsidRPr="00234759" w:rsidRDefault="00B5153A" w:rsidP="00B5153A">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N'autorise pas</w:t>
            </w:r>
            <w:r w:rsidRPr="00234759">
              <w:rPr>
                <w:sz w:val="22"/>
                <w:szCs w:val="22"/>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C9035B" w:rsidRPr="00234759" w14:paraId="54D13EE8" w14:textId="77777777" w:rsidTr="00C9035B">
        <w:trPr>
          <w:trHeight w:val="646"/>
        </w:trPr>
        <w:tc>
          <w:tcPr>
            <w:tcW w:w="2122" w:type="dxa"/>
            <w:vMerge w:val="restart"/>
            <w:vAlign w:val="center"/>
          </w:tcPr>
          <w:p w14:paraId="495E665D" w14:textId="47BB4467" w:rsidR="00C9035B" w:rsidRPr="00234759" w:rsidRDefault="00C9035B" w:rsidP="00B5153A">
            <w:pPr>
              <w:pStyle w:val="TableText"/>
              <w:jc w:val="center"/>
              <w:rPr>
                <w:b/>
                <w:szCs w:val="22"/>
              </w:rPr>
            </w:pPr>
            <w:r w:rsidRPr="00234759">
              <w:rPr>
                <w:b/>
                <w:szCs w:val="22"/>
              </w:rPr>
              <w:t xml:space="preserve">Projet de nouvelle Recommandation UIT-T X.1457 (anciennement </w:t>
            </w:r>
            <w:proofErr w:type="spellStart"/>
            <w:r w:rsidRPr="00234759">
              <w:rPr>
                <w:b/>
                <w:szCs w:val="22"/>
              </w:rPr>
              <w:t>X.str-irs</w:t>
            </w:r>
            <w:proofErr w:type="spellEnd"/>
            <w:r w:rsidRPr="00234759">
              <w:rPr>
                <w:b/>
                <w:szCs w:val="22"/>
              </w:rPr>
              <w:t>)</w:t>
            </w:r>
          </w:p>
        </w:tc>
        <w:tc>
          <w:tcPr>
            <w:tcW w:w="7597" w:type="dxa"/>
          </w:tcPr>
          <w:p w14:paraId="344878A6" w14:textId="77777777" w:rsidR="00C9035B" w:rsidRPr="00234759" w:rsidRDefault="00C9035B" w:rsidP="00C9035B">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Autorise</w:t>
            </w:r>
            <w:r w:rsidRPr="00234759">
              <w:rPr>
                <w:sz w:val="22"/>
                <w:szCs w:val="22"/>
              </w:rPr>
              <w:t xml:space="preserve"> la Commission d'études 17 à procéder à l'examen de ce document en vue de son approbation (dans ce cas, sélectionnez l'une des deux options ⃝</w:t>
            </w:r>
            <w:proofErr w:type="gramStart"/>
            <w:r w:rsidRPr="00234759">
              <w:rPr>
                <w:sz w:val="22"/>
                <w:szCs w:val="22"/>
              </w:rPr>
              <w:t>):</w:t>
            </w:r>
            <w:proofErr w:type="gramEnd"/>
          </w:p>
          <w:p w14:paraId="5B495630" w14:textId="77777777" w:rsidR="00C9035B" w:rsidRPr="00234759" w:rsidRDefault="00C9035B" w:rsidP="00C9035B">
            <w:pPr>
              <w:pStyle w:val="enumlev2"/>
              <w:rPr>
                <w:sz w:val="22"/>
                <w:szCs w:val="22"/>
              </w:rPr>
            </w:pPr>
            <w:r w:rsidRPr="00234759">
              <w:rPr>
                <w:sz w:val="22"/>
                <w:szCs w:val="22"/>
              </w:rPr>
              <w:t>⃝</w:t>
            </w:r>
            <w:r w:rsidRPr="00234759">
              <w:rPr>
                <w:sz w:val="22"/>
                <w:szCs w:val="22"/>
              </w:rPr>
              <w:tab/>
              <w:t>Pas de commentaire ou de proposition de modification.</w:t>
            </w:r>
          </w:p>
          <w:p w14:paraId="4589DC32" w14:textId="277C6022" w:rsidR="00C9035B" w:rsidRPr="00234759" w:rsidRDefault="00C9035B" w:rsidP="007134B5">
            <w:pPr>
              <w:pStyle w:val="enumlev2"/>
              <w:spacing w:after="80"/>
              <w:rPr>
                <w:sz w:val="22"/>
                <w:szCs w:val="22"/>
              </w:rPr>
            </w:pPr>
            <w:r w:rsidRPr="00234759">
              <w:rPr>
                <w:sz w:val="22"/>
                <w:szCs w:val="22"/>
              </w:rPr>
              <w:t>⃝</w:t>
            </w:r>
            <w:r w:rsidRPr="00234759">
              <w:rPr>
                <w:sz w:val="22"/>
                <w:szCs w:val="22"/>
              </w:rPr>
              <w:tab/>
              <w:t>Des commentaires ou propositions de modification sont joints à la présente.</w:t>
            </w:r>
          </w:p>
        </w:tc>
      </w:tr>
      <w:tr w:rsidR="00C9035B" w:rsidRPr="00234759" w14:paraId="1A9BF210" w14:textId="77777777" w:rsidTr="00B5153A">
        <w:trPr>
          <w:trHeight w:val="645"/>
        </w:trPr>
        <w:tc>
          <w:tcPr>
            <w:tcW w:w="2122" w:type="dxa"/>
            <w:vMerge/>
            <w:vAlign w:val="center"/>
          </w:tcPr>
          <w:p w14:paraId="3EAE9542" w14:textId="77777777" w:rsidR="00C9035B" w:rsidRPr="00234759" w:rsidRDefault="00C9035B" w:rsidP="00B5153A">
            <w:pPr>
              <w:pStyle w:val="TableText"/>
              <w:jc w:val="center"/>
              <w:rPr>
                <w:b/>
                <w:szCs w:val="22"/>
              </w:rPr>
            </w:pPr>
          </w:p>
        </w:tc>
        <w:tc>
          <w:tcPr>
            <w:tcW w:w="7597" w:type="dxa"/>
          </w:tcPr>
          <w:p w14:paraId="4AA0EC74" w14:textId="0595A387" w:rsidR="00C9035B" w:rsidRPr="00234759" w:rsidRDefault="00C9035B" w:rsidP="00B5153A">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N'autorise pas</w:t>
            </w:r>
            <w:r w:rsidRPr="00234759">
              <w:rPr>
                <w:sz w:val="22"/>
                <w:szCs w:val="22"/>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C9035B" w:rsidRPr="00234759" w14:paraId="3DD34A2F" w14:textId="77777777" w:rsidTr="00C9035B">
        <w:trPr>
          <w:trHeight w:val="381"/>
        </w:trPr>
        <w:tc>
          <w:tcPr>
            <w:tcW w:w="2122" w:type="dxa"/>
            <w:vMerge w:val="restart"/>
            <w:vAlign w:val="center"/>
          </w:tcPr>
          <w:p w14:paraId="33F209E8" w14:textId="33325BCC" w:rsidR="00C9035B" w:rsidRPr="00234759" w:rsidRDefault="00C9035B" w:rsidP="00B5153A">
            <w:pPr>
              <w:pStyle w:val="TableText"/>
              <w:jc w:val="center"/>
              <w:rPr>
                <w:b/>
                <w:szCs w:val="22"/>
              </w:rPr>
            </w:pPr>
            <w:r w:rsidRPr="00234759">
              <w:rPr>
                <w:b/>
                <w:szCs w:val="22"/>
              </w:rPr>
              <w:t xml:space="preserve">Projet de nouvelle Recommandation UIT-T X.1753 (anciennement </w:t>
            </w:r>
            <w:proofErr w:type="spellStart"/>
            <w:proofErr w:type="gramStart"/>
            <w:r w:rsidRPr="00234759">
              <w:rPr>
                <w:b/>
                <w:szCs w:val="22"/>
              </w:rPr>
              <w:t>X.gdsml</w:t>
            </w:r>
            <w:proofErr w:type="spellEnd"/>
            <w:proofErr w:type="gramEnd"/>
            <w:r w:rsidRPr="00234759">
              <w:rPr>
                <w:b/>
                <w:szCs w:val="22"/>
              </w:rPr>
              <w:t>)</w:t>
            </w:r>
          </w:p>
        </w:tc>
        <w:tc>
          <w:tcPr>
            <w:tcW w:w="7597" w:type="dxa"/>
          </w:tcPr>
          <w:p w14:paraId="3E8CEBBF" w14:textId="77777777" w:rsidR="00C9035B" w:rsidRPr="00234759" w:rsidRDefault="00C9035B" w:rsidP="00C9035B">
            <w:pPr>
              <w:pStyle w:val="enumlev1"/>
              <w:keepNext/>
              <w:keepLines/>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Autorise</w:t>
            </w:r>
            <w:r w:rsidRPr="00234759">
              <w:rPr>
                <w:sz w:val="22"/>
                <w:szCs w:val="22"/>
              </w:rPr>
              <w:t xml:space="preserve"> la Commission d'études 17 à procéder à l'examen de ce document en vue de son approbation (dans ce cas, sélectionnez l'une des deux options ⃝</w:t>
            </w:r>
            <w:proofErr w:type="gramStart"/>
            <w:r w:rsidRPr="00234759">
              <w:rPr>
                <w:sz w:val="22"/>
                <w:szCs w:val="22"/>
              </w:rPr>
              <w:t>):</w:t>
            </w:r>
            <w:proofErr w:type="gramEnd"/>
          </w:p>
          <w:p w14:paraId="517753E4" w14:textId="77777777" w:rsidR="00C9035B" w:rsidRPr="00234759" w:rsidRDefault="00C9035B" w:rsidP="00C9035B">
            <w:pPr>
              <w:pStyle w:val="enumlev2"/>
              <w:keepNext/>
              <w:keepLines/>
              <w:rPr>
                <w:sz w:val="22"/>
                <w:szCs w:val="22"/>
              </w:rPr>
            </w:pPr>
            <w:r w:rsidRPr="00234759">
              <w:rPr>
                <w:sz w:val="22"/>
                <w:szCs w:val="22"/>
              </w:rPr>
              <w:t>⃝</w:t>
            </w:r>
            <w:r w:rsidRPr="00234759">
              <w:rPr>
                <w:sz w:val="22"/>
                <w:szCs w:val="22"/>
              </w:rPr>
              <w:tab/>
              <w:t>Pas de commentaire ou de proposition de modification.</w:t>
            </w:r>
          </w:p>
          <w:p w14:paraId="6772E54B" w14:textId="2C453EF9" w:rsidR="00C9035B" w:rsidRPr="00234759" w:rsidRDefault="007134B5" w:rsidP="007134B5">
            <w:pPr>
              <w:pStyle w:val="enumlev2"/>
              <w:keepNext/>
              <w:keepLines/>
              <w:spacing w:after="80"/>
              <w:rPr>
                <w:sz w:val="22"/>
                <w:szCs w:val="22"/>
              </w:rPr>
            </w:pPr>
            <w:r w:rsidRPr="00234759">
              <w:rPr>
                <w:sz w:val="22"/>
                <w:szCs w:val="22"/>
              </w:rPr>
              <w:t>⃝</w:t>
            </w:r>
            <w:r w:rsidRPr="00234759">
              <w:rPr>
                <w:sz w:val="22"/>
                <w:szCs w:val="22"/>
              </w:rPr>
              <w:tab/>
            </w:r>
            <w:r w:rsidR="00C9035B" w:rsidRPr="00234759">
              <w:rPr>
                <w:sz w:val="22"/>
                <w:szCs w:val="22"/>
              </w:rPr>
              <w:t>Des commentaires ou propositions de modification sont joints à la présente.</w:t>
            </w:r>
          </w:p>
        </w:tc>
      </w:tr>
      <w:tr w:rsidR="00C9035B" w:rsidRPr="00234759" w14:paraId="22CD8F29" w14:textId="77777777" w:rsidTr="00B5153A">
        <w:trPr>
          <w:trHeight w:val="380"/>
        </w:trPr>
        <w:tc>
          <w:tcPr>
            <w:tcW w:w="2122" w:type="dxa"/>
            <w:vMerge/>
            <w:vAlign w:val="center"/>
          </w:tcPr>
          <w:p w14:paraId="33E1D8FD" w14:textId="77777777" w:rsidR="00C9035B" w:rsidRPr="00234759" w:rsidRDefault="00C9035B" w:rsidP="00B5153A">
            <w:pPr>
              <w:pStyle w:val="TableText"/>
              <w:jc w:val="center"/>
              <w:rPr>
                <w:b/>
                <w:szCs w:val="22"/>
              </w:rPr>
            </w:pPr>
          </w:p>
        </w:tc>
        <w:tc>
          <w:tcPr>
            <w:tcW w:w="7597" w:type="dxa"/>
          </w:tcPr>
          <w:p w14:paraId="7A4E2425" w14:textId="0DA89BA0" w:rsidR="00C9035B" w:rsidRPr="00234759" w:rsidRDefault="00C9035B" w:rsidP="00B5153A">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N'autorise pas</w:t>
            </w:r>
            <w:r w:rsidRPr="00234759">
              <w:rPr>
                <w:sz w:val="22"/>
                <w:szCs w:val="22"/>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C9035B" w:rsidRPr="00234759" w14:paraId="314F94A5" w14:textId="77777777" w:rsidTr="00C9035B">
        <w:trPr>
          <w:trHeight w:val="381"/>
        </w:trPr>
        <w:tc>
          <w:tcPr>
            <w:tcW w:w="2122" w:type="dxa"/>
            <w:vMerge w:val="restart"/>
            <w:vAlign w:val="center"/>
          </w:tcPr>
          <w:p w14:paraId="6A1999C8" w14:textId="4F79DDCB" w:rsidR="00C9035B" w:rsidRPr="00234759" w:rsidRDefault="00C9035B" w:rsidP="00B5153A">
            <w:pPr>
              <w:pStyle w:val="TableText"/>
              <w:jc w:val="center"/>
              <w:rPr>
                <w:b/>
                <w:szCs w:val="22"/>
              </w:rPr>
            </w:pPr>
            <w:r w:rsidRPr="00234759">
              <w:rPr>
                <w:b/>
                <w:szCs w:val="22"/>
              </w:rPr>
              <w:lastRenderedPageBreak/>
              <w:t xml:space="preserve">Projet de nouvelle Recommandation UIT-T X.1649 (anciennement </w:t>
            </w:r>
            <w:proofErr w:type="spellStart"/>
            <w:proofErr w:type="gramStart"/>
            <w:r w:rsidRPr="00234759">
              <w:rPr>
                <w:b/>
                <w:szCs w:val="22"/>
              </w:rPr>
              <w:t>X.sgmc</w:t>
            </w:r>
            <w:proofErr w:type="spellEnd"/>
            <w:proofErr w:type="gramEnd"/>
            <w:r w:rsidRPr="00234759">
              <w:rPr>
                <w:b/>
                <w:szCs w:val="22"/>
              </w:rPr>
              <w:t>)</w:t>
            </w:r>
          </w:p>
        </w:tc>
        <w:tc>
          <w:tcPr>
            <w:tcW w:w="7597" w:type="dxa"/>
          </w:tcPr>
          <w:p w14:paraId="4BE9B8DC" w14:textId="77777777" w:rsidR="00C9035B" w:rsidRPr="00234759" w:rsidRDefault="00C9035B" w:rsidP="00C9035B">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Autorise</w:t>
            </w:r>
            <w:r w:rsidRPr="00234759">
              <w:rPr>
                <w:sz w:val="22"/>
                <w:szCs w:val="22"/>
              </w:rPr>
              <w:t xml:space="preserve"> la Commission d'études 17 à procéder à l'examen de ce document en vue de son approbation (dans ce cas, sélectionnez l'une des deux options ⃝</w:t>
            </w:r>
            <w:proofErr w:type="gramStart"/>
            <w:r w:rsidRPr="00234759">
              <w:rPr>
                <w:sz w:val="22"/>
                <w:szCs w:val="22"/>
              </w:rPr>
              <w:t>):</w:t>
            </w:r>
            <w:proofErr w:type="gramEnd"/>
          </w:p>
          <w:p w14:paraId="6065BDFD" w14:textId="77777777" w:rsidR="00C9035B" w:rsidRPr="00234759" w:rsidRDefault="00C9035B" w:rsidP="00C9035B">
            <w:pPr>
              <w:pStyle w:val="enumlev2"/>
              <w:rPr>
                <w:sz w:val="22"/>
                <w:szCs w:val="22"/>
              </w:rPr>
            </w:pPr>
            <w:r w:rsidRPr="00234759">
              <w:rPr>
                <w:sz w:val="22"/>
                <w:szCs w:val="22"/>
              </w:rPr>
              <w:t>⃝</w:t>
            </w:r>
            <w:r w:rsidRPr="00234759">
              <w:rPr>
                <w:sz w:val="22"/>
                <w:szCs w:val="22"/>
              </w:rPr>
              <w:tab/>
              <w:t>Pas de commentaire ou de proposition de modification.</w:t>
            </w:r>
          </w:p>
          <w:p w14:paraId="732D70DC" w14:textId="3A368C98" w:rsidR="00C9035B" w:rsidRPr="00234759" w:rsidRDefault="00C9035B" w:rsidP="007134B5">
            <w:pPr>
              <w:pStyle w:val="enumlev2"/>
              <w:spacing w:after="80"/>
              <w:rPr>
                <w:sz w:val="22"/>
                <w:szCs w:val="22"/>
              </w:rPr>
            </w:pPr>
            <w:r w:rsidRPr="00234759">
              <w:rPr>
                <w:sz w:val="22"/>
                <w:szCs w:val="22"/>
              </w:rPr>
              <w:t>⃝</w:t>
            </w:r>
            <w:r w:rsidRPr="00234759">
              <w:rPr>
                <w:sz w:val="22"/>
                <w:szCs w:val="22"/>
              </w:rPr>
              <w:tab/>
              <w:t>Des commentaires ou propositions de modification sont joints à la présente.</w:t>
            </w:r>
          </w:p>
        </w:tc>
      </w:tr>
      <w:tr w:rsidR="00C9035B" w:rsidRPr="00234759" w14:paraId="317A4A91" w14:textId="77777777" w:rsidTr="00B5153A">
        <w:trPr>
          <w:trHeight w:val="380"/>
        </w:trPr>
        <w:tc>
          <w:tcPr>
            <w:tcW w:w="2122" w:type="dxa"/>
            <w:vMerge/>
            <w:vAlign w:val="center"/>
          </w:tcPr>
          <w:p w14:paraId="6604BEC8" w14:textId="77777777" w:rsidR="00C9035B" w:rsidRPr="00234759" w:rsidRDefault="00C9035B" w:rsidP="00B5153A">
            <w:pPr>
              <w:pStyle w:val="TableText"/>
              <w:jc w:val="center"/>
              <w:rPr>
                <w:b/>
                <w:szCs w:val="22"/>
              </w:rPr>
            </w:pPr>
          </w:p>
        </w:tc>
        <w:tc>
          <w:tcPr>
            <w:tcW w:w="7597" w:type="dxa"/>
          </w:tcPr>
          <w:p w14:paraId="5F17DCB1" w14:textId="22FAD2BE" w:rsidR="00C9035B" w:rsidRPr="00234759" w:rsidRDefault="00C9035B" w:rsidP="00B5153A">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N'autorise pas</w:t>
            </w:r>
            <w:r w:rsidRPr="00234759">
              <w:rPr>
                <w:sz w:val="22"/>
                <w:szCs w:val="22"/>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C9035B" w:rsidRPr="00234759" w14:paraId="0F107706" w14:textId="77777777" w:rsidTr="00C9035B">
        <w:trPr>
          <w:trHeight w:val="197"/>
        </w:trPr>
        <w:tc>
          <w:tcPr>
            <w:tcW w:w="2122" w:type="dxa"/>
            <w:vMerge w:val="restart"/>
            <w:vAlign w:val="center"/>
          </w:tcPr>
          <w:p w14:paraId="37A5D86C" w14:textId="2B097B8A" w:rsidR="00C9035B" w:rsidRPr="00234759" w:rsidRDefault="00C9035B" w:rsidP="00B5153A">
            <w:pPr>
              <w:pStyle w:val="TableText"/>
              <w:jc w:val="center"/>
              <w:rPr>
                <w:b/>
                <w:szCs w:val="22"/>
              </w:rPr>
            </w:pPr>
            <w:r w:rsidRPr="00234759">
              <w:rPr>
                <w:b/>
                <w:szCs w:val="22"/>
              </w:rPr>
              <w:t>Projet de Recommandation révisée UIT-T X.1250</w:t>
            </w:r>
          </w:p>
        </w:tc>
        <w:tc>
          <w:tcPr>
            <w:tcW w:w="7597" w:type="dxa"/>
          </w:tcPr>
          <w:p w14:paraId="38CA8BD8" w14:textId="7AB354C4" w:rsidR="00C9035B" w:rsidRPr="00234759" w:rsidRDefault="00C9035B" w:rsidP="00C9035B">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Autorise</w:t>
            </w:r>
            <w:r w:rsidRPr="00234759">
              <w:rPr>
                <w:sz w:val="22"/>
                <w:szCs w:val="22"/>
              </w:rPr>
              <w:t xml:space="preserve"> la Commission d'études 17 à procéder à l'examen de ce document en vue de son approbation (dans ce cas, sélectionnez l'une des deux options ⃝</w:t>
            </w:r>
            <w:proofErr w:type="gramStart"/>
            <w:r w:rsidRPr="00234759">
              <w:rPr>
                <w:sz w:val="22"/>
                <w:szCs w:val="22"/>
              </w:rPr>
              <w:t>):</w:t>
            </w:r>
            <w:proofErr w:type="gramEnd"/>
          </w:p>
          <w:p w14:paraId="4D63A6D3" w14:textId="77777777" w:rsidR="00C9035B" w:rsidRPr="00234759" w:rsidRDefault="00C9035B" w:rsidP="00C9035B">
            <w:pPr>
              <w:pStyle w:val="enumlev2"/>
              <w:rPr>
                <w:sz w:val="22"/>
                <w:szCs w:val="22"/>
              </w:rPr>
            </w:pPr>
            <w:r w:rsidRPr="00234759">
              <w:rPr>
                <w:sz w:val="22"/>
                <w:szCs w:val="22"/>
              </w:rPr>
              <w:t>⃝</w:t>
            </w:r>
            <w:r w:rsidRPr="00234759">
              <w:rPr>
                <w:sz w:val="22"/>
                <w:szCs w:val="22"/>
              </w:rPr>
              <w:tab/>
              <w:t>Pas de commentaire ou de proposition de modification.</w:t>
            </w:r>
          </w:p>
          <w:p w14:paraId="706C8AA9" w14:textId="0303BFD4" w:rsidR="00C9035B" w:rsidRPr="00234759" w:rsidRDefault="00C9035B" w:rsidP="007134B5">
            <w:pPr>
              <w:pStyle w:val="enumlev2"/>
              <w:spacing w:after="80"/>
              <w:rPr>
                <w:sz w:val="22"/>
                <w:szCs w:val="22"/>
              </w:rPr>
            </w:pPr>
            <w:r w:rsidRPr="00234759">
              <w:rPr>
                <w:sz w:val="22"/>
                <w:szCs w:val="22"/>
              </w:rPr>
              <w:t>⃝</w:t>
            </w:r>
            <w:r w:rsidRPr="00234759">
              <w:rPr>
                <w:sz w:val="22"/>
                <w:szCs w:val="22"/>
              </w:rPr>
              <w:tab/>
              <w:t>Des commentaires ou propositions de modification sont joints à la présente.</w:t>
            </w:r>
          </w:p>
        </w:tc>
      </w:tr>
      <w:tr w:rsidR="00C9035B" w:rsidRPr="00234759" w14:paraId="0C630407" w14:textId="77777777" w:rsidTr="00B5153A">
        <w:trPr>
          <w:trHeight w:val="197"/>
        </w:trPr>
        <w:tc>
          <w:tcPr>
            <w:tcW w:w="2122" w:type="dxa"/>
            <w:vMerge/>
            <w:vAlign w:val="center"/>
          </w:tcPr>
          <w:p w14:paraId="18D339A8" w14:textId="77777777" w:rsidR="00C9035B" w:rsidRPr="00234759" w:rsidRDefault="00C9035B" w:rsidP="00B5153A">
            <w:pPr>
              <w:pStyle w:val="TableText"/>
              <w:jc w:val="center"/>
              <w:rPr>
                <w:b/>
                <w:szCs w:val="22"/>
              </w:rPr>
            </w:pPr>
          </w:p>
        </w:tc>
        <w:tc>
          <w:tcPr>
            <w:tcW w:w="7597" w:type="dxa"/>
          </w:tcPr>
          <w:p w14:paraId="7A579102" w14:textId="4CC7E919" w:rsidR="00C9035B" w:rsidRPr="00234759" w:rsidRDefault="00C9035B" w:rsidP="00B5153A">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N'autorise pas</w:t>
            </w:r>
            <w:r w:rsidRPr="00234759">
              <w:rPr>
                <w:sz w:val="22"/>
                <w:szCs w:val="22"/>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r w:rsidR="00C9035B" w:rsidRPr="00234759" w14:paraId="19CBD59D" w14:textId="77777777" w:rsidTr="00C9035B">
        <w:trPr>
          <w:trHeight w:val="197"/>
        </w:trPr>
        <w:tc>
          <w:tcPr>
            <w:tcW w:w="2122" w:type="dxa"/>
            <w:vMerge w:val="restart"/>
            <w:vAlign w:val="center"/>
          </w:tcPr>
          <w:p w14:paraId="31B0D739" w14:textId="0C9F9094" w:rsidR="00C9035B" w:rsidRPr="00234759" w:rsidRDefault="00C9035B" w:rsidP="00B5153A">
            <w:pPr>
              <w:pStyle w:val="TableText"/>
              <w:jc w:val="center"/>
              <w:rPr>
                <w:b/>
                <w:szCs w:val="22"/>
              </w:rPr>
            </w:pPr>
            <w:r w:rsidRPr="00234759">
              <w:rPr>
                <w:b/>
                <w:szCs w:val="22"/>
              </w:rPr>
              <w:t>Projet de Recommandation révisée UIT-T X.1631</w:t>
            </w:r>
          </w:p>
        </w:tc>
        <w:tc>
          <w:tcPr>
            <w:tcW w:w="7597" w:type="dxa"/>
          </w:tcPr>
          <w:p w14:paraId="12BAFE24" w14:textId="77777777" w:rsidR="00C9035B" w:rsidRPr="00234759" w:rsidRDefault="00C9035B" w:rsidP="00C9035B">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Autorise</w:t>
            </w:r>
            <w:r w:rsidRPr="00234759">
              <w:rPr>
                <w:sz w:val="22"/>
                <w:szCs w:val="22"/>
              </w:rPr>
              <w:t xml:space="preserve"> la Commission d'études 17 à procéder à l'examen de ce document en vue de son approbation (dans ce cas, sélectionnez l'une des deux options ⃝</w:t>
            </w:r>
            <w:proofErr w:type="gramStart"/>
            <w:r w:rsidRPr="00234759">
              <w:rPr>
                <w:sz w:val="22"/>
                <w:szCs w:val="22"/>
              </w:rPr>
              <w:t>):</w:t>
            </w:r>
            <w:proofErr w:type="gramEnd"/>
          </w:p>
          <w:p w14:paraId="2AB457E3" w14:textId="77777777" w:rsidR="00C9035B" w:rsidRPr="00234759" w:rsidRDefault="00C9035B" w:rsidP="00C9035B">
            <w:pPr>
              <w:pStyle w:val="enumlev2"/>
              <w:rPr>
                <w:sz w:val="22"/>
                <w:szCs w:val="22"/>
              </w:rPr>
            </w:pPr>
            <w:r w:rsidRPr="00234759">
              <w:rPr>
                <w:sz w:val="22"/>
                <w:szCs w:val="22"/>
              </w:rPr>
              <w:t>⃝</w:t>
            </w:r>
            <w:r w:rsidRPr="00234759">
              <w:rPr>
                <w:sz w:val="22"/>
                <w:szCs w:val="22"/>
              </w:rPr>
              <w:tab/>
              <w:t>Pas de commentaire ou de proposition de modification.</w:t>
            </w:r>
          </w:p>
          <w:p w14:paraId="683D7C06" w14:textId="639C6AC4" w:rsidR="00C9035B" w:rsidRPr="00234759" w:rsidRDefault="00C9035B" w:rsidP="007134B5">
            <w:pPr>
              <w:pStyle w:val="enumlev2"/>
              <w:spacing w:after="80"/>
              <w:rPr>
                <w:sz w:val="22"/>
                <w:szCs w:val="22"/>
              </w:rPr>
            </w:pPr>
            <w:r w:rsidRPr="00234759">
              <w:rPr>
                <w:sz w:val="22"/>
                <w:szCs w:val="22"/>
              </w:rPr>
              <w:t>⃝</w:t>
            </w:r>
            <w:r w:rsidRPr="00234759">
              <w:rPr>
                <w:sz w:val="22"/>
                <w:szCs w:val="22"/>
              </w:rPr>
              <w:tab/>
              <w:t>Des commentaires ou propositions de modification sont joints à la présente.</w:t>
            </w:r>
          </w:p>
        </w:tc>
      </w:tr>
      <w:tr w:rsidR="00C9035B" w:rsidRPr="00234759" w14:paraId="0FDA43CA" w14:textId="77777777" w:rsidTr="00B5153A">
        <w:trPr>
          <w:trHeight w:val="197"/>
        </w:trPr>
        <w:tc>
          <w:tcPr>
            <w:tcW w:w="2122" w:type="dxa"/>
            <w:vMerge/>
            <w:vAlign w:val="center"/>
          </w:tcPr>
          <w:p w14:paraId="7C8A6849" w14:textId="77777777" w:rsidR="00C9035B" w:rsidRPr="00234759" w:rsidRDefault="00C9035B" w:rsidP="00B5153A">
            <w:pPr>
              <w:pStyle w:val="TableText"/>
              <w:jc w:val="center"/>
              <w:rPr>
                <w:b/>
                <w:szCs w:val="22"/>
              </w:rPr>
            </w:pPr>
          </w:p>
        </w:tc>
        <w:tc>
          <w:tcPr>
            <w:tcW w:w="7597" w:type="dxa"/>
          </w:tcPr>
          <w:p w14:paraId="64CFB832" w14:textId="296686BE" w:rsidR="00C9035B" w:rsidRPr="00234759" w:rsidRDefault="00C9035B" w:rsidP="00B5153A">
            <w:pPr>
              <w:pStyle w:val="enumlev1"/>
              <w:spacing w:after="80"/>
              <w:rPr>
                <w:sz w:val="22"/>
                <w:szCs w:val="22"/>
              </w:rPr>
            </w:pPr>
            <w:r w:rsidRPr="00234759">
              <w:rPr>
                <w:sz w:val="22"/>
                <w:szCs w:val="22"/>
              </w:rPr>
              <w:fldChar w:fldCharType="begin">
                <w:ffData>
                  <w:name w:val="Check1"/>
                  <w:enabled/>
                  <w:calcOnExit w:val="0"/>
                  <w:checkBox>
                    <w:sizeAuto/>
                    <w:default w:val="0"/>
                  </w:checkBox>
                </w:ffData>
              </w:fldChar>
            </w:r>
            <w:r w:rsidRPr="00234759">
              <w:rPr>
                <w:sz w:val="22"/>
                <w:szCs w:val="22"/>
              </w:rPr>
              <w:instrText xml:space="preserve"> FORMCHECKBOX </w:instrText>
            </w:r>
            <w:r w:rsidRPr="00234759">
              <w:rPr>
                <w:sz w:val="22"/>
                <w:szCs w:val="22"/>
              </w:rPr>
            </w:r>
            <w:r w:rsidRPr="00234759">
              <w:rPr>
                <w:sz w:val="22"/>
                <w:szCs w:val="22"/>
              </w:rPr>
              <w:fldChar w:fldCharType="separate"/>
            </w:r>
            <w:r w:rsidRPr="00234759">
              <w:rPr>
                <w:sz w:val="22"/>
                <w:szCs w:val="22"/>
              </w:rPr>
              <w:fldChar w:fldCharType="end"/>
            </w:r>
            <w:r w:rsidRPr="00234759">
              <w:rPr>
                <w:sz w:val="22"/>
                <w:szCs w:val="22"/>
              </w:rPr>
              <w:tab/>
            </w:r>
            <w:r w:rsidRPr="00234759">
              <w:rPr>
                <w:b/>
                <w:bCs/>
                <w:sz w:val="22"/>
                <w:szCs w:val="22"/>
              </w:rPr>
              <w:t>N'autorise pas</w:t>
            </w:r>
            <w:r w:rsidRPr="00234759">
              <w:rPr>
                <w:sz w:val="22"/>
                <w:szCs w:val="22"/>
              </w:rPr>
              <w:t xml:space="preserve"> la Commission d'études 17 à procéder à l'examen de ce document en vue de son approbation (les motifs de cette décision et une description des éventuelles modifications qui permettraient la poursuite des travaux sont joints à la présente).</w:t>
            </w:r>
          </w:p>
        </w:tc>
      </w:tr>
    </w:tbl>
    <w:p w14:paraId="2522826E" w14:textId="77777777" w:rsidR="00C9035B" w:rsidRPr="007134B5" w:rsidRDefault="00C9035B" w:rsidP="006C3D24">
      <w:pPr>
        <w:pStyle w:val="Normalaftertitle"/>
        <w:keepNext/>
        <w:keepLines/>
      </w:pPr>
      <w:r w:rsidRPr="007134B5">
        <w:t>Veuillez agréer, Madame, Monsieur, l'assurance de ma considération distinguée.</w:t>
      </w:r>
    </w:p>
    <w:p w14:paraId="37F27D71" w14:textId="77777777" w:rsidR="00C9035B" w:rsidRPr="007134B5" w:rsidRDefault="00C9035B" w:rsidP="0097708E">
      <w:pPr>
        <w:keepNext/>
        <w:keepLines/>
        <w:spacing w:before="840"/>
        <w:rPr>
          <w:highlight w:val="green"/>
        </w:rPr>
      </w:pPr>
      <w:r w:rsidRPr="007134B5">
        <w:rPr>
          <w:highlight w:val="green"/>
        </w:rPr>
        <w:t>[Nom]</w:t>
      </w:r>
    </w:p>
    <w:p w14:paraId="6CC33CD4" w14:textId="6D7667DA" w:rsidR="00C9035B" w:rsidRPr="007134B5" w:rsidRDefault="00C9035B" w:rsidP="0097708E">
      <w:pPr>
        <w:keepNext/>
        <w:keepLines/>
        <w:spacing w:before="0"/>
      </w:pPr>
      <w:r w:rsidRPr="007134B5">
        <w:rPr>
          <w:highlight w:val="green"/>
        </w:rPr>
        <w:t>[Rôle</w:t>
      </w:r>
      <w:r w:rsidR="004F47B8">
        <w:rPr>
          <w:highlight w:val="green"/>
        </w:rPr>
        <w:t>/</w:t>
      </w:r>
      <w:r w:rsidRPr="007134B5">
        <w:rPr>
          <w:highlight w:val="green"/>
        </w:rPr>
        <w:t>titre officiel]</w:t>
      </w:r>
    </w:p>
    <w:p w14:paraId="3ED27067" w14:textId="5FE71BD3" w:rsidR="006C3D24" w:rsidRPr="007134B5" w:rsidRDefault="00C9035B" w:rsidP="0097708E">
      <w:pPr>
        <w:keepNext/>
        <w:keepLines/>
        <w:spacing w:before="0"/>
      </w:pPr>
      <w:r w:rsidRPr="007134B5">
        <w:t xml:space="preserve">Administration de </w:t>
      </w:r>
      <w:r w:rsidRPr="007134B5">
        <w:rPr>
          <w:highlight w:val="green"/>
        </w:rPr>
        <w:t>[État Membre]</w:t>
      </w:r>
    </w:p>
    <w:sectPr w:rsidR="006C3D24" w:rsidRPr="007134B5" w:rsidSect="00D43E1F">
      <w:headerReference w:type="default" r:id="rId24"/>
      <w:footerReference w:type="first" r:id="rId25"/>
      <w:pgSz w:w="11907" w:h="16840" w:code="9"/>
      <w:pgMar w:top="1134" w:right="1017" w:bottom="90" w:left="1089" w:header="567" w:footer="25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2EA5FF48"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1316E83E" w:rsidR="00697BC1" w:rsidRPr="00697BC1" w:rsidRDefault="0002295E"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56466D">
      <w:rPr>
        <w:noProof/>
        <w:sz w:val="18"/>
        <w:szCs w:val="16"/>
      </w:rPr>
      <w:t>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295E"/>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1D3A62"/>
    <w:rsid w:val="002152A3"/>
    <w:rsid w:val="00234759"/>
    <w:rsid w:val="0023667A"/>
    <w:rsid w:val="00246E06"/>
    <w:rsid w:val="00265591"/>
    <w:rsid w:val="002937DB"/>
    <w:rsid w:val="002A04C0"/>
    <w:rsid w:val="002B2E4B"/>
    <w:rsid w:val="002E395D"/>
    <w:rsid w:val="00307FB4"/>
    <w:rsid w:val="003131F0"/>
    <w:rsid w:val="00333A80"/>
    <w:rsid w:val="00341117"/>
    <w:rsid w:val="0034271D"/>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C37C7"/>
    <w:rsid w:val="004D51F4"/>
    <w:rsid w:val="004D64E0"/>
    <w:rsid w:val="004F47B8"/>
    <w:rsid w:val="005120A2"/>
    <w:rsid w:val="0051210D"/>
    <w:rsid w:val="005136D2"/>
    <w:rsid w:val="00517A03"/>
    <w:rsid w:val="00545FB3"/>
    <w:rsid w:val="0056466D"/>
    <w:rsid w:val="005A3DD9"/>
    <w:rsid w:val="005B1DFC"/>
    <w:rsid w:val="00601682"/>
    <w:rsid w:val="00603470"/>
    <w:rsid w:val="00625E79"/>
    <w:rsid w:val="006333F7"/>
    <w:rsid w:val="006427A1"/>
    <w:rsid w:val="00644741"/>
    <w:rsid w:val="00697BC1"/>
    <w:rsid w:val="006A6FFE"/>
    <w:rsid w:val="006C3D24"/>
    <w:rsid w:val="006C5A91"/>
    <w:rsid w:val="006F52F7"/>
    <w:rsid w:val="007134B5"/>
    <w:rsid w:val="00716AF6"/>
    <w:rsid w:val="00716BBC"/>
    <w:rsid w:val="007321BC"/>
    <w:rsid w:val="00760063"/>
    <w:rsid w:val="00775E4B"/>
    <w:rsid w:val="0079553B"/>
    <w:rsid w:val="00795679"/>
    <w:rsid w:val="0079744B"/>
    <w:rsid w:val="007A40FE"/>
    <w:rsid w:val="007F76D8"/>
    <w:rsid w:val="00810105"/>
    <w:rsid w:val="008157E0"/>
    <w:rsid w:val="00850477"/>
    <w:rsid w:val="00854E1D"/>
    <w:rsid w:val="00887FA6"/>
    <w:rsid w:val="008C4397"/>
    <w:rsid w:val="008C465A"/>
    <w:rsid w:val="008E2974"/>
    <w:rsid w:val="008F2C9B"/>
    <w:rsid w:val="00923CD6"/>
    <w:rsid w:val="00935AA8"/>
    <w:rsid w:val="00971C9A"/>
    <w:rsid w:val="0097708E"/>
    <w:rsid w:val="009D51FA"/>
    <w:rsid w:val="009F1E23"/>
    <w:rsid w:val="00A15179"/>
    <w:rsid w:val="00A43145"/>
    <w:rsid w:val="00A51537"/>
    <w:rsid w:val="00A5280F"/>
    <w:rsid w:val="00A5645A"/>
    <w:rsid w:val="00A60FC1"/>
    <w:rsid w:val="00A76E85"/>
    <w:rsid w:val="00A97C37"/>
    <w:rsid w:val="00AA131B"/>
    <w:rsid w:val="00AC37B5"/>
    <w:rsid w:val="00AD3FE5"/>
    <w:rsid w:val="00AD752F"/>
    <w:rsid w:val="00AF08A4"/>
    <w:rsid w:val="00AF0D7D"/>
    <w:rsid w:val="00B27B41"/>
    <w:rsid w:val="00B42659"/>
    <w:rsid w:val="00B46F2D"/>
    <w:rsid w:val="00B5153A"/>
    <w:rsid w:val="00B60868"/>
    <w:rsid w:val="00B70802"/>
    <w:rsid w:val="00B8573E"/>
    <w:rsid w:val="00BB24C0"/>
    <w:rsid w:val="00BD6ECF"/>
    <w:rsid w:val="00C26F2E"/>
    <w:rsid w:val="00C302E3"/>
    <w:rsid w:val="00C41B89"/>
    <w:rsid w:val="00C45376"/>
    <w:rsid w:val="00C9028F"/>
    <w:rsid w:val="00C9035B"/>
    <w:rsid w:val="00CA0416"/>
    <w:rsid w:val="00CB1125"/>
    <w:rsid w:val="00CB4E80"/>
    <w:rsid w:val="00CD042E"/>
    <w:rsid w:val="00CF2560"/>
    <w:rsid w:val="00CF5B46"/>
    <w:rsid w:val="00D43E1F"/>
    <w:rsid w:val="00D46B68"/>
    <w:rsid w:val="00D47B00"/>
    <w:rsid w:val="00D542A5"/>
    <w:rsid w:val="00D92063"/>
    <w:rsid w:val="00DC3D47"/>
    <w:rsid w:val="00DD77DA"/>
    <w:rsid w:val="00DE3246"/>
    <w:rsid w:val="00E06C61"/>
    <w:rsid w:val="00E13DB3"/>
    <w:rsid w:val="00E2408B"/>
    <w:rsid w:val="00E62CEA"/>
    <w:rsid w:val="00E72AE1"/>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table" w:styleId="TableGrid">
    <w:name w:val="Table Grid"/>
    <w:basedOn w:val="TableNormal"/>
    <w:rsid w:val="00AD3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6C3D24"/>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17-R-0006/fr" TargetMode="External"/><Relationship Id="rId18" Type="http://schemas.openxmlformats.org/officeDocument/2006/relationships/hyperlink" Target="https://www.itu.int/md/T25-SG17-R-0011/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md/T25-SG17-R-0015/fr"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tu.int/md/T25-SG17-R-0010/f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md/T25-SG17-R-0009/fr" TargetMode="External"/><Relationship Id="rId20" Type="http://schemas.openxmlformats.org/officeDocument/2006/relationships/hyperlink" Target="https://www.itu.int/md/T25-SG17-R-0014/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fr/ITU-T/ipr/Pages/default.asp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md/T25-SG17-R-0008/fr" TargetMode="External"/><Relationship Id="rId23" Type="http://schemas.openxmlformats.org/officeDocument/2006/relationships/hyperlink" Target="mailto:tsbdir@itu.int" TargetMode="External"/><Relationship Id="rId10" Type="http://schemas.openxmlformats.org/officeDocument/2006/relationships/hyperlink" Target="https://www.itu.int/md/T25-SG17-COL-0004/en" TargetMode="External"/><Relationship Id="rId19" Type="http://schemas.openxmlformats.org/officeDocument/2006/relationships/hyperlink" Target="https://www.itu.int/md/T25-SG17-R-0012/fr" TargetMode="External"/><Relationship Id="rId4" Type="http://schemas.openxmlformats.org/officeDocument/2006/relationships/settings" Target="settings.xml"/><Relationship Id="rId9" Type="http://schemas.openxmlformats.org/officeDocument/2006/relationships/hyperlink" Target="mailto:tsbg17@itu.int" TargetMode="External"/><Relationship Id="rId14" Type="http://schemas.openxmlformats.org/officeDocument/2006/relationships/hyperlink" Target="https://www.itu.int/md/T25-SG17-R-0007/fr" TargetMode="External"/><Relationship Id="rId22" Type="http://schemas.openxmlformats.org/officeDocument/2006/relationships/hyperlink" Target="https://www.itu.int/md/T25-SG17-R-0013/f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153</TotalTime>
  <Pages>8</Pages>
  <Words>3531</Words>
  <Characters>22052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25532</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13</cp:revision>
  <cp:lastPrinted>2025-08-12T12:30:00Z</cp:lastPrinted>
  <dcterms:created xsi:type="dcterms:W3CDTF">2025-08-08T10:13:00Z</dcterms:created>
  <dcterms:modified xsi:type="dcterms:W3CDTF">2025-08-12T12:34:00Z</dcterms:modified>
</cp:coreProperties>
</file>